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附件2</w:t>
      </w:r>
    </w:p>
    <w:p>
      <w:pPr>
        <w:jc w:val="center"/>
        <w:rPr>
          <w:rFonts w:hint="eastAsia" w:ascii="Times New Roman" w:hAnsi="Times New Roman" w:eastAsia="方正小标宋简体"/>
          <w:spacing w:val="-8"/>
          <w:sz w:val="44"/>
          <w:szCs w:val="44"/>
        </w:rPr>
      </w:pPr>
      <w:r>
        <w:rPr>
          <w:rFonts w:ascii="Times New Roman" w:hAnsi="Times New Roman" w:eastAsia="方正小标宋简体"/>
          <w:spacing w:val="-8"/>
          <w:sz w:val="44"/>
          <w:szCs w:val="44"/>
        </w:rPr>
        <w:t>201</w:t>
      </w:r>
      <w:r>
        <w:rPr>
          <w:rFonts w:hint="eastAsia" w:ascii="Times New Roman" w:hAnsi="Times New Roman" w:eastAsia="方正小标宋简体"/>
          <w:spacing w:val="-8"/>
          <w:sz w:val="44"/>
          <w:szCs w:val="44"/>
        </w:rPr>
        <w:t>8</w:t>
      </w:r>
      <w:r>
        <w:rPr>
          <w:rFonts w:ascii="Times New Roman" w:hAnsi="Times New Roman" w:eastAsia="方正小标宋简体"/>
          <w:spacing w:val="-8"/>
          <w:sz w:val="44"/>
          <w:szCs w:val="44"/>
        </w:rPr>
        <w:t>年</w:t>
      </w:r>
      <w:r>
        <w:rPr>
          <w:rFonts w:hint="eastAsia" w:ascii="Times New Roman" w:hAnsi="Times New Roman" w:eastAsia="方正小标宋简体"/>
          <w:spacing w:val="-8"/>
          <w:sz w:val="44"/>
          <w:szCs w:val="44"/>
        </w:rPr>
        <w:t>市县</w:t>
      </w:r>
      <w:r>
        <w:rPr>
          <w:rFonts w:ascii="Times New Roman" w:hAnsi="Times New Roman" w:eastAsia="方正小标宋简体"/>
          <w:spacing w:val="-8"/>
          <w:sz w:val="44"/>
          <w:szCs w:val="44"/>
        </w:rPr>
        <w:t>职业教育发展考核年度重点工作</w:t>
      </w:r>
    </w:p>
    <w:p>
      <w:pPr>
        <w:jc w:val="center"/>
        <w:rPr>
          <w:rFonts w:ascii="Times New Roman" w:hAnsi="Times New Roman" w:eastAsia="方正小标宋简体"/>
          <w:spacing w:val="-8"/>
          <w:sz w:val="44"/>
          <w:szCs w:val="44"/>
        </w:rPr>
      </w:pPr>
      <w:r>
        <w:rPr>
          <w:rFonts w:ascii="Times New Roman" w:hAnsi="Times New Roman" w:eastAsia="方正小标宋简体"/>
          <w:spacing w:val="-8"/>
          <w:sz w:val="44"/>
          <w:szCs w:val="44"/>
        </w:rPr>
        <w:t>考核细则</w:t>
      </w:r>
    </w:p>
    <w:tbl>
      <w:tblPr>
        <w:tblStyle w:val="3"/>
        <w:tblW w:w="9120" w:type="dxa"/>
        <w:jc w:val="center"/>
        <w:tblInd w:w="0" w:type="dxa"/>
        <w:tblLayout w:type="fixed"/>
        <w:tblCellMar>
          <w:top w:w="0" w:type="dxa"/>
          <w:left w:w="108" w:type="dxa"/>
          <w:bottom w:w="0" w:type="dxa"/>
          <w:right w:w="108" w:type="dxa"/>
        </w:tblCellMar>
      </w:tblPr>
      <w:tblGrid>
        <w:gridCol w:w="1497"/>
        <w:gridCol w:w="1462"/>
        <w:gridCol w:w="575"/>
        <w:gridCol w:w="5586"/>
      </w:tblGrid>
      <w:tr>
        <w:tblPrEx>
          <w:tblLayout w:type="fixed"/>
          <w:tblCellMar>
            <w:top w:w="0" w:type="dxa"/>
            <w:left w:w="108" w:type="dxa"/>
            <w:bottom w:w="0" w:type="dxa"/>
            <w:right w:w="108" w:type="dxa"/>
          </w:tblCellMar>
        </w:tblPrEx>
        <w:trPr>
          <w:trHeight w:val="561" w:hRule="atLeast"/>
          <w:jc w:val="center"/>
        </w:trPr>
        <w:tc>
          <w:tcPr>
            <w:tcW w:w="149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Times New Roman" w:hAnsi="Times New Roman"/>
                <w:b/>
                <w:bCs/>
                <w:kern w:val="0"/>
                <w:sz w:val="22"/>
                <w:szCs w:val="20"/>
              </w:rPr>
            </w:pPr>
            <w:r>
              <w:rPr>
                <w:rFonts w:ascii="Times New Roman" w:hAnsi="Times New Roman"/>
                <w:b/>
                <w:bCs/>
                <w:kern w:val="0"/>
                <w:sz w:val="22"/>
                <w:szCs w:val="20"/>
              </w:rPr>
              <w:t>考核内容</w:t>
            </w:r>
          </w:p>
        </w:tc>
        <w:tc>
          <w:tcPr>
            <w:tcW w:w="146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Times New Roman" w:hAnsi="Times New Roman"/>
                <w:b/>
                <w:bCs/>
                <w:kern w:val="0"/>
                <w:sz w:val="22"/>
                <w:szCs w:val="20"/>
              </w:rPr>
            </w:pPr>
            <w:r>
              <w:rPr>
                <w:rFonts w:ascii="Times New Roman" w:hAnsi="Times New Roman"/>
                <w:b/>
                <w:bCs/>
                <w:kern w:val="0"/>
                <w:sz w:val="22"/>
                <w:szCs w:val="20"/>
              </w:rPr>
              <w:t>考核指标</w:t>
            </w:r>
          </w:p>
        </w:tc>
        <w:tc>
          <w:tcPr>
            <w:tcW w:w="575"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exact"/>
              <w:jc w:val="center"/>
              <w:rPr>
                <w:rFonts w:ascii="Times New Roman" w:hAnsi="Times New Roman"/>
                <w:b/>
                <w:bCs/>
                <w:kern w:val="0"/>
                <w:sz w:val="22"/>
                <w:szCs w:val="20"/>
              </w:rPr>
            </w:pPr>
            <w:r>
              <w:rPr>
                <w:rFonts w:ascii="Times New Roman" w:hAnsi="Times New Roman"/>
                <w:b/>
                <w:bCs/>
                <w:kern w:val="0"/>
                <w:sz w:val="22"/>
                <w:szCs w:val="20"/>
              </w:rPr>
              <w:t>计分办法</w:t>
            </w:r>
          </w:p>
        </w:tc>
        <w:tc>
          <w:tcPr>
            <w:tcW w:w="558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b/>
                <w:bCs/>
                <w:kern w:val="0"/>
                <w:sz w:val="22"/>
                <w:szCs w:val="20"/>
              </w:rPr>
            </w:pPr>
            <w:r>
              <w:rPr>
                <w:rFonts w:ascii="Times New Roman" w:hAnsi="Times New Roman"/>
                <w:b/>
                <w:bCs/>
                <w:kern w:val="0"/>
                <w:sz w:val="22"/>
                <w:szCs w:val="20"/>
              </w:rPr>
              <w:t>评分方法</w:t>
            </w:r>
          </w:p>
        </w:tc>
      </w:tr>
      <w:tr>
        <w:tblPrEx>
          <w:tblLayout w:type="fixed"/>
          <w:tblCellMar>
            <w:top w:w="0" w:type="dxa"/>
            <w:left w:w="108" w:type="dxa"/>
            <w:bottom w:w="0" w:type="dxa"/>
            <w:right w:w="108" w:type="dxa"/>
          </w:tblCellMar>
        </w:tblPrEx>
        <w:trPr>
          <w:trHeight w:val="1371" w:hRule="atLeast"/>
          <w:jc w:val="center"/>
        </w:trPr>
        <w:tc>
          <w:tcPr>
            <w:tcW w:w="1497" w:type="dxa"/>
            <w:vMerge w:val="restart"/>
            <w:tcBorders>
              <w:top w:val="single" w:color="000000" w:sz="4" w:space="0"/>
              <w:left w:val="single" w:color="auto"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ascii="Times New Roman" w:hAnsi="Times New Roman"/>
                <w:kern w:val="0"/>
                <w:sz w:val="22"/>
                <w:szCs w:val="20"/>
              </w:rPr>
              <w:t>201</w:t>
            </w:r>
            <w:r>
              <w:rPr>
                <w:rFonts w:hint="eastAsia" w:ascii="Times New Roman" w:hAnsi="Times New Roman"/>
                <w:kern w:val="0"/>
                <w:sz w:val="22"/>
                <w:szCs w:val="20"/>
              </w:rPr>
              <w:t>8</w:t>
            </w:r>
            <w:r>
              <w:rPr>
                <w:rFonts w:ascii="Times New Roman" w:hAnsi="Times New Roman"/>
                <w:kern w:val="0"/>
                <w:sz w:val="22"/>
                <w:szCs w:val="20"/>
              </w:rPr>
              <w:t>年度重点工作（30分）</w:t>
            </w:r>
          </w:p>
          <w:p>
            <w:pPr>
              <w:spacing w:line="360" w:lineRule="exact"/>
              <w:jc w:val="center"/>
              <w:rPr>
                <w:rFonts w:ascii="Times New Roman" w:hAnsi="Times New Roman"/>
                <w:kern w:val="0"/>
                <w:sz w:val="22"/>
                <w:szCs w:val="20"/>
              </w:rPr>
            </w:pPr>
          </w:p>
        </w:tc>
        <w:tc>
          <w:tcPr>
            <w:tcW w:w="146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Times New Roman" w:hAnsi="Times New Roman"/>
                <w:kern w:val="0"/>
                <w:sz w:val="22"/>
                <w:szCs w:val="20"/>
              </w:rPr>
            </w:pPr>
            <w:r>
              <w:rPr>
                <w:rFonts w:hint="eastAsia" w:ascii="Times New Roman" w:hAnsi="Times New Roman"/>
                <w:kern w:val="0"/>
                <w:sz w:val="22"/>
                <w:szCs w:val="20"/>
              </w:rPr>
              <w:t>中职学校和成人学校的党建工作（6分）</w:t>
            </w:r>
          </w:p>
        </w:tc>
        <w:tc>
          <w:tcPr>
            <w:tcW w:w="57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hint="eastAsia" w:ascii="Times New Roman" w:hAnsi="Times New Roman"/>
                <w:kern w:val="0"/>
                <w:sz w:val="22"/>
                <w:szCs w:val="20"/>
              </w:rPr>
              <w:t>达标加分制</w:t>
            </w:r>
          </w:p>
        </w:tc>
        <w:tc>
          <w:tcPr>
            <w:tcW w:w="5586" w:type="dxa"/>
            <w:tcBorders>
              <w:top w:val="single" w:color="000000" w:sz="4" w:space="0"/>
              <w:left w:val="nil"/>
              <w:bottom w:val="single" w:color="000000" w:sz="4" w:space="0"/>
              <w:right w:val="single" w:color="000000" w:sz="4" w:space="0"/>
            </w:tcBorders>
            <w:vAlign w:val="center"/>
          </w:tcPr>
          <w:p>
            <w:pPr>
              <w:widowControl/>
              <w:spacing w:line="360" w:lineRule="exact"/>
              <w:ind w:firstLine="440" w:firstLineChars="200"/>
              <w:rPr>
                <w:rFonts w:ascii="Times New Roman" w:hAnsi="Times New Roman"/>
                <w:kern w:val="0"/>
                <w:sz w:val="22"/>
                <w:szCs w:val="20"/>
              </w:rPr>
            </w:pPr>
            <w:r>
              <w:rPr>
                <w:rFonts w:hint="eastAsia" w:ascii="Times New Roman" w:hAnsi="Times New Roman"/>
                <w:kern w:val="0"/>
                <w:sz w:val="22"/>
                <w:szCs w:val="20"/>
              </w:rPr>
              <w:t>按要求明确管理主体、规范隶属关系、健全工作制度；所辖学校党组织和党的工作全覆盖，选优配强党组织书记，做好发展党员和教育管理党员工作，创新党组织活动内容方式，强化党务工作者培训和激励；每年至少听取1次学校党建工作汇报，党建工作经费纳入学校年度预算。全部做到的，得满分；否则不得分。</w:t>
            </w:r>
          </w:p>
        </w:tc>
      </w:tr>
      <w:tr>
        <w:tblPrEx>
          <w:tblLayout w:type="fixed"/>
          <w:tblCellMar>
            <w:top w:w="0" w:type="dxa"/>
            <w:left w:w="108" w:type="dxa"/>
            <w:bottom w:w="0" w:type="dxa"/>
            <w:right w:w="108" w:type="dxa"/>
          </w:tblCellMar>
        </w:tblPrEx>
        <w:trPr>
          <w:trHeight w:val="1371" w:hRule="atLeast"/>
          <w:jc w:val="center"/>
        </w:trPr>
        <w:tc>
          <w:tcPr>
            <w:tcW w:w="1497" w:type="dxa"/>
            <w:vMerge w:val="continue"/>
            <w:tcBorders>
              <w:left w:val="single" w:color="auto" w:sz="4" w:space="0"/>
              <w:right w:val="single" w:color="000000" w:sz="4" w:space="0"/>
            </w:tcBorders>
            <w:vAlign w:val="center"/>
          </w:tcPr>
          <w:p>
            <w:pPr>
              <w:spacing w:line="360" w:lineRule="exact"/>
              <w:jc w:val="center"/>
              <w:rPr>
                <w:rFonts w:ascii="Times New Roman" w:hAnsi="Times New Roman"/>
                <w:kern w:val="0"/>
                <w:sz w:val="22"/>
                <w:szCs w:val="20"/>
              </w:rPr>
            </w:pPr>
          </w:p>
        </w:tc>
        <w:tc>
          <w:tcPr>
            <w:tcW w:w="146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Times New Roman" w:hAnsi="Times New Roman"/>
                <w:kern w:val="0"/>
                <w:sz w:val="22"/>
                <w:szCs w:val="20"/>
              </w:rPr>
            </w:pPr>
            <w:r>
              <w:rPr>
                <w:rFonts w:ascii="Times New Roman" w:hAnsi="Times New Roman"/>
                <w:kern w:val="0"/>
                <w:sz w:val="22"/>
                <w:szCs w:val="20"/>
              </w:rPr>
              <w:t>中职学</w:t>
            </w:r>
            <w:r>
              <w:rPr>
                <w:rFonts w:hint="eastAsia" w:ascii="Times New Roman" w:hAnsi="Times New Roman"/>
                <w:kern w:val="0"/>
                <w:sz w:val="22"/>
                <w:szCs w:val="20"/>
              </w:rPr>
              <w:t>生</w:t>
            </w:r>
            <w:r>
              <w:rPr>
                <w:rFonts w:ascii="Times New Roman" w:hAnsi="Times New Roman"/>
                <w:kern w:val="0"/>
                <w:sz w:val="22"/>
                <w:szCs w:val="20"/>
              </w:rPr>
              <w:t>核心素养工作开展情况（</w:t>
            </w:r>
            <w:r>
              <w:rPr>
                <w:rFonts w:hint="eastAsia" w:ascii="Times New Roman" w:hAnsi="Times New Roman"/>
                <w:kern w:val="0"/>
                <w:sz w:val="22"/>
                <w:szCs w:val="20"/>
              </w:rPr>
              <w:t>6</w:t>
            </w:r>
            <w:r>
              <w:rPr>
                <w:rFonts w:ascii="Times New Roman" w:hAnsi="Times New Roman"/>
                <w:kern w:val="0"/>
                <w:sz w:val="22"/>
                <w:szCs w:val="20"/>
              </w:rPr>
              <w:t>分）</w:t>
            </w:r>
          </w:p>
        </w:tc>
        <w:tc>
          <w:tcPr>
            <w:tcW w:w="57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ascii="Times New Roman" w:hAnsi="Times New Roman"/>
                <w:kern w:val="0"/>
                <w:sz w:val="22"/>
                <w:szCs w:val="20"/>
              </w:rPr>
              <w:t>等级给分制</w:t>
            </w:r>
          </w:p>
        </w:tc>
        <w:tc>
          <w:tcPr>
            <w:tcW w:w="5586" w:type="dxa"/>
            <w:tcBorders>
              <w:top w:val="single" w:color="000000" w:sz="4" w:space="0"/>
              <w:left w:val="nil"/>
              <w:bottom w:val="single" w:color="000000" w:sz="4" w:space="0"/>
              <w:right w:val="single" w:color="000000" w:sz="4" w:space="0"/>
            </w:tcBorders>
            <w:vAlign w:val="center"/>
          </w:tcPr>
          <w:p>
            <w:pPr>
              <w:widowControl/>
              <w:spacing w:line="360" w:lineRule="exact"/>
              <w:ind w:firstLine="440" w:firstLineChars="200"/>
              <w:rPr>
                <w:rFonts w:ascii="Times New Roman" w:hAnsi="Times New Roman"/>
                <w:kern w:val="0"/>
                <w:sz w:val="22"/>
                <w:szCs w:val="20"/>
              </w:rPr>
            </w:pPr>
            <w:r>
              <w:rPr>
                <w:rFonts w:ascii="Times New Roman" w:hAnsi="Times New Roman"/>
                <w:kern w:val="0"/>
                <w:sz w:val="22"/>
                <w:szCs w:val="20"/>
              </w:rPr>
              <w:t>全面贯彻落实党的教育方针，紧紧围绕立德树人根本任务，着力加强培育中职学生的核心素养，按照国家和我省有关加强培育核心素养的要求，</w:t>
            </w:r>
            <w:r>
              <w:rPr>
                <w:rFonts w:hint="eastAsia" w:ascii="Times New Roman" w:hAnsi="Times New Roman"/>
                <w:kern w:val="0"/>
                <w:sz w:val="22"/>
                <w:szCs w:val="20"/>
              </w:rPr>
              <w:t>市县政府</w:t>
            </w:r>
            <w:r>
              <w:rPr>
                <w:rFonts w:ascii="Times New Roman" w:hAnsi="Times New Roman"/>
                <w:kern w:val="0"/>
                <w:sz w:val="22"/>
                <w:szCs w:val="20"/>
              </w:rPr>
              <w:t>制订出台推进本地区加强核心素养工作的举措，</w:t>
            </w:r>
            <w:r>
              <w:rPr>
                <w:rFonts w:hint="eastAsia" w:ascii="Times New Roman" w:hAnsi="Times New Roman"/>
                <w:kern w:val="0"/>
                <w:sz w:val="22"/>
                <w:szCs w:val="20"/>
              </w:rPr>
              <w:t>所辖中职学校制定出台具体工作方案，</w:t>
            </w:r>
            <w:r>
              <w:rPr>
                <w:rFonts w:ascii="Times New Roman" w:hAnsi="Times New Roman"/>
                <w:kern w:val="0"/>
                <w:sz w:val="22"/>
                <w:szCs w:val="20"/>
              </w:rPr>
              <w:t>且工作推进有力、成效明显的为优秀；工作推进有一定力度的为良好；工作推进一般的为合格，其他不给分。</w:t>
            </w:r>
            <w:r>
              <w:rPr>
                <w:rFonts w:hint="eastAsia" w:ascii="Times New Roman" w:hAnsi="Times New Roman"/>
                <w:kern w:val="0"/>
                <w:sz w:val="22"/>
                <w:szCs w:val="20"/>
              </w:rPr>
              <w:t>（需提供本地出台的文件、学校工作方案以及年度工作总结等材料）</w:t>
            </w:r>
          </w:p>
        </w:tc>
      </w:tr>
      <w:tr>
        <w:tblPrEx>
          <w:tblLayout w:type="fixed"/>
          <w:tblCellMar>
            <w:top w:w="0" w:type="dxa"/>
            <w:left w:w="108" w:type="dxa"/>
            <w:bottom w:w="0" w:type="dxa"/>
            <w:right w:w="108" w:type="dxa"/>
          </w:tblCellMar>
        </w:tblPrEx>
        <w:trPr>
          <w:trHeight w:val="1371" w:hRule="atLeast"/>
          <w:jc w:val="center"/>
        </w:trPr>
        <w:tc>
          <w:tcPr>
            <w:tcW w:w="1497" w:type="dxa"/>
            <w:vMerge w:val="continue"/>
            <w:tcBorders>
              <w:left w:val="single" w:color="auto" w:sz="4" w:space="0"/>
              <w:right w:val="single" w:color="000000" w:sz="4" w:space="0"/>
            </w:tcBorders>
            <w:vAlign w:val="center"/>
          </w:tcPr>
          <w:p>
            <w:pPr>
              <w:widowControl/>
              <w:spacing w:line="360" w:lineRule="exact"/>
              <w:jc w:val="center"/>
              <w:rPr>
                <w:rFonts w:ascii="Times New Roman" w:hAnsi="Times New Roman"/>
                <w:kern w:val="0"/>
                <w:sz w:val="22"/>
                <w:szCs w:val="20"/>
              </w:rPr>
            </w:pPr>
          </w:p>
        </w:tc>
        <w:tc>
          <w:tcPr>
            <w:tcW w:w="146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Times New Roman" w:hAnsi="Times New Roman"/>
                <w:kern w:val="0"/>
                <w:sz w:val="22"/>
                <w:szCs w:val="20"/>
              </w:rPr>
            </w:pPr>
            <w:r>
              <w:rPr>
                <w:rFonts w:ascii="Times New Roman" w:hAnsi="Times New Roman"/>
                <w:kern w:val="0"/>
                <w:sz w:val="22"/>
                <w:szCs w:val="20"/>
              </w:rPr>
              <w:t>中职课改和教学诊改推进情况（</w:t>
            </w:r>
            <w:r>
              <w:rPr>
                <w:rFonts w:hint="eastAsia" w:ascii="Times New Roman" w:hAnsi="Times New Roman"/>
                <w:kern w:val="0"/>
                <w:sz w:val="22"/>
                <w:szCs w:val="20"/>
              </w:rPr>
              <w:t>6</w:t>
            </w:r>
            <w:r>
              <w:rPr>
                <w:rFonts w:ascii="Times New Roman" w:hAnsi="Times New Roman"/>
                <w:kern w:val="0"/>
                <w:sz w:val="22"/>
                <w:szCs w:val="20"/>
              </w:rPr>
              <w:t>分）</w:t>
            </w:r>
          </w:p>
        </w:tc>
        <w:tc>
          <w:tcPr>
            <w:tcW w:w="57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ascii="Times New Roman" w:hAnsi="Times New Roman"/>
                <w:kern w:val="0"/>
                <w:sz w:val="22"/>
                <w:szCs w:val="20"/>
              </w:rPr>
              <w:t>等级给分制</w:t>
            </w:r>
          </w:p>
        </w:tc>
        <w:tc>
          <w:tcPr>
            <w:tcW w:w="5586" w:type="dxa"/>
            <w:tcBorders>
              <w:top w:val="single" w:color="000000" w:sz="4" w:space="0"/>
              <w:left w:val="nil"/>
              <w:bottom w:val="single" w:color="000000" w:sz="4" w:space="0"/>
              <w:right w:val="single" w:color="000000" w:sz="4" w:space="0"/>
            </w:tcBorders>
            <w:vAlign w:val="center"/>
          </w:tcPr>
          <w:p>
            <w:pPr>
              <w:widowControl/>
              <w:spacing w:line="360" w:lineRule="exact"/>
              <w:ind w:firstLine="440" w:firstLineChars="200"/>
              <w:rPr>
                <w:rFonts w:ascii="Times New Roman" w:hAnsi="Times New Roman"/>
                <w:kern w:val="0"/>
                <w:sz w:val="22"/>
                <w:szCs w:val="20"/>
              </w:rPr>
            </w:pPr>
            <w:r>
              <w:rPr>
                <w:rFonts w:hint="eastAsia" w:ascii="Times New Roman" w:hAnsi="Times New Roman"/>
                <w:kern w:val="0"/>
                <w:sz w:val="22"/>
                <w:szCs w:val="20"/>
              </w:rPr>
              <w:t xml:space="preserve">区域范围内，全部中职学校制定了本校所有专业的选择性课程体系建设方案和教学诊改方案，方案合格率达到80%且实施较好，取得明显成效，为优秀；80%及以上的中职学校制定了本校所有专业的选择性课程体系建设方案和教学诊改方案，方案合格率达到70%且实施较好，取得一定成效，为良好；60%及以上的中职学校制定了本校所有专业的选择性课程体系建设方案和教学诊改方案，方案合格率达到60%，且已经实施，取得一定成效，为合格；其余为不合格。 </w:t>
            </w:r>
          </w:p>
        </w:tc>
      </w:tr>
      <w:tr>
        <w:tblPrEx>
          <w:tblLayout w:type="fixed"/>
          <w:tblCellMar>
            <w:top w:w="0" w:type="dxa"/>
            <w:left w:w="108" w:type="dxa"/>
            <w:bottom w:w="0" w:type="dxa"/>
            <w:right w:w="108" w:type="dxa"/>
          </w:tblCellMar>
        </w:tblPrEx>
        <w:trPr>
          <w:trHeight w:val="1339" w:hRule="atLeast"/>
          <w:jc w:val="center"/>
        </w:trPr>
        <w:tc>
          <w:tcPr>
            <w:tcW w:w="1497" w:type="dxa"/>
            <w:vMerge w:val="continue"/>
            <w:tcBorders>
              <w:left w:val="single" w:color="auto" w:sz="4" w:space="0"/>
              <w:bottom w:val="single" w:color="000000" w:sz="4" w:space="0"/>
              <w:right w:val="single" w:color="000000" w:sz="4" w:space="0"/>
            </w:tcBorders>
            <w:vAlign w:val="top"/>
          </w:tcPr>
          <w:p>
            <w:pPr>
              <w:spacing w:line="360" w:lineRule="exact"/>
              <w:ind w:firstLine="400"/>
              <w:rPr>
                <w:rFonts w:ascii="Times New Roman" w:hAnsi="Times New Roman"/>
                <w:kern w:val="0"/>
                <w:sz w:val="22"/>
                <w:szCs w:val="20"/>
              </w:rPr>
            </w:pPr>
          </w:p>
        </w:tc>
        <w:tc>
          <w:tcPr>
            <w:tcW w:w="1462" w:type="dxa"/>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Times New Roman" w:hAnsi="Times New Roman"/>
                <w:kern w:val="0"/>
                <w:sz w:val="22"/>
                <w:szCs w:val="20"/>
              </w:rPr>
            </w:pPr>
            <w:r>
              <w:rPr>
                <w:rFonts w:ascii="Times New Roman" w:hAnsi="Times New Roman"/>
                <w:kern w:val="0"/>
                <w:sz w:val="22"/>
                <w:szCs w:val="20"/>
              </w:rPr>
              <w:t>重点扶持学校主干专业建设（</w:t>
            </w:r>
            <w:r>
              <w:rPr>
                <w:rFonts w:hint="eastAsia" w:ascii="Times New Roman" w:hAnsi="Times New Roman"/>
                <w:kern w:val="0"/>
                <w:sz w:val="22"/>
                <w:szCs w:val="20"/>
              </w:rPr>
              <w:t>4</w:t>
            </w:r>
            <w:r>
              <w:rPr>
                <w:rFonts w:ascii="Times New Roman" w:hAnsi="Times New Roman"/>
                <w:kern w:val="0"/>
                <w:sz w:val="22"/>
                <w:szCs w:val="20"/>
              </w:rPr>
              <w:t>分）</w:t>
            </w:r>
          </w:p>
        </w:tc>
        <w:tc>
          <w:tcPr>
            <w:tcW w:w="57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ascii="Times New Roman" w:hAnsi="Times New Roman"/>
                <w:kern w:val="0"/>
                <w:sz w:val="22"/>
                <w:szCs w:val="20"/>
              </w:rPr>
              <w:t>等级给分制</w:t>
            </w:r>
          </w:p>
        </w:tc>
        <w:tc>
          <w:tcPr>
            <w:tcW w:w="5586" w:type="dxa"/>
            <w:tcBorders>
              <w:top w:val="single" w:color="000000" w:sz="4" w:space="0"/>
              <w:left w:val="nil"/>
              <w:bottom w:val="single" w:color="000000" w:sz="4" w:space="0"/>
              <w:right w:val="single" w:color="000000" w:sz="4" w:space="0"/>
            </w:tcBorders>
            <w:vAlign w:val="center"/>
          </w:tcPr>
          <w:p>
            <w:pPr>
              <w:spacing w:line="360" w:lineRule="exact"/>
              <w:ind w:firstLine="440" w:firstLineChars="200"/>
              <w:rPr>
                <w:rFonts w:ascii="Times New Roman" w:hAnsi="Times New Roman"/>
                <w:kern w:val="0"/>
                <w:sz w:val="22"/>
                <w:szCs w:val="20"/>
              </w:rPr>
            </w:pPr>
            <w:r>
              <w:rPr>
                <w:rFonts w:ascii="Times New Roman" w:hAnsi="Times New Roman"/>
                <w:kern w:val="0"/>
                <w:sz w:val="22"/>
                <w:szCs w:val="20"/>
              </w:rPr>
              <w:t>本区域范围内的重点扶持学校的主干专业按照建设方案高质量完成</w:t>
            </w:r>
            <w:r>
              <w:rPr>
                <w:rFonts w:hint="eastAsia" w:ascii="Times New Roman" w:hAnsi="Times New Roman"/>
                <w:kern w:val="0"/>
                <w:sz w:val="22"/>
                <w:szCs w:val="20"/>
              </w:rPr>
              <w:t>当</w:t>
            </w:r>
            <w:r>
              <w:rPr>
                <w:rFonts w:ascii="Times New Roman" w:hAnsi="Times New Roman"/>
                <w:kern w:val="0"/>
                <w:sz w:val="22"/>
                <w:szCs w:val="20"/>
              </w:rPr>
              <w:t>年度建设任务且成效明显的为优秀；完成任务且取得一定成效的为良好；基本完成任务的为合格；未完成任务的不给分。</w:t>
            </w:r>
            <w:r>
              <w:rPr>
                <w:rFonts w:hint="eastAsia" w:ascii="Times New Roman" w:hAnsi="Times New Roman"/>
                <w:kern w:val="0"/>
                <w:sz w:val="22"/>
                <w:szCs w:val="20"/>
              </w:rPr>
              <w:t>（需提供本地重点扶持学校主干专业建设总结等材料）</w:t>
            </w:r>
          </w:p>
        </w:tc>
      </w:tr>
    </w:tbl>
    <w:p/>
    <w:p/>
    <w:tbl>
      <w:tblPr>
        <w:tblStyle w:val="3"/>
        <w:tblW w:w="9120" w:type="dxa"/>
        <w:jc w:val="center"/>
        <w:tblInd w:w="0" w:type="dxa"/>
        <w:tblLayout w:type="fixed"/>
        <w:tblCellMar>
          <w:top w:w="0" w:type="dxa"/>
          <w:left w:w="108" w:type="dxa"/>
          <w:bottom w:w="0" w:type="dxa"/>
          <w:right w:w="108" w:type="dxa"/>
        </w:tblCellMar>
      </w:tblPr>
      <w:tblGrid>
        <w:gridCol w:w="1497"/>
        <w:gridCol w:w="1462"/>
        <w:gridCol w:w="575"/>
        <w:gridCol w:w="5586"/>
      </w:tblGrid>
      <w:tr>
        <w:tblPrEx>
          <w:tblLayout w:type="fixed"/>
          <w:tblCellMar>
            <w:top w:w="0" w:type="dxa"/>
            <w:left w:w="108" w:type="dxa"/>
            <w:bottom w:w="0" w:type="dxa"/>
            <w:right w:w="108" w:type="dxa"/>
          </w:tblCellMar>
        </w:tblPrEx>
        <w:trPr>
          <w:trHeight w:val="1339" w:hRule="atLeast"/>
          <w:jc w:val="center"/>
        </w:trPr>
        <w:tc>
          <w:tcPr>
            <w:tcW w:w="1497" w:type="dxa"/>
            <w:tcBorders>
              <w:top w:val="single" w:color="000000" w:sz="4" w:space="0"/>
              <w:left w:val="single" w:color="auto" w:sz="4" w:space="0"/>
              <w:right w:val="single" w:color="000000" w:sz="4" w:space="0"/>
            </w:tcBorders>
            <w:vAlign w:val="top"/>
          </w:tcPr>
          <w:p>
            <w:pPr>
              <w:spacing w:line="360" w:lineRule="exact"/>
              <w:ind w:firstLine="400"/>
              <w:rPr>
                <w:rFonts w:ascii="Times New Roman" w:hAnsi="Times New Roman"/>
                <w:kern w:val="0"/>
                <w:sz w:val="22"/>
                <w:szCs w:val="20"/>
              </w:rPr>
            </w:pPr>
          </w:p>
        </w:tc>
        <w:tc>
          <w:tcPr>
            <w:tcW w:w="1462" w:type="dxa"/>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Times New Roman" w:hAnsi="Times New Roman"/>
                <w:kern w:val="0"/>
                <w:sz w:val="22"/>
                <w:szCs w:val="20"/>
              </w:rPr>
            </w:pPr>
            <w:r>
              <w:rPr>
                <w:rFonts w:hint="eastAsia" w:ascii="Times New Roman" w:hAnsi="Times New Roman"/>
                <w:kern w:val="0"/>
                <w:sz w:val="22"/>
                <w:szCs w:val="20"/>
              </w:rPr>
              <w:t>教师培训交流工作</w:t>
            </w:r>
            <w:r>
              <w:rPr>
                <w:rFonts w:ascii="Times New Roman" w:hAnsi="Times New Roman"/>
                <w:kern w:val="0"/>
                <w:sz w:val="22"/>
                <w:szCs w:val="20"/>
              </w:rPr>
              <w:t>（</w:t>
            </w:r>
            <w:r>
              <w:rPr>
                <w:rFonts w:hint="eastAsia" w:ascii="Times New Roman" w:hAnsi="Times New Roman"/>
                <w:kern w:val="0"/>
                <w:sz w:val="22"/>
                <w:szCs w:val="20"/>
              </w:rPr>
              <w:t>2</w:t>
            </w:r>
            <w:r>
              <w:rPr>
                <w:rFonts w:ascii="Times New Roman" w:hAnsi="Times New Roman"/>
                <w:kern w:val="0"/>
                <w:sz w:val="22"/>
                <w:szCs w:val="20"/>
              </w:rPr>
              <w:t>分）</w:t>
            </w:r>
          </w:p>
        </w:tc>
        <w:tc>
          <w:tcPr>
            <w:tcW w:w="57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hint="eastAsia" w:ascii="Times New Roman" w:hAnsi="Times New Roman"/>
                <w:kern w:val="0"/>
                <w:sz w:val="22"/>
                <w:szCs w:val="20"/>
              </w:rPr>
              <w:t>达标给分制</w:t>
            </w:r>
          </w:p>
        </w:tc>
        <w:tc>
          <w:tcPr>
            <w:tcW w:w="5586" w:type="dxa"/>
            <w:tcBorders>
              <w:top w:val="single" w:color="000000" w:sz="4" w:space="0"/>
              <w:left w:val="nil"/>
              <w:bottom w:val="single" w:color="000000" w:sz="4" w:space="0"/>
              <w:right w:val="single" w:color="000000" w:sz="4" w:space="0"/>
            </w:tcBorders>
            <w:vAlign w:val="center"/>
          </w:tcPr>
          <w:p>
            <w:pPr>
              <w:spacing w:line="360" w:lineRule="exact"/>
              <w:ind w:firstLine="440" w:firstLineChars="200"/>
              <w:rPr>
                <w:rFonts w:ascii="Times New Roman" w:hAnsi="Times New Roman"/>
                <w:kern w:val="0"/>
                <w:sz w:val="22"/>
                <w:szCs w:val="20"/>
              </w:rPr>
            </w:pPr>
            <w:r>
              <w:rPr>
                <w:rFonts w:hint="eastAsia" w:ascii="Times New Roman" w:hAnsi="Times New Roman"/>
                <w:kern w:val="0"/>
                <w:sz w:val="22"/>
                <w:szCs w:val="20"/>
              </w:rPr>
              <w:t>认真完成第一批中等职业教育重点扶持薄弱学校教师培训交流工作并积极开展第二批工作得满分；否则不给分。</w:t>
            </w:r>
          </w:p>
        </w:tc>
      </w:tr>
      <w:tr>
        <w:tblPrEx>
          <w:tblLayout w:type="fixed"/>
          <w:tblCellMar>
            <w:top w:w="0" w:type="dxa"/>
            <w:left w:w="108" w:type="dxa"/>
            <w:bottom w:w="0" w:type="dxa"/>
            <w:right w:w="108" w:type="dxa"/>
          </w:tblCellMar>
        </w:tblPrEx>
        <w:trPr>
          <w:trHeight w:val="1339" w:hRule="atLeast"/>
          <w:jc w:val="center"/>
        </w:trPr>
        <w:tc>
          <w:tcPr>
            <w:tcW w:w="1497" w:type="dxa"/>
            <w:tcBorders>
              <w:left w:val="single" w:color="auto" w:sz="4" w:space="0"/>
              <w:right w:val="single" w:color="000000" w:sz="4" w:space="0"/>
            </w:tcBorders>
            <w:vAlign w:val="top"/>
          </w:tcPr>
          <w:p>
            <w:pPr>
              <w:spacing w:line="360" w:lineRule="exact"/>
              <w:rPr>
                <w:rFonts w:ascii="Times New Roman" w:hAnsi="Times New Roman"/>
                <w:kern w:val="0"/>
                <w:sz w:val="22"/>
                <w:szCs w:val="20"/>
              </w:rPr>
            </w:pPr>
          </w:p>
        </w:tc>
        <w:tc>
          <w:tcPr>
            <w:tcW w:w="1462" w:type="dxa"/>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Times New Roman" w:hAnsi="Times New Roman"/>
                <w:kern w:val="0"/>
                <w:sz w:val="22"/>
                <w:szCs w:val="20"/>
              </w:rPr>
            </w:pPr>
            <w:r>
              <w:rPr>
                <w:rFonts w:hint="eastAsia" w:ascii="Times New Roman" w:hAnsi="Times New Roman"/>
                <w:kern w:val="0"/>
                <w:sz w:val="22"/>
                <w:szCs w:val="20"/>
              </w:rPr>
              <w:t>学分银行建设</w:t>
            </w:r>
            <w:r>
              <w:rPr>
                <w:rFonts w:ascii="Times New Roman" w:hAnsi="Times New Roman"/>
                <w:kern w:val="0"/>
                <w:sz w:val="22"/>
                <w:szCs w:val="20"/>
              </w:rPr>
              <w:t>（4分）</w:t>
            </w:r>
          </w:p>
        </w:tc>
        <w:tc>
          <w:tcPr>
            <w:tcW w:w="57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ascii="Times New Roman" w:hAnsi="Times New Roman"/>
                <w:kern w:val="0"/>
                <w:sz w:val="22"/>
                <w:szCs w:val="20"/>
              </w:rPr>
              <w:t>达标给分制</w:t>
            </w:r>
          </w:p>
        </w:tc>
        <w:tc>
          <w:tcPr>
            <w:tcW w:w="5586" w:type="dxa"/>
            <w:tcBorders>
              <w:top w:val="single" w:color="000000" w:sz="4" w:space="0"/>
              <w:left w:val="nil"/>
              <w:bottom w:val="single" w:color="000000" w:sz="4" w:space="0"/>
              <w:right w:val="single" w:color="000000" w:sz="4" w:space="0"/>
            </w:tcBorders>
            <w:vAlign w:val="center"/>
          </w:tcPr>
          <w:p>
            <w:pPr>
              <w:spacing w:line="360" w:lineRule="exact"/>
              <w:ind w:firstLine="440" w:firstLineChars="200"/>
              <w:rPr>
                <w:rFonts w:ascii="Times New Roman" w:hAnsi="Times New Roman"/>
                <w:kern w:val="0"/>
                <w:sz w:val="22"/>
                <w:szCs w:val="20"/>
              </w:rPr>
            </w:pPr>
            <w:r>
              <w:rPr>
                <w:rFonts w:hint="eastAsia" w:ascii="Times New Roman" w:hAnsi="Times New Roman"/>
                <w:kern w:val="0"/>
                <w:sz w:val="22"/>
                <w:szCs w:val="20"/>
              </w:rPr>
              <w:t>认真推进学分银行建设，成人学校社会培训项目设置及学习成果数据采集规范，录入学分银行平台系统的学习成果数（按人次计）占当地常住人口数比例达到7%的为优秀；6%为良好；5%为合格；其他为不合格。</w:t>
            </w:r>
          </w:p>
        </w:tc>
      </w:tr>
      <w:tr>
        <w:tblPrEx>
          <w:tblLayout w:type="fixed"/>
          <w:tblCellMar>
            <w:top w:w="0" w:type="dxa"/>
            <w:left w:w="108" w:type="dxa"/>
            <w:bottom w:w="0" w:type="dxa"/>
            <w:right w:w="108" w:type="dxa"/>
          </w:tblCellMar>
        </w:tblPrEx>
        <w:trPr>
          <w:trHeight w:val="1339" w:hRule="atLeast"/>
          <w:jc w:val="center"/>
        </w:trPr>
        <w:tc>
          <w:tcPr>
            <w:tcW w:w="1497" w:type="dxa"/>
            <w:tcBorders>
              <w:left w:val="single" w:color="auto" w:sz="4" w:space="0"/>
              <w:bottom w:val="single" w:color="000000" w:sz="4" w:space="0"/>
              <w:right w:val="single" w:color="000000" w:sz="4" w:space="0"/>
            </w:tcBorders>
            <w:vAlign w:val="top"/>
          </w:tcPr>
          <w:p>
            <w:pPr>
              <w:spacing w:line="360" w:lineRule="exact"/>
              <w:rPr>
                <w:rFonts w:ascii="Times New Roman" w:hAnsi="Times New Roman"/>
                <w:kern w:val="0"/>
                <w:sz w:val="22"/>
                <w:szCs w:val="20"/>
              </w:rPr>
            </w:pPr>
          </w:p>
        </w:tc>
        <w:tc>
          <w:tcPr>
            <w:tcW w:w="1462" w:type="dxa"/>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Times New Roman" w:hAnsi="Times New Roman"/>
                <w:kern w:val="0"/>
                <w:sz w:val="22"/>
                <w:szCs w:val="20"/>
              </w:rPr>
            </w:pPr>
            <w:r>
              <w:rPr>
                <w:rFonts w:ascii="Times New Roman" w:hAnsi="Times New Roman"/>
                <w:kern w:val="0"/>
                <w:sz w:val="22"/>
                <w:szCs w:val="20"/>
              </w:rPr>
              <w:t>新时期扫盲工作（2分）</w:t>
            </w:r>
          </w:p>
        </w:tc>
        <w:tc>
          <w:tcPr>
            <w:tcW w:w="57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Times New Roman" w:hAnsi="Times New Roman"/>
                <w:kern w:val="0"/>
                <w:sz w:val="22"/>
                <w:szCs w:val="20"/>
              </w:rPr>
            </w:pPr>
            <w:r>
              <w:rPr>
                <w:rFonts w:ascii="Times New Roman" w:hAnsi="Times New Roman"/>
                <w:kern w:val="0"/>
                <w:sz w:val="22"/>
                <w:szCs w:val="20"/>
              </w:rPr>
              <w:t>等级给分制</w:t>
            </w:r>
          </w:p>
        </w:tc>
        <w:tc>
          <w:tcPr>
            <w:tcW w:w="5586" w:type="dxa"/>
            <w:tcBorders>
              <w:top w:val="single" w:color="000000" w:sz="4" w:space="0"/>
              <w:left w:val="nil"/>
              <w:bottom w:val="single" w:color="000000" w:sz="4" w:space="0"/>
              <w:right w:val="single" w:color="000000" w:sz="4" w:space="0"/>
            </w:tcBorders>
            <w:vAlign w:val="center"/>
          </w:tcPr>
          <w:p>
            <w:pPr>
              <w:spacing w:line="360" w:lineRule="exact"/>
              <w:ind w:firstLine="440" w:firstLineChars="200"/>
              <w:rPr>
                <w:rFonts w:ascii="Times New Roman" w:hAnsi="Times New Roman"/>
                <w:kern w:val="0"/>
                <w:sz w:val="22"/>
                <w:szCs w:val="20"/>
              </w:rPr>
            </w:pPr>
            <w:r>
              <w:rPr>
                <w:rFonts w:ascii="Times New Roman" w:hAnsi="Times New Roman"/>
                <w:kern w:val="0"/>
                <w:sz w:val="22"/>
                <w:szCs w:val="20"/>
              </w:rPr>
              <w:t>完成当年扫盲任务数110%及以上且对全部脱盲人员完成信息更改的，</w:t>
            </w:r>
            <w:r>
              <w:rPr>
                <w:rFonts w:hint="eastAsia" w:ascii="Times New Roman" w:hAnsi="Times New Roman"/>
                <w:kern w:val="0"/>
                <w:sz w:val="22"/>
                <w:szCs w:val="20"/>
              </w:rPr>
              <w:t>青壮年残疾人扫盲工作推进有效的</w:t>
            </w:r>
            <w:r>
              <w:rPr>
                <w:rFonts w:ascii="Times New Roman" w:hAnsi="Times New Roman"/>
                <w:kern w:val="0"/>
                <w:sz w:val="22"/>
                <w:szCs w:val="20"/>
              </w:rPr>
              <w:t>为优秀；完成当年扫盲任务数100%及以上，且对80%及以上脱盲人员完成信息更改的，</w:t>
            </w:r>
            <w:r>
              <w:rPr>
                <w:rFonts w:hint="eastAsia" w:ascii="Times New Roman" w:hAnsi="Times New Roman"/>
                <w:kern w:val="0"/>
                <w:sz w:val="22"/>
                <w:szCs w:val="20"/>
              </w:rPr>
              <w:t>组织开展青壮年残疾人扫盲工作的</w:t>
            </w:r>
            <w:r>
              <w:rPr>
                <w:rFonts w:ascii="Times New Roman" w:hAnsi="Times New Roman"/>
                <w:kern w:val="0"/>
                <w:sz w:val="22"/>
                <w:szCs w:val="20"/>
              </w:rPr>
              <w:t>为合格；其余为不合格。</w:t>
            </w:r>
          </w:p>
        </w:tc>
      </w:tr>
    </w:tbl>
    <w:p>
      <w:pPr>
        <w:rPr>
          <w:rFonts w:hint="eastAsia" w:ascii="宋体" w:hAnsi="宋体" w:eastAsia="宋体" w:cs="宋体"/>
          <w:sz w:val="24"/>
          <w:szCs w:val="24"/>
        </w:rPr>
      </w:pPr>
      <w:r>
        <w:rPr>
          <w:rFonts w:hint="eastAsia" w:ascii="宋体" w:hAnsi="宋体" w:eastAsia="宋体" w:cs="宋体"/>
          <w:sz w:val="24"/>
          <w:szCs w:val="24"/>
        </w:rPr>
        <w:t>注：1.其他考核指标请参照《关于做好“十三五”期间“市县职业教育发展考核”工作的通知》；</w:t>
      </w:r>
    </w:p>
    <w:p>
      <w:pPr>
        <w:rPr>
          <w:rFonts w:hint="eastAsia" w:ascii="宋体" w:hAnsi="宋体" w:eastAsia="宋体" w:cs="宋体"/>
          <w:sz w:val="24"/>
          <w:szCs w:val="24"/>
        </w:rPr>
      </w:pPr>
      <w:r>
        <w:rPr>
          <w:rFonts w:hint="eastAsia" w:ascii="宋体" w:hAnsi="宋体" w:eastAsia="宋体" w:cs="宋体"/>
          <w:sz w:val="24"/>
          <w:szCs w:val="24"/>
        </w:rPr>
        <w:t>2.各地在系统</w:t>
      </w:r>
      <w:bookmarkStart w:id="0" w:name="_GoBack"/>
      <w:bookmarkEnd w:id="0"/>
      <w:r>
        <w:rPr>
          <w:rFonts w:hint="eastAsia" w:ascii="宋体" w:hAnsi="宋体" w:eastAsia="宋体" w:cs="宋体"/>
          <w:sz w:val="24"/>
          <w:szCs w:val="24"/>
        </w:rPr>
        <w:t>填报考核数据时应按要求上传佐证材料，作为省级评分的依据。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经典中圆简">
    <w:panose1 w:val="02010609000101010101"/>
    <w:charset w:val="86"/>
    <w:family w:val="auto"/>
    <w:pitch w:val="default"/>
    <w:sig w:usb0="A1007AEF" w:usb1="F9DF7CFB" w:usb2="0000001E" w:usb3="00000000" w:csb0="2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E1C4D"/>
    <w:rsid w:val="71EE1C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2018-05-24T03:57:00Z</dcterms:created>
  <dc:creator>吃太多会累</dc:creator>
  <cp:lastModifiedBy>吃太多会累</cp:lastModifiedBy>
  <dcterms:modified xsi:type="dcterms:W3CDTF">2018-05-24T04:01:19Z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