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color w:val="auto"/>
          <w:position w:val="0"/>
          <w:sz w:val="30"/>
          <w:szCs w:val="30"/>
        </w:rPr>
        <w:t xml:space="preserve">附件：    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2570"/>
        <w:jc w:val="both"/>
        <w:rPr>
          <w:rFonts w:hint="default" w:ascii="仿宋" w:hAnsi="仿宋" w:eastAsia="仿宋"/>
          <w:b/>
          <w:color w:val="auto"/>
          <w:position w:val="0"/>
          <w:sz w:val="32"/>
          <w:szCs w:val="32"/>
        </w:rPr>
      </w:pPr>
      <w:bookmarkStart w:id="0" w:name="_GoBack"/>
      <w:r>
        <w:rPr>
          <w:rFonts w:hint="default" w:ascii="仿宋" w:hAnsi="仿宋" w:eastAsia="仿宋"/>
          <w:b/>
          <w:color w:val="auto"/>
          <w:position w:val="0"/>
          <w:sz w:val="32"/>
          <w:szCs w:val="32"/>
        </w:rPr>
        <w:t>已报送典型案例的学校名单</w:t>
      </w:r>
    </w:p>
    <w:bookmarkEnd w:id="0"/>
    <w:tbl>
      <w:tblPr>
        <w:tblStyle w:val="29"/>
        <w:tblW w:w="921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44"/>
        <w:gridCol w:w="859"/>
        <w:gridCol w:w="2074"/>
        <w:gridCol w:w="3643"/>
        <w:gridCol w:w="9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2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项目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地区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学  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名称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杭州市中策职业学校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名师网络工作室研修共同体培训模式实践探索——沈柏民名师及名师工作室建设项目阶段性建设成果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333333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333333"/>
                <w:position w:val="0"/>
                <w:sz w:val="24"/>
                <w:szCs w:val="24"/>
              </w:rPr>
              <w:t>沈柏民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大师工作室建设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杭州市中策职业学校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以胡忠英大师工作室为载体，全面促进烹饪青年教师“六个一”工程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龚志强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大师工作室建设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温州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温州市职业中等专业学校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企业“大师”对接中职“名师”   协同共育职教师资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韩慧琴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大师工作室建设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温州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温州护士学校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一领二建三优化，依托大师工作室完善师资队伍建设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金哨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嘉兴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嘉善信息技术工程学校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基于平台的中职信息化师资队伍培养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丁蕾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嘉兴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桐乡市卫生学校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为教师服务，与行业牵手——杨建芬护理名师工作室建设案例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杨建芬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嘉兴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海宁市职业高级中学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“一体三纵四横”打造名师引领的师资团队 ——朱滢元名师工作室教师团队建设典型案例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朱峥艳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浙江信息工程学校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构建“导航+孵化”平台   助力“共性+个性”成长——浙江信息工程学校姚志恩中职名师工作室建设典型案例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姚志恩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长兴县职业技术教育中心学校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五位一体，打造品牌教师团队——浙江省“三名工程”建设典型案例（师资队伍建设）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霍永红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大师工作室建设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德清职业中专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大师引领培养团队  工匠精神培育师资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白杨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德清职业中专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教师成长的阶梯、展示的平台、服务的中心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杨月明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浙江交通技师学院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实施六大工程，构筑专业化教师队伍---“应建明名师工作室”青年教师队伍建设典型案例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陈建林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台州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三门职业中专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搭建名师成长服务平台 打造优秀教师群体品牌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何贤超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名师工作室建设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丽水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遂昌县职业中等专业学校</w:t>
            </w:r>
          </w:p>
        </w:tc>
        <w:tc>
          <w:tcPr>
            <w:tcW w:w="3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名师引领助推师资队伍建设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谢芝兰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tbl>
      <w:tblPr>
        <w:tblStyle w:val="29"/>
        <w:tblW w:w="924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907"/>
        <w:gridCol w:w="2296"/>
        <w:gridCol w:w="3969"/>
        <w:gridCol w:w="9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项目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地区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学  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杭州市交通职业高级中学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创设多元载体 教师集群发展——杭州交通职高教师团队建设案例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姚翔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杭州市中策职业学校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“鸿雁”工程  打造名校教师核心竞争——杭州市中策职业学校师资队伍建设篇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李霄谷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杭州市中策职业学校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培养国际教师团队 对接国际标准竞赛形成国际课程体系 提升师生国际素养——中策职校中新英国际合作项目探索与实践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陈英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宁波经贸学校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多方联动  分层推进  构建名校教师“塔式”培养体系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郑维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嘉兴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海宁市职业高级中学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实施“三航”工程，打造名优教师团队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朱峥艳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浙江信息工程学校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“三纵三横多分支”打造高品质师资队伍——浙江信息工程学校中职名校师资队伍建设典型案例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李真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德清职业中专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以“三雁工程”为抓手打造“三合一”师资品牌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李云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长兴技师学院</w:t>
            </w:r>
          </w:p>
        </w:tc>
        <w:tc>
          <w:tcPr>
            <w:tcW w:w="4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一体两翼，刚柔并济，构建职教师资建设“543”模式——长兴技师学院师资队伍建设典型案例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湖州艺术与设计学校</w:t>
            </w:r>
          </w:p>
        </w:tc>
        <w:tc>
          <w:tcPr>
            <w:tcW w:w="4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“四维并举、五元交替”双师型教师口口团队建设研究与实践——浙江省湖州艺术与设计学校名校教师队伍建设典型案例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绍兴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绍兴市柯桥区职业教育中心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打造“校企两栖”专业教师 实现技能人才培养与产业无缝对接——绍兴市柯桥区职业教育中心“校企两栖型”专业教师炼成记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傅丽娟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绍兴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绍兴市职业教育中心</w:t>
            </w:r>
          </w:p>
        </w:tc>
        <w:tc>
          <w:tcPr>
            <w:tcW w:w="4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基于双维视域的中职品牌师资团队建设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浙江交通技师学院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创新德育实践活动 培养学生核心素养——浙江交通技师学院学生核心素养实践周活动案例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雷彬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浙江交通技师学院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构建“五位一体”中职班主任专业化培养模式——核心素养视域下的中职班主任队伍能力提升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黄娇莹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浙江省机电技师学院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“组合拳”出击 全方位助推教师成长——浙江省机电技师学院“卓越师资团队建设工程”品牌案例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曹小其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名校建设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衢州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衢州中等专业学校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“一轴四轮”驱动师资队伍建设——衢州中等专业学校师资队伍建设典型案例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何全民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tbl>
      <w:tblPr>
        <w:tblStyle w:val="29"/>
        <w:tblW w:w="924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4"/>
        <w:gridCol w:w="848"/>
        <w:gridCol w:w="2221"/>
        <w:gridCol w:w="3969"/>
        <w:gridCol w:w="9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6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项目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地区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学  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杭州市开元商贸职业学校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师德为先、梯队培养、科研兴教——电子商务品牌专业师资队伍建设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楼云兰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杭州市中策职业学校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“中小策”新媒体中心建设背景下学生专业社团发展的思考与探索---以学校“绘社稷”学生媒体制作社团为例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云跃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宁波市鄞州职业高级中学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中职专业教师在技能大赛中的成长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何旭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宁波镇海区职业教育中心学校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构建多元教师梯队 对接港口特色经济——浙江省“三名工程”优势特色专业港口机械运行与维护师资队伍建设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陈磊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4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宁波经贸学校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发展教师 成就学生 打造“师生成长共同体”----宁波经贸学校物流服务与管理“名专业”建设之师资队伍建设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江民鑫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宁波经贸学校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以工作室为载体，促进教师成长——宁波经贸学校药学专业典型案例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刘艳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德清职业中专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“精致”师资团队，教学再上一层楼——民宿专业教师队伍建设经验及典型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赵芳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湖州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德清职业中专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“名师引领·双师导向”的师资队伍建设典型案例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沈勤峰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义乌市城镇职业技术学校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产教融合培名师，特色示范育新人——校企共建的专业名师培育之路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冯国英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金华实验中学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一二三四向前进，德技融通铸英才——金华实验中学学前教育专业师资队伍建设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徐建军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义乌市国际商贸学校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基于“理实一体化”导生制教学模式的探索和实践——促进汽修专业教学质量的提升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黄昌周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金华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义乌市国际商贸学校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利用三体融合（教学、企业实践、技能鉴定）的过程化技能鉴定——提高汽修专业学生的综合技能水平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黄昌周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2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名专业建设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丽水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青田县职业技术学校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石雕工艺专业创新“三生三品”人才培养模式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叶申军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smallCaps w:val="0"/>
          <w:color w:val="auto"/>
          <w:spacing w:val="0"/>
          <w:position w:val="0"/>
          <w:sz w:val="21"/>
          <w:szCs w:val="21"/>
          <w:vertAlign w:val="baseline"/>
        </w:rPr>
      </w:pPr>
    </w:p>
    <w:sectPr>
      <w:pgSz w:w="11906" w:h="16838"/>
      <w:pgMar w:top="1440" w:right="1418" w:bottom="1440" w:lef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33530A2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name="header"/>
    <w:lsdException w:qFormat="1"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159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57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uiPriority w:val="2"/>
  </w:style>
  <w:style w:type="table" w:default="1" w:styleId="29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Balloon Text"/>
    <w:basedOn w:val="1"/>
    <w:link w:val="43"/>
    <w:semiHidden/>
    <w:unhideWhenUsed/>
    <w:uiPriority w:val="157"/>
    <w:rPr>
      <w:w w:val="100"/>
      <w:sz w:val="18"/>
      <w:szCs w:val="18"/>
      <w:shd w:val="clear"/>
    </w:rPr>
  </w:style>
  <w:style w:type="paragraph" w:styleId="16">
    <w:name w:val="footer"/>
    <w:basedOn w:val="1"/>
    <w:link w:val="41"/>
    <w:semiHidden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0"/>
    <w:semiHidden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8">
    <w:name w:val="Hyperlink"/>
    <w:basedOn w:val="25"/>
    <w:unhideWhenUsed/>
    <w:uiPriority w:val="159"/>
    <w:rPr>
      <w:color w:val="0000FF" w:themeColor="hyperlink"/>
      <w:w w:val="100"/>
      <w:sz w:val="20"/>
      <w:szCs w:val="20"/>
      <w:u w:val="single"/>
      <w:shd w:val="clear"/>
      <w14:textFill>
        <w14:solidFill>
          <w14:schemeClr w14:val="hlink"/>
        </w14:solidFill>
      </w14:textFill>
    </w:r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40">
    <w:name w:val="页眉 字符"/>
    <w:basedOn w:val="25"/>
    <w:link w:val="17"/>
    <w:semiHidden/>
    <w:qFormat/>
    <w:uiPriority w:val="153"/>
    <w:rPr>
      <w:w w:val="100"/>
      <w:sz w:val="18"/>
      <w:szCs w:val="18"/>
      <w:shd w:val="clear"/>
    </w:rPr>
  </w:style>
  <w:style w:type="character" w:customStyle="1" w:styleId="41">
    <w:name w:val="页脚 字符"/>
    <w:basedOn w:val="25"/>
    <w:link w:val="16"/>
    <w:semiHidden/>
    <w:qFormat/>
    <w:uiPriority w:val="155"/>
    <w:rPr>
      <w:w w:val="100"/>
      <w:sz w:val="18"/>
      <w:szCs w:val="18"/>
      <w:shd w:val="clear"/>
    </w:rPr>
  </w:style>
  <w:style w:type="character" w:customStyle="1" w:styleId="42">
    <w:name w:val="apple-converted-space"/>
    <w:basedOn w:val="25"/>
    <w:qFormat/>
    <w:uiPriority w:val="156"/>
  </w:style>
  <w:style w:type="character" w:customStyle="1" w:styleId="43">
    <w:name w:val="批注框文本 字符"/>
    <w:basedOn w:val="25"/>
    <w:link w:val="15"/>
    <w:semiHidden/>
    <w:uiPriority w:val="158"/>
    <w:rPr>
      <w:w w:val="100"/>
      <w:sz w:val="18"/>
      <w:szCs w:val="18"/>
      <w:shd w:val="clear"/>
    </w:rPr>
  </w:style>
  <w:style w:type="character" w:customStyle="1" w:styleId="44">
    <w:name w:val="Unresolved Mention"/>
    <w:basedOn w:val="25"/>
    <w:semiHidden/>
    <w:unhideWhenUsed/>
    <w:uiPriority w:val="160"/>
    <w:rPr>
      <w:color w:val="605E5C"/>
      <w:w w:val="100"/>
      <w:sz w:val="20"/>
      <w:szCs w:val="20"/>
      <w:shd w:val="clear" w:color="000000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4</Pages>
  <Words>464</Words>
  <Characters>3104</Characters>
  <Lines>22</Lines>
  <Paragraphs>6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2018-08-22T08:07:12Z</dcterms:created>
  <dc:creator>2013</dc:creator>
  <cp:lastModifiedBy>吃太多会累</cp:lastModifiedBy>
  <dcterms:modified xsi:type="dcterms:W3CDTF">2018-08-22T08:09:16Z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