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B5" w:rsidRDefault="005601B5" w:rsidP="005601B5">
      <w:pPr>
        <w:spacing w:line="560" w:lineRule="exact"/>
        <w:rPr>
          <w:rFonts w:eastAsia="方正小标宋简体"/>
          <w:bCs/>
          <w:color w:val="000000"/>
          <w:sz w:val="36"/>
          <w:szCs w:val="36"/>
        </w:rPr>
      </w:pPr>
      <w:r>
        <w:rPr>
          <w:rFonts w:ascii="Times New Roman" w:eastAsia="黑体" w:hAnsi="Times New Roman"/>
          <w:bCs/>
          <w:color w:val="000000"/>
          <w:sz w:val="32"/>
          <w:szCs w:val="32"/>
        </w:rPr>
        <w:t>附件</w:t>
      </w:r>
      <w:r>
        <w:rPr>
          <w:rFonts w:ascii="Times New Roman" w:eastAsia="黑体" w:hAnsi="Times New Roman"/>
          <w:bCs/>
          <w:color w:val="000000"/>
          <w:sz w:val="32"/>
          <w:szCs w:val="32"/>
        </w:rPr>
        <w:t xml:space="preserve">3  </w:t>
      </w:r>
      <w:r>
        <w:rPr>
          <w:rFonts w:eastAsia="仿宋_GB2312" w:hint="eastAsia"/>
          <w:bCs/>
          <w:color w:val="000000"/>
          <w:sz w:val="32"/>
          <w:szCs w:val="32"/>
        </w:rPr>
        <w:t xml:space="preserve">         </w:t>
      </w:r>
      <w:r>
        <w:rPr>
          <w:rFonts w:ascii="方正小标宋简体" w:eastAsia="方正小标宋简体" w:hAnsi="方正小标宋简体" w:cs="方正小标宋简体" w:hint="eastAsia"/>
          <w:bCs/>
          <w:color w:val="000000"/>
          <w:sz w:val="32"/>
          <w:szCs w:val="32"/>
        </w:rPr>
        <w:t xml:space="preserve"> </w:t>
      </w:r>
      <w:r>
        <w:rPr>
          <w:rFonts w:ascii="方正小标宋简体" w:eastAsia="方正小标宋简体" w:hAnsi="方正小标宋简体" w:cs="方正小标宋简体" w:hint="eastAsia"/>
          <w:bCs/>
          <w:color w:val="000000"/>
          <w:sz w:val="36"/>
          <w:szCs w:val="36"/>
        </w:rPr>
        <w:t>2019</w:t>
      </w:r>
      <w:r>
        <w:rPr>
          <w:rFonts w:eastAsia="方正小标宋简体" w:hint="eastAsia"/>
          <w:bCs/>
          <w:color w:val="000000"/>
          <w:sz w:val="36"/>
          <w:szCs w:val="36"/>
        </w:rPr>
        <w:t>年度网络学习空间应用优秀区域评价指标</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1814"/>
        <w:gridCol w:w="10363"/>
      </w:tblGrid>
      <w:tr w:rsidR="005601B5" w:rsidRPr="00E4576C" w:rsidTr="00790EF1">
        <w:trPr>
          <w:trHeight w:val="90"/>
        </w:trPr>
        <w:tc>
          <w:tcPr>
            <w:tcW w:w="1282" w:type="dxa"/>
            <w:shd w:val="clear" w:color="auto" w:fill="auto"/>
            <w:vAlign w:val="center"/>
          </w:tcPr>
          <w:p w:rsidR="005601B5" w:rsidRPr="00E4576C" w:rsidRDefault="005601B5" w:rsidP="00790EF1">
            <w:pPr>
              <w:spacing w:line="360" w:lineRule="exact"/>
              <w:jc w:val="center"/>
              <w:rPr>
                <w:rFonts w:ascii="仿宋" w:eastAsia="仿宋" w:hAnsi="仿宋"/>
                <w:b/>
                <w:szCs w:val="21"/>
              </w:rPr>
            </w:pPr>
            <w:r w:rsidRPr="00E4576C">
              <w:rPr>
                <w:rFonts w:ascii="仿宋" w:eastAsia="仿宋" w:hAnsi="仿宋" w:hint="eastAsia"/>
                <w:b/>
                <w:szCs w:val="21"/>
              </w:rPr>
              <w:t>一级指标</w:t>
            </w:r>
          </w:p>
        </w:tc>
        <w:tc>
          <w:tcPr>
            <w:tcW w:w="1814" w:type="dxa"/>
            <w:shd w:val="clear" w:color="auto" w:fill="auto"/>
            <w:vAlign w:val="center"/>
          </w:tcPr>
          <w:p w:rsidR="005601B5" w:rsidRPr="00E4576C" w:rsidRDefault="005601B5" w:rsidP="00790EF1">
            <w:pPr>
              <w:spacing w:line="360" w:lineRule="exact"/>
              <w:jc w:val="center"/>
              <w:rPr>
                <w:rFonts w:ascii="仿宋" w:eastAsia="仿宋" w:hAnsi="仿宋"/>
                <w:b/>
                <w:szCs w:val="21"/>
              </w:rPr>
            </w:pPr>
            <w:r w:rsidRPr="00E4576C">
              <w:rPr>
                <w:rFonts w:ascii="仿宋" w:eastAsia="仿宋" w:hAnsi="仿宋" w:hint="eastAsia"/>
                <w:b/>
                <w:szCs w:val="21"/>
              </w:rPr>
              <w:t>二级指标</w:t>
            </w:r>
          </w:p>
        </w:tc>
        <w:tc>
          <w:tcPr>
            <w:tcW w:w="10363" w:type="dxa"/>
            <w:shd w:val="clear" w:color="auto" w:fill="auto"/>
            <w:vAlign w:val="center"/>
          </w:tcPr>
          <w:p w:rsidR="005601B5" w:rsidRPr="00E4576C" w:rsidRDefault="005601B5" w:rsidP="00790EF1">
            <w:pPr>
              <w:spacing w:line="360" w:lineRule="exact"/>
              <w:jc w:val="center"/>
              <w:rPr>
                <w:rFonts w:ascii="仿宋" w:eastAsia="仿宋" w:hAnsi="仿宋"/>
                <w:b/>
                <w:szCs w:val="21"/>
              </w:rPr>
            </w:pPr>
            <w:r w:rsidRPr="00E4576C">
              <w:rPr>
                <w:rFonts w:ascii="仿宋" w:eastAsia="仿宋" w:hAnsi="仿宋" w:hint="eastAsia"/>
                <w:b/>
                <w:szCs w:val="21"/>
              </w:rPr>
              <w:t>指标描述</w:t>
            </w:r>
          </w:p>
        </w:tc>
      </w:tr>
      <w:tr w:rsidR="005601B5" w:rsidRPr="00E4576C" w:rsidTr="00790EF1">
        <w:tc>
          <w:tcPr>
            <w:tcW w:w="1282" w:type="dxa"/>
            <w:vMerge w:val="restart"/>
            <w:shd w:val="clear" w:color="auto" w:fill="auto"/>
            <w:vAlign w:val="center"/>
          </w:tcPr>
          <w:p w:rsidR="005601B5" w:rsidRPr="00E4576C" w:rsidRDefault="005601B5" w:rsidP="00790EF1">
            <w:pPr>
              <w:jc w:val="center"/>
              <w:rPr>
                <w:rFonts w:ascii="Times New Roman" w:eastAsia="仿宋" w:hAnsi="Times New Roman"/>
                <w:szCs w:val="21"/>
              </w:rPr>
            </w:pPr>
            <w:r w:rsidRPr="00E4576C">
              <w:rPr>
                <w:rFonts w:ascii="Times New Roman" w:eastAsia="仿宋" w:hAnsi="Times New Roman"/>
                <w:szCs w:val="21"/>
              </w:rPr>
              <w:t>建设与管理</w:t>
            </w:r>
          </w:p>
          <w:p w:rsidR="005601B5" w:rsidRPr="00E4576C" w:rsidRDefault="005601B5" w:rsidP="00790EF1">
            <w:pPr>
              <w:jc w:val="center"/>
              <w:rPr>
                <w:rFonts w:ascii="Times New Roman" w:eastAsia="仿宋" w:hAnsi="Times New Roman"/>
                <w:szCs w:val="21"/>
              </w:rPr>
            </w:pPr>
            <w:r w:rsidRPr="00E4576C">
              <w:rPr>
                <w:rFonts w:ascii="Times New Roman" w:eastAsia="仿宋" w:hAnsi="Times New Roman"/>
                <w:szCs w:val="21"/>
              </w:rPr>
              <w:t>（</w:t>
            </w:r>
            <w:r w:rsidRPr="00E4576C">
              <w:rPr>
                <w:rFonts w:ascii="Times New Roman" w:eastAsia="仿宋" w:hAnsi="Times New Roman"/>
                <w:szCs w:val="21"/>
              </w:rPr>
              <w:t>35</w:t>
            </w:r>
            <w:r w:rsidRPr="00E4576C">
              <w:rPr>
                <w:rFonts w:ascii="Times New Roman" w:eastAsia="仿宋" w:hAnsi="Times New Roman"/>
                <w:szCs w:val="21"/>
              </w:rPr>
              <w:t>分）</w:t>
            </w: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空间功能（</w:t>
            </w:r>
            <w:r w:rsidRPr="00E4576C">
              <w:rPr>
                <w:rFonts w:ascii="Times New Roman" w:eastAsia="仿宋" w:hAnsi="Times New Roman"/>
                <w:szCs w:val="21"/>
              </w:rPr>
              <w:t>15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bCs/>
                <w:color w:val="000000"/>
                <w:szCs w:val="21"/>
              </w:rPr>
              <w:t>网络学习空间基本符合《网络学习空间建设与应用指南》的要求。具备教师、学生、管理者、家长等个人空间的基本功能；具备班级、学校、区域教育服务机构等管理与应用的基本功能；聚合一定数量自主研发、企业提供的资源共享、教学支持、学习交互、决策评估等公共应用服务功能；具备数据分析服务功能，能够为使用者在教学分析、学习分析、学生能力发展分析、学生综合素质评价等方面提供服务</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推广普及（</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具有网络接入条件的</w:t>
            </w:r>
            <w:r w:rsidRPr="00E4576C">
              <w:rPr>
                <w:rFonts w:ascii="Times New Roman" w:eastAsia="仿宋" w:hAnsi="Times New Roman"/>
                <w:szCs w:val="21"/>
              </w:rPr>
              <w:t>80%</w:t>
            </w:r>
            <w:r w:rsidRPr="00E4576C">
              <w:rPr>
                <w:rFonts w:ascii="Times New Roman" w:eastAsia="仿宋" w:hAnsi="Times New Roman"/>
                <w:szCs w:val="21"/>
              </w:rPr>
              <w:t>以上的学校、教师，适龄学生开通空间</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体制机制创新</w:t>
            </w:r>
          </w:p>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w:t>
            </w:r>
            <w:r w:rsidRPr="00E4576C">
              <w:rPr>
                <w:rFonts w:ascii="Times New Roman" w:eastAsia="仿宋" w:hAnsi="Times New Roman"/>
                <w:szCs w:val="21"/>
              </w:rPr>
              <w:t>10</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创新体制机制，推动空间在教育服务供给、教育教学优质均衡发展、优秀教师智力资源共享等方面具有创新举措，并产生良好效果</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网络安全（</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年度内未发生网络安全事件，在内容安全、信息安全、数据安全等方面管理主体责任明确，具有应急处置等管理制度</w:t>
            </w:r>
          </w:p>
        </w:tc>
      </w:tr>
      <w:tr w:rsidR="005601B5" w:rsidRPr="00E4576C" w:rsidTr="00790EF1">
        <w:tc>
          <w:tcPr>
            <w:tcW w:w="1282" w:type="dxa"/>
            <w:vMerge w:val="restart"/>
            <w:shd w:val="clear" w:color="auto" w:fill="auto"/>
            <w:vAlign w:val="center"/>
          </w:tcPr>
          <w:p w:rsidR="005601B5" w:rsidRPr="00E4576C" w:rsidRDefault="005601B5" w:rsidP="00790EF1">
            <w:pPr>
              <w:jc w:val="center"/>
              <w:rPr>
                <w:rFonts w:ascii="Times New Roman" w:eastAsia="仿宋" w:hAnsi="Times New Roman"/>
                <w:szCs w:val="21"/>
              </w:rPr>
            </w:pPr>
            <w:r w:rsidRPr="00E4576C">
              <w:rPr>
                <w:rFonts w:ascii="Times New Roman" w:eastAsia="仿宋" w:hAnsi="Times New Roman"/>
                <w:szCs w:val="21"/>
              </w:rPr>
              <w:t>服务与应用（</w:t>
            </w:r>
            <w:r w:rsidRPr="00E4576C">
              <w:rPr>
                <w:rFonts w:ascii="Times New Roman" w:eastAsia="仿宋" w:hAnsi="Times New Roman"/>
                <w:szCs w:val="21"/>
              </w:rPr>
              <w:t>50</w:t>
            </w:r>
            <w:r w:rsidRPr="00E4576C">
              <w:rPr>
                <w:rFonts w:ascii="Times New Roman" w:eastAsia="仿宋" w:hAnsi="Times New Roman"/>
                <w:szCs w:val="21"/>
              </w:rPr>
              <w:t>分）</w:t>
            </w: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推进策略（</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具有不断提升空间服务质量，进行空间普及应用的具体措施与办法</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技术支持（</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有专门的组织与人员，通过在线服务等有效途径及时解决教师与学生等在空间应用过程中遇到的技术问题</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培训推广（</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通过培训、研修等方式，提升教育管理者对空间的理解认识与应用管理水平，提升教师空间应用能力和信息素养；开展空间应用普及活动，进行空间应用典型经验宣传和推广，发挥引领、示范作用</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创新应用（</w:t>
            </w:r>
            <w:r w:rsidRPr="00E4576C">
              <w:rPr>
                <w:rFonts w:ascii="Times New Roman" w:eastAsia="仿宋" w:hAnsi="Times New Roman"/>
                <w:szCs w:val="21"/>
              </w:rPr>
              <w:t>20</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利用空间掌握学校动态、开展教学评估、优化教学资源配置和智力资源供给，基于数据改善资源调配机制、教师评价机制等，推进管理业务重组、流程再造，实现过程化评估和精细化管理等；推动空间支持的教育管理模式、教学应用模式创新等</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典型案例（</w:t>
            </w:r>
            <w:r w:rsidRPr="00E4576C">
              <w:rPr>
                <w:rFonts w:ascii="Times New Roman" w:eastAsia="仿宋" w:hAnsi="Times New Roman"/>
                <w:szCs w:val="21"/>
              </w:rPr>
              <w:t>10</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区域内学校不少于一所获得</w:t>
            </w:r>
            <w:r w:rsidRPr="00E4576C">
              <w:rPr>
                <w:rFonts w:ascii="Times New Roman" w:eastAsia="仿宋" w:hAnsi="Times New Roman"/>
                <w:szCs w:val="21"/>
              </w:rPr>
              <w:t>2019</w:t>
            </w:r>
            <w:r w:rsidRPr="00E4576C">
              <w:rPr>
                <w:rFonts w:ascii="Times New Roman" w:eastAsia="仿宋" w:hAnsi="Times New Roman"/>
                <w:szCs w:val="21"/>
              </w:rPr>
              <w:t>年度网络学习空间应用优秀学校</w:t>
            </w:r>
          </w:p>
        </w:tc>
      </w:tr>
      <w:tr w:rsidR="005601B5" w:rsidRPr="00E4576C" w:rsidTr="00790EF1">
        <w:tc>
          <w:tcPr>
            <w:tcW w:w="1282" w:type="dxa"/>
            <w:vMerge/>
            <w:shd w:val="clear" w:color="auto" w:fill="auto"/>
            <w:vAlign w:val="center"/>
          </w:tcPr>
          <w:p w:rsidR="005601B5" w:rsidRPr="00E4576C" w:rsidRDefault="005601B5" w:rsidP="00790EF1">
            <w:pPr>
              <w:jc w:val="center"/>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社会评价（</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通过组织现场会等方式，将区域形成的典型经验在其他区域等更大范围内进行推广；区域空间建设与应用案例入选国家教育信息化应用典型案例等；媒体对区域空间建设与应用取得的成效等进行宣传报道；</w:t>
            </w:r>
            <w:r w:rsidRPr="00E4576C">
              <w:rPr>
                <w:rFonts w:ascii="Times New Roman" w:eastAsia="仿宋" w:hAnsi="Times New Roman"/>
                <w:kern w:val="0"/>
                <w:szCs w:val="21"/>
              </w:rPr>
              <w:t>其他社会影响，成效显著，获得认可</w:t>
            </w:r>
          </w:p>
        </w:tc>
      </w:tr>
      <w:tr w:rsidR="005601B5" w:rsidRPr="00E4576C" w:rsidTr="00790EF1">
        <w:tc>
          <w:tcPr>
            <w:tcW w:w="1282" w:type="dxa"/>
            <w:vMerge w:val="restart"/>
            <w:shd w:val="clear" w:color="auto" w:fill="auto"/>
            <w:vAlign w:val="center"/>
          </w:tcPr>
          <w:p w:rsidR="005601B5" w:rsidRPr="00E4576C" w:rsidRDefault="005601B5" w:rsidP="00790EF1">
            <w:pPr>
              <w:jc w:val="center"/>
              <w:rPr>
                <w:rFonts w:ascii="Times New Roman" w:eastAsia="仿宋" w:hAnsi="Times New Roman"/>
                <w:szCs w:val="21"/>
              </w:rPr>
            </w:pPr>
            <w:r w:rsidRPr="00E4576C">
              <w:rPr>
                <w:rFonts w:ascii="Times New Roman" w:eastAsia="仿宋" w:hAnsi="Times New Roman"/>
                <w:szCs w:val="21"/>
              </w:rPr>
              <w:t>织与保障（</w:t>
            </w:r>
            <w:r w:rsidRPr="00E4576C">
              <w:rPr>
                <w:rFonts w:ascii="Times New Roman" w:eastAsia="仿宋" w:hAnsi="Times New Roman"/>
                <w:szCs w:val="21"/>
              </w:rPr>
              <w:t>15</w:t>
            </w:r>
            <w:r w:rsidRPr="00E4576C">
              <w:rPr>
                <w:rFonts w:ascii="Times New Roman" w:eastAsia="仿宋" w:hAnsi="Times New Roman"/>
                <w:szCs w:val="21"/>
              </w:rPr>
              <w:t>分）</w:t>
            </w: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政策保障（</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从教研服务、教师能力提升、咨询服务等方面制定管理办法，建立空间应用激励、评价、督促机制，保障空间常态化应用</w:t>
            </w:r>
          </w:p>
        </w:tc>
      </w:tr>
      <w:tr w:rsidR="005601B5" w:rsidRPr="00E4576C" w:rsidTr="00790EF1">
        <w:tc>
          <w:tcPr>
            <w:tcW w:w="1282" w:type="dxa"/>
            <w:vMerge/>
            <w:shd w:val="clear" w:color="auto" w:fill="auto"/>
            <w:vAlign w:val="center"/>
          </w:tcPr>
          <w:p w:rsidR="005601B5" w:rsidRPr="00E4576C" w:rsidRDefault="005601B5" w:rsidP="00790EF1">
            <w:pPr>
              <w:pStyle w:val="a4"/>
              <w:ind w:left="420" w:firstLineChars="0" w:firstLine="0"/>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资金保障（</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具有可持续的资金投入，不断完善网络学习空间功能，丰富</w:t>
            </w:r>
            <w:r w:rsidRPr="00E4576C">
              <w:rPr>
                <w:rFonts w:ascii="Times New Roman" w:eastAsia="仿宋" w:hAnsi="Times New Roman"/>
                <w:bCs/>
                <w:color w:val="000000"/>
                <w:szCs w:val="21"/>
              </w:rPr>
              <w:t>公共应用服务，提升空间应用普及率及应用水平</w:t>
            </w:r>
          </w:p>
        </w:tc>
      </w:tr>
      <w:tr w:rsidR="005601B5" w:rsidRPr="00E4576C" w:rsidTr="00790EF1">
        <w:tc>
          <w:tcPr>
            <w:tcW w:w="1282" w:type="dxa"/>
            <w:vMerge/>
            <w:shd w:val="clear" w:color="auto" w:fill="auto"/>
            <w:vAlign w:val="center"/>
          </w:tcPr>
          <w:p w:rsidR="005601B5" w:rsidRPr="00E4576C" w:rsidRDefault="005601B5" w:rsidP="00790EF1">
            <w:pPr>
              <w:pStyle w:val="a4"/>
              <w:numPr>
                <w:ilvl w:val="0"/>
                <w:numId w:val="1"/>
              </w:numPr>
              <w:ind w:firstLineChars="0"/>
              <w:rPr>
                <w:rFonts w:ascii="Times New Roman" w:eastAsia="仿宋" w:hAnsi="Times New Roman"/>
                <w:szCs w:val="21"/>
              </w:rPr>
            </w:pPr>
          </w:p>
        </w:tc>
        <w:tc>
          <w:tcPr>
            <w:tcW w:w="1814"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人员保障（</w:t>
            </w:r>
            <w:r w:rsidRPr="00E4576C">
              <w:rPr>
                <w:rFonts w:ascii="Times New Roman" w:eastAsia="仿宋" w:hAnsi="Times New Roman"/>
                <w:szCs w:val="21"/>
              </w:rPr>
              <w:t>5</w:t>
            </w:r>
            <w:r w:rsidRPr="00E4576C">
              <w:rPr>
                <w:rFonts w:ascii="Times New Roman" w:eastAsia="仿宋" w:hAnsi="Times New Roman"/>
                <w:szCs w:val="21"/>
              </w:rPr>
              <w:t>分）</w:t>
            </w:r>
          </w:p>
        </w:tc>
        <w:tc>
          <w:tcPr>
            <w:tcW w:w="10363" w:type="dxa"/>
            <w:shd w:val="clear" w:color="auto" w:fill="auto"/>
            <w:vAlign w:val="center"/>
          </w:tcPr>
          <w:p w:rsidR="005601B5" w:rsidRPr="00E4576C" w:rsidRDefault="005601B5" w:rsidP="00790EF1">
            <w:pPr>
              <w:rPr>
                <w:rFonts w:ascii="Times New Roman" w:eastAsia="仿宋" w:hAnsi="Times New Roman"/>
                <w:szCs w:val="21"/>
              </w:rPr>
            </w:pPr>
            <w:r w:rsidRPr="00E4576C">
              <w:rPr>
                <w:rFonts w:ascii="Times New Roman" w:eastAsia="仿宋" w:hAnsi="Times New Roman"/>
                <w:szCs w:val="21"/>
              </w:rPr>
              <w:t>具有专门机构负责空间应用与服务，且有一定数量的专职人员从事网络学习空间的建设、管理与服务工作</w:t>
            </w:r>
          </w:p>
        </w:tc>
      </w:tr>
    </w:tbl>
    <w:p w:rsidR="00224FA4" w:rsidRDefault="0068167B"/>
    <w:sectPr w:rsidR="00224FA4" w:rsidSect="00B14829">
      <w:footerReference w:type="default" r:id="rId5"/>
      <w:footerReference w:type="first" r:id="rId6"/>
      <w:pgSz w:w="16838" w:h="11906" w:orient="landscape"/>
      <w:pgMar w:top="1361" w:right="1797" w:bottom="1361" w:left="1797" w:header="851" w:footer="992" w:gutter="0"/>
      <w:pgNumType w:fmt="numberInDash"/>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C" w:rsidRDefault="0068167B">
    <w:pPr>
      <w:pStyle w:val="a3"/>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mso-wrap-style:none;mso-position-horizontal:center;mso-position-horizontal-relative:margin" filled="f" stroked="f" strokeweight="1.25pt">
          <v:textbox style="mso-next-textbox:#文本框 4;mso-fit-shape-to-text:t" inset="0,0,0,0">
            <w:txbxContent>
              <w:p w:rsidR="00E4576C" w:rsidRDefault="0068167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5601B5">
                  <w:rPr>
                    <w:noProof/>
                  </w:rPr>
                  <w:t>- 2 -</w:t>
                </w:r>
                <w:r>
                  <w:rPr>
                    <w:rFonts w:hint="eastAsia"/>
                  </w:rPr>
                  <w:fldChar w:fldCharType="end"/>
                </w:r>
              </w:p>
            </w:txbxContent>
          </v:textbox>
          <w10:wrap anchorx="margin"/>
        </v:shape>
      </w:pict>
    </w:r>
    <w:r>
      <w:pict>
        <v:shape id="文本框 5" o:spid="_x0000_s1025" type="#_x0000_t202" style="position:absolute;margin-left:0;margin-top:0;width:2in;height:2in;z-index:251660288;mso-wrap-style:none;mso-position-horizontal:center;mso-position-horizontal-relative:margin" filled="f" stroked="f" strokeweight="1.25pt">
          <v:textbox style="mso-next-textbox:#文本框 5;mso-fit-shape-to-text:t" inset="0,0,0,0">
            <w:txbxContent>
              <w:p w:rsidR="00E4576C" w:rsidRDefault="0068167B">
                <w:pPr>
                  <w:snapToGrid w:val="0"/>
                  <w:rPr>
                    <w:rFonts w:hint="eastAsia"/>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C" w:rsidRDefault="0068167B">
    <w:pPr>
      <w:pStyle w:val="a3"/>
    </w:pPr>
    <w:r>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62336;mso-wrap-style:none;mso-position-horizontal:center;mso-position-horizontal-relative:margin" filled="f" stroked="f" strokeweight="1.25pt">
          <v:fill o:detectmouseclick="t"/>
          <v:textbox style="mso-next-textbox:#文本框 6;mso-fit-shape-to-text:t" inset="0,0,0,0">
            <w:txbxContent>
              <w:p w:rsidR="00E4576C" w:rsidRDefault="0068167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5601B5">
                  <w:rPr>
                    <w:noProof/>
                  </w:rPr>
                  <w:t>- 1 -</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5337F"/>
    <w:multiLevelType w:val="multilevel"/>
    <w:tmpl w:val="66E533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601B5"/>
    <w:rsid w:val="000D0ECA"/>
    <w:rsid w:val="002F60CB"/>
    <w:rsid w:val="005601B5"/>
    <w:rsid w:val="0068167B"/>
    <w:rsid w:val="00833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601B5"/>
    <w:rPr>
      <w:sz w:val="18"/>
      <w:szCs w:val="18"/>
    </w:rPr>
  </w:style>
  <w:style w:type="paragraph" w:styleId="a3">
    <w:name w:val="footer"/>
    <w:basedOn w:val="a"/>
    <w:link w:val="Char"/>
    <w:uiPriority w:val="99"/>
    <w:rsid w:val="005601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5601B5"/>
    <w:rPr>
      <w:rFonts w:ascii="Calibri" w:eastAsia="宋体" w:hAnsi="Calibri" w:cs="Times New Roman"/>
      <w:sz w:val="18"/>
      <w:szCs w:val="18"/>
    </w:rPr>
  </w:style>
  <w:style w:type="paragraph" w:styleId="a4">
    <w:name w:val="List Paragraph"/>
    <w:basedOn w:val="a"/>
    <w:uiPriority w:val="34"/>
    <w:qFormat/>
    <w:rsid w:val="005601B5"/>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2019-11-08T02:00:00Z</dcterms:created>
  <dcterms:modified xsi:type="dcterms:W3CDTF">2019-11-08T02:00:00Z</dcterms:modified>
</cp:coreProperties>
</file>