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3" w:rsidRDefault="005A37AD">
      <w:pPr>
        <w:jc w:val="center"/>
        <w:rPr>
          <w:rFonts w:ascii="仿宋" w:eastAsia="仿宋" w:hAnsi="仿宋" w:cs="仿宋"/>
          <w:b/>
          <w:bCs/>
          <w:sz w:val="32"/>
          <w:szCs w:val="32"/>
        </w:rPr>
      </w:pPr>
      <w:r>
        <w:rPr>
          <w:rFonts w:ascii="仿宋" w:eastAsia="仿宋" w:hAnsi="仿宋" w:cs="仿宋" w:hint="eastAsia"/>
          <w:b/>
          <w:bCs/>
          <w:sz w:val="32"/>
          <w:szCs w:val="32"/>
        </w:rPr>
        <w:t>杭州市财经职业学校</w:t>
      </w:r>
    </w:p>
    <w:p w:rsidR="00ED73B3" w:rsidRDefault="005A37AD">
      <w:pPr>
        <w:jc w:val="center"/>
        <w:rPr>
          <w:rFonts w:ascii="仿宋" w:eastAsia="仿宋" w:hAnsi="仿宋" w:cs="仿宋"/>
          <w:b/>
          <w:bCs/>
          <w:sz w:val="32"/>
          <w:szCs w:val="32"/>
        </w:rPr>
      </w:pPr>
      <w:r>
        <w:rPr>
          <w:rFonts w:ascii="仿宋" w:eastAsia="仿宋" w:hAnsi="仿宋" w:cs="仿宋" w:hint="eastAsia"/>
          <w:b/>
          <w:bCs/>
          <w:sz w:val="32"/>
          <w:szCs w:val="32"/>
        </w:rPr>
        <w:t>2020年“中高职一体化”五年制班</w:t>
      </w:r>
    </w:p>
    <w:p w:rsidR="00ED73B3" w:rsidRDefault="005A37AD">
      <w:pPr>
        <w:jc w:val="center"/>
        <w:rPr>
          <w:rFonts w:ascii="仿宋" w:eastAsia="仿宋" w:hAnsi="仿宋" w:cs="仿宋"/>
          <w:b/>
          <w:bCs/>
          <w:sz w:val="32"/>
          <w:szCs w:val="32"/>
        </w:rPr>
      </w:pPr>
      <w:r>
        <w:rPr>
          <w:rFonts w:ascii="仿宋" w:eastAsia="仿宋" w:hAnsi="仿宋" w:cs="仿宋" w:hint="eastAsia"/>
          <w:b/>
          <w:bCs/>
          <w:sz w:val="32"/>
          <w:szCs w:val="32"/>
        </w:rPr>
        <w:t>提前自主招生工作实施办法</w:t>
      </w:r>
    </w:p>
    <w:p w:rsidR="00ED73B3" w:rsidRDefault="00ED73B3">
      <w:pPr>
        <w:jc w:val="center"/>
        <w:rPr>
          <w:rFonts w:ascii="仿宋" w:eastAsia="仿宋" w:hAnsi="仿宋" w:cs="仿宋"/>
          <w:sz w:val="28"/>
          <w:szCs w:val="28"/>
        </w:rPr>
      </w:pPr>
    </w:p>
    <w:p w:rsidR="00ED73B3" w:rsidRDefault="005A37AD">
      <w:pPr>
        <w:adjustRightInd w:val="0"/>
        <w:snapToGrid w:val="0"/>
        <w:spacing w:line="360" w:lineRule="auto"/>
        <w:ind w:rightChars="15" w:right="31" w:firstLineChars="200" w:firstLine="560"/>
        <w:rPr>
          <w:rFonts w:ascii="仿宋" w:eastAsia="仿宋" w:hAnsi="仿宋" w:cs="仿宋"/>
          <w:sz w:val="28"/>
          <w:szCs w:val="28"/>
        </w:rPr>
      </w:pPr>
      <w:r>
        <w:rPr>
          <w:rFonts w:ascii="仿宋" w:eastAsia="仿宋" w:hAnsi="仿宋" w:cs="仿宋" w:hint="eastAsia"/>
          <w:sz w:val="28"/>
          <w:szCs w:val="28"/>
        </w:rPr>
        <w:t>根据《杭州市教育局关于2020年杭州市区各类高中招生工作的通知》（</w:t>
      </w:r>
      <w:proofErr w:type="gramStart"/>
      <w:r>
        <w:rPr>
          <w:rFonts w:ascii="仿宋" w:eastAsia="仿宋" w:hAnsi="仿宋" w:cs="仿宋" w:hint="eastAsia"/>
          <w:sz w:val="28"/>
          <w:szCs w:val="28"/>
        </w:rPr>
        <w:t>杭教基</w:t>
      </w:r>
      <w:proofErr w:type="gramEnd"/>
      <w:r>
        <w:rPr>
          <w:rFonts w:ascii="仿宋" w:eastAsia="仿宋" w:hAnsi="仿宋" w:cs="仿宋" w:hint="eastAsia"/>
          <w:sz w:val="28"/>
          <w:szCs w:val="28"/>
        </w:rPr>
        <w:t>〔2020〕3 号，以下简称《招生工作通知》）和《杭州市教育局办公室关于2020年杭州市区中等</w:t>
      </w:r>
      <w:bookmarkStart w:id="0" w:name="_GoBack"/>
      <w:bookmarkEnd w:id="0"/>
      <w:r>
        <w:rPr>
          <w:rFonts w:ascii="仿宋" w:eastAsia="仿宋" w:hAnsi="仿宋" w:cs="仿宋" w:hint="eastAsia"/>
          <w:sz w:val="28"/>
          <w:szCs w:val="28"/>
        </w:rPr>
        <w:t>职业学校提前自主招生工作的通知》（</w:t>
      </w:r>
      <w:proofErr w:type="gramStart"/>
      <w:r>
        <w:rPr>
          <w:rFonts w:ascii="仿宋" w:eastAsia="仿宋" w:hAnsi="仿宋" w:cs="仿宋" w:hint="eastAsia"/>
          <w:sz w:val="28"/>
          <w:szCs w:val="28"/>
        </w:rPr>
        <w:t>杭教办</w:t>
      </w:r>
      <w:proofErr w:type="gramEnd"/>
      <w:r>
        <w:rPr>
          <w:rFonts w:ascii="仿宋" w:eastAsia="仿宋" w:hAnsi="仿宋" w:cs="仿宋" w:hint="eastAsia"/>
          <w:sz w:val="28"/>
          <w:szCs w:val="28"/>
        </w:rPr>
        <w:t>职成〔2020〕27 号，以下简称《提前自主招生工作通知》）有关规定，结合本校办学实际及专业特色，特制定我校2020年“中高职一体化”五年制班提前自主招生工作实施办法。</w:t>
      </w:r>
    </w:p>
    <w:p w:rsidR="00ED73B3" w:rsidRDefault="005A37AD">
      <w:pPr>
        <w:adjustRightInd w:val="0"/>
        <w:snapToGrid w:val="0"/>
        <w:spacing w:line="360" w:lineRule="auto"/>
        <w:ind w:firstLineChars="150" w:firstLine="422"/>
        <w:rPr>
          <w:rFonts w:ascii="仿宋" w:eastAsia="仿宋" w:hAnsi="仿宋" w:cs="仿宋"/>
          <w:b/>
          <w:sz w:val="28"/>
          <w:szCs w:val="28"/>
        </w:rPr>
      </w:pPr>
      <w:r>
        <w:rPr>
          <w:rFonts w:ascii="仿宋" w:eastAsia="仿宋" w:hAnsi="仿宋" w:cs="仿宋" w:hint="eastAsia"/>
          <w:b/>
          <w:sz w:val="28"/>
          <w:szCs w:val="28"/>
        </w:rPr>
        <w:t>一、目的和原则</w:t>
      </w:r>
    </w:p>
    <w:p w:rsidR="00ED73B3" w:rsidRDefault="005A37AD">
      <w:pPr>
        <w:adjustRightInd w:val="0"/>
        <w:snapToGrid w:val="0"/>
        <w:spacing w:line="360" w:lineRule="auto"/>
        <w:ind w:firstLineChars="150" w:firstLine="420"/>
        <w:rPr>
          <w:rFonts w:ascii="仿宋" w:eastAsia="仿宋" w:hAnsi="仿宋" w:cs="仿宋"/>
          <w:sz w:val="28"/>
          <w:szCs w:val="28"/>
        </w:rPr>
      </w:pPr>
      <w:r>
        <w:rPr>
          <w:rFonts w:ascii="仿宋" w:eastAsia="仿宋" w:hAnsi="仿宋" w:cs="仿宋" w:hint="eastAsia"/>
          <w:sz w:val="28"/>
          <w:szCs w:val="28"/>
        </w:rPr>
        <w:t>“中高职一体化”五年制</w:t>
      </w:r>
      <w:proofErr w:type="gramStart"/>
      <w:r>
        <w:rPr>
          <w:rFonts w:ascii="仿宋" w:eastAsia="仿宋" w:hAnsi="仿宋" w:cs="仿宋" w:hint="eastAsia"/>
          <w:sz w:val="28"/>
          <w:szCs w:val="28"/>
        </w:rPr>
        <w:t>班部分</w:t>
      </w:r>
      <w:proofErr w:type="gramEnd"/>
      <w:r>
        <w:rPr>
          <w:rFonts w:ascii="仿宋" w:eastAsia="仿宋" w:hAnsi="仿宋" w:cs="仿宋" w:hint="eastAsia"/>
          <w:sz w:val="28"/>
          <w:szCs w:val="28"/>
        </w:rPr>
        <w:t xml:space="preserve">招生名额实施提前自主招生是为了充分发挥我校的办学优势，探索适合现代职业教育的招生模式，促进学生的特色发展，创新人才选拔和培养机制。招生工作坚持“公开、公平、公正”和择优录取的原则。 </w:t>
      </w:r>
    </w:p>
    <w:p w:rsidR="00ED73B3" w:rsidRDefault="005A37AD">
      <w:pPr>
        <w:adjustRightInd w:val="0"/>
        <w:snapToGrid w:val="0"/>
        <w:spacing w:line="360" w:lineRule="auto"/>
        <w:ind w:firstLineChars="150" w:firstLine="422"/>
        <w:rPr>
          <w:rFonts w:ascii="仿宋" w:eastAsia="仿宋" w:hAnsi="仿宋" w:cs="仿宋"/>
          <w:b/>
          <w:sz w:val="28"/>
          <w:szCs w:val="28"/>
        </w:rPr>
      </w:pPr>
      <w:r>
        <w:rPr>
          <w:rFonts w:ascii="仿宋" w:eastAsia="仿宋" w:hAnsi="仿宋" w:cs="仿宋" w:hint="eastAsia"/>
          <w:b/>
          <w:sz w:val="28"/>
          <w:szCs w:val="28"/>
        </w:rPr>
        <w:t xml:space="preserve">二、组织机构  </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成立以周天平校长为组长，李有珍、郭兴华、王黎明、张英华、倪国军、相关高职院校招生处负责人等为成员的学校提前自主招生工作领导小组。该小组负责研究、决定提前自主招生工作中的重大事项，负责拟定录取学生名单并上报审批。</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2.成立以校党总支书记吴兰生为组长，郭兴华、赵凌燕为组员的招生工作纪检监督组，全程监督提前自主招生过程。</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3.成立学校提前自主招生办公室，李有珍任主任，成员由王黎明、张英华、倪国军、褚磊组成。负责对报名学生进行资格初审，并组织综合素质考核，提出拟录取学生名单。</w:t>
      </w:r>
    </w:p>
    <w:p w:rsidR="00E52F33" w:rsidRDefault="005A37AD" w:rsidP="00E52F33">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4.成立以吴兰生书记为组长，郭兴华、王黎明、李水根、倪国军、姚建瑛、张敏为成员的</w:t>
      </w:r>
      <w:r w:rsidR="00E52F33" w:rsidRPr="00E52F33">
        <w:rPr>
          <w:rFonts w:ascii="仿宋" w:eastAsia="仿宋" w:hAnsi="仿宋" w:cs="仿宋" w:hint="eastAsia"/>
          <w:sz w:val="28"/>
          <w:szCs w:val="28"/>
        </w:rPr>
        <w:t>招生工作期间疫情防控处置组，负责落实各项疫情防控措施、考生健康监测及突发健康危机处置等工作。</w:t>
      </w:r>
    </w:p>
    <w:p w:rsidR="00ED73B3" w:rsidRDefault="005A37AD" w:rsidP="00E52F33">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三、招生计划及要求</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（一）招生对象</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符合《招生工作通知》报考条件和各类高中招生录取前置条件的考生。</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（二）招生计划</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“中高职一体化”五年制班</w:t>
      </w:r>
      <w:r>
        <w:rPr>
          <w:rFonts w:ascii="仿宋" w:eastAsia="仿宋" w:hAnsi="仿宋" w:cs="仿宋" w:hint="eastAsia"/>
          <w:sz w:val="28"/>
          <w:szCs w:val="28"/>
        </w:rPr>
        <w:t>提前自主招生共14</w:t>
      </w:r>
      <w:r w:rsidR="00E61757">
        <w:rPr>
          <w:rFonts w:ascii="仿宋" w:eastAsia="仿宋" w:hAnsi="仿宋" w:cs="仿宋" w:hint="eastAsia"/>
          <w:sz w:val="28"/>
          <w:szCs w:val="28"/>
        </w:rPr>
        <w:t>5</w:t>
      </w:r>
      <w:r>
        <w:rPr>
          <w:rFonts w:ascii="仿宋" w:eastAsia="仿宋" w:hAnsi="仿宋" w:cs="仿宋" w:hint="eastAsia"/>
          <w:sz w:val="28"/>
          <w:szCs w:val="28"/>
        </w:rPr>
        <w:t>名学生，具体招生计划见下表：</w:t>
      </w:r>
    </w:p>
    <w:tbl>
      <w:tblPr>
        <w:tblW w:w="7067" w:type="dxa"/>
        <w:jc w:val="center"/>
        <w:tblLayout w:type="fixed"/>
        <w:tblCellMar>
          <w:top w:w="15" w:type="dxa"/>
          <w:left w:w="15" w:type="dxa"/>
          <w:bottom w:w="15" w:type="dxa"/>
          <w:right w:w="15" w:type="dxa"/>
        </w:tblCellMar>
        <w:tblLook w:val="04A0" w:firstRow="1" w:lastRow="0" w:firstColumn="1" w:lastColumn="0" w:noHBand="0" w:noVBand="1"/>
      </w:tblPr>
      <w:tblGrid>
        <w:gridCol w:w="944"/>
        <w:gridCol w:w="1794"/>
        <w:gridCol w:w="848"/>
        <w:gridCol w:w="3481"/>
      </w:tblGrid>
      <w:tr w:rsidR="00ED73B3">
        <w:trPr>
          <w:trHeight w:val="795"/>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专业</w:t>
            </w:r>
            <w:r>
              <w:rPr>
                <w:rFonts w:ascii="仿宋" w:eastAsia="仿宋" w:hAnsi="仿宋" w:cs="仿宋" w:hint="eastAsia"/>
                <w:b/>
                <w:kern w:val="0"/>
                <w:sz w:val="24"/>
                <w:szCs w:val="24"/>
              </w:rPr>
              <w:br/>
              <w:t>代码</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招生专业</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招生</w:t>
            </w:r>
            <w:r>
              <w:rPr>
                <w:rFonts w:ascii="仿宋" w:eastAsia="仿宋" w:hAnsi="仿宋" w:cs="仿宋" w:hint="eastAsia"/>
                <w:b/>
                <w:kern w:val="0"/>
                <w:sz w:val="24"/>
                <w:szCs w:val="24"/>
              </w:rPr>
              <w:br/>
              <w:t>人数</w:t>
            </w:r>
          </w:p>
          <w:p w:rsidR="00ED73B3" w:rsidRDefault="005A37AD">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（人）</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b/>
                <w:kern w:val="0"/>
                <w:sz w:val="24"/>
                <w:szCs w:val="24"/>
              </w:rPr>
            </w:pPr>
            <w:r>
              <w:rPr>
                <w:rFonts w:ascii="仿宋" w:eastAsia="仿宋" w:hAnsi="仿宋" w:cs="仿宋" w:hint="eastAsia"/>
                <w:b/>
                <w:kern w:val="0"/>
                <w:sz w:val="24"/>
                <w:szCs w:val="24"/>
              </w:rPr>
              <w:t>联办高职院校</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02</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 xml:space="preserve">金融事务 </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25</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与浙江金融职业学院联办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03</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金融事务</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15</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与浙江商业职业技术学院联办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05</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会计</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25</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与浙江金融职业学院联办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06</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会计</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22</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与杭州职业技术学院联办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08</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物流服务与管理</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22</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与浙江经济职业技术学院联办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09</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物流服务与管理</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kern w:val="0"/>
                <w:sz w:val="24"/>
                <w:szCs w:val="24"/>
              </w:rPr>
            </w:pPr>
            <w:r>
              <w:rPr>
                <w:rFonts w:ascii="仿宋" w:eastAsia="仿宋" w:hAnsi="仿宋" w:cs="仿宋" w:hint="eastAsia"/>
                <w:sz w:val="24"/>
                <w:szCs w:val="24"/>
                <w:lang w:bidi="ar"/>
              </w:rPr>
              <w:t>18</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kern w:val="0"/>
                <w:sz w:val="24"/>
                <w:szCs w:val="24"/>
              </w:rPr>
            </w:pPr>
            <w:r>
              <w:rPr>
                <w:rFonts w:ascii="仿宋" w:eastAsia="仿宋" w:hAnsi="仿宋" w:cs="仿宋" w:hint="eastAsia"/>
                <w:sz w:val="24"/>
                <w:szCs w:val="24"/>
              </w:rPr>
              <w:t>与浙江育英职业技术学院联办</w:t>
            </w:r>
          </w:p>
        </w:tc>
      </w:tr>
      <w:tr w:rsidR="00ED73B3">
        <w:trPr>
          <w:trHeight w:val="567"/>
          <w:jc w:val="center"/>
        </w:trPr>
        <w:tc>
          <w:tcPr>
            <w:tcW w:w="94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11</w:t>
            </w:r>
          </w:p>
        </w:tc>
        <w:tc>
          <w:tcPr>
            <w:tcW w:w="1794"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计算机动漫与游戏制作</w:t>
            </w:r>
          </w:p>
        </w:tc>
        <w:tc>
          <w:tcPr>
            <w:tcW w:w="848" w:type="dxa"/>
            <w:tcBorders>
              <w:top w:val="single" w:sz="4" w:space="0" w:color="000000"/>
              <w:left w:val="single" w:sz="4" w:space="0" w:color="000000"/>
              <w:bottom w:val="single" w:sz="4" w:space="0" w:color="000000"/>
              <w:right w:val="single" w:sz="4" w:space="0" w:color="000000"/>
            </w:tcBorders>
            <w:vAlign w:val="center"/>
          </w:tcPr>
          <w:p w:rsidR="00ED73B3" w:rsidRDefault="005A37AD">
            <w:pPr>
              <w:widowControl/>
              <w:jc w:val="center"/>
              <w:textAlignment w:val="center"/>
              <w:rPr>
                <w:rFonts w:ascii="仿宋" w:eastAsia="仿宋" w:hAnsi="仿宋" w:cs="仿宋"/>
                <w:sz w:val="24"/>
                <w:szCs w:val="24"/>
                <w:lang w:bidi="ar"/>
              </w:rPr>
            </w:pPr>
            <w:r>
              <w:rPr>
                <w:rFonts w:ascii="仿宋" w:eastAsia="仿宋" w:hAnsi="仿宋" w:cs="仿宋" w:hint="eastAsia"/>
                <w:sz w:val="24"/>
                <w:szCs w:val="24"/>
                <w:lang w:bidi="ar"/>
              </w:rPr>
              <w:t>18</w:t>
            </w:r>
          </w:p>
        </w:tc>
        <w:tc>
          <w:tcPr>
            <w:tcW w:w="3481" w:type="dxa"/>
            <w:tcBorders>
              <w:top w:val="single" w:sz="4" w:space="0" w:color="000000"/>
              <w:left w:val="single" w:sz="4" w:space="0" w:color="000000"/>
              <w:bottom w:val="single" w:sz="4" w:space="0" w:color="000000"/>
              <w:right w:val="single" w:sz="4" w:space="0" w:color="000000"/>
            </w:tcBorders>
            <w:vAlign w:val="center"/>
          </w:tcPr>
          <w:p w:rsidR="00ED73B3" w:rsidRDefault="005A37AD">
            <w:pPr>
              <w:jc w:val="left"/>
              <w:rPr>
                <w:rFonts w:ascii="仿宋" w:eastAsia="仿宋" w:hAnsi="仿宋" w:cs="仿宋"/>
                <w:sz w:val="24"/>
                <w:szCs w:val="24"/>
              </w:rPr>
            </w:pPr>
            <w:r>
              <w:rPr>
                <w:rFonts w:ascii="仿宋" w:eastAsia="仿宋" w:hAnsi="仿宋" w:cs="仿宋" w:hint="eastAsia"/>
                <w:sz w:val="24"/>
                <w:szCs w:val="24"/>
              </w:rPr>
              <w:t>与浙江经贸职业技术学院联办。无色盲</w:t>
            </w:r>
          </w:p>
        </w:tc>
      </w:tr>
    </w:tbl>
    <w:p w:rsidR="00ED73B3" w:rsidRDefault="00ED73B3">
      <w:pPr>
        <w:spacing w:line="360" w:lineRule="auto"/>
        <w:ind w:firstLineChars="196" w:firstLine="472"/>
        <w:rPr>
          <w:rFonts w:ascii="仿宋" w:eastAsia="仿宋" w:hAnsi="仿宋" w:cs="仿宋"/>
          <w:b/>
          <w:sz w:val="24"/>
          <w:szCs w:val="24"/>
        </w:rPr>
      </w:pPr>
    </w:p>
    <w:p w:rsidR="00ED73B3" w:rsidRDefault="005A37AD">
      <w:pPr>
        <w:spacing w:line="360" w:lineRule="auto"/>
        <w:ind w:firstLineChars="196" w:firstLine="551"/>
        <w:rPr>
          <w:rFonts w:ascii="仿宋" w:eastAsia="仿宋" w:hAnsi="仿宋" w:cs="仿宋"/>
          <w:b/>
          <w:sz w:val="28"/>
          <w:szCs w:val="28"/>
        </w:rPr>
      </w:pPr>
      <w:r>
        <w:rPr>
          <w:rFonts w:ascii="仿宋" w:eastAsia="仿宋" w:hAnsi="仿宋" w:cs="仿宋" w:hint="eastAsia"/>
          <w:b/>
          <w:sz w:val="28"/>
          <w:szCs w:val="28"/>
        </w:rPr>
        <w:t>四、报名考试及录取办法</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（一）报名</w:t>
      </w:r>
    </w:p>
    <w:p w:rsidR="00ED73B3" w:rsidRPr="00DD5BA0" w:rsidRDefault="005A37AD" w:rsidP="00DD5BA0">
      <w:pPr>
        <w:adjustRightInd w:val="0"/>
        <w:snapToGrid w:val="0"/>
        <w:spacing w:line="360" w:lineRule="auto"/>
        <w:ind w:firstLineChars="200" w:firstLine="560"/>
        <w:rPr>
          <w:rFonts w:ascii="仿宋" w:eastAsia="仿宋" w:hAnsi="仿宋" w:cs="仿宋"/>
          <w:sz w:val="28"/>
          <w:szCs w:val="28"/>
        </w:rPr>
      </w:pPr>
      <w:r w:rsidRPr="00DD5BA0">
        <w:rPr>
          <w:rFonts w:ascii="仿宋" w:eastAsia="仿宋" w:hAnsi="仿宋" w:cs="仿宋"/>
          <w:sz w:val="28"/>
          <w:szCs w:val="28"/>
        </w:rPr>
        <w:t>1.</w:t>
      </w:r>
      <w:r w:rsidRPr="00DD5BA0">
        <w:rPr>
          <w:rFonts w:ascii="仿宋" w:eastAsia="仿宋" w:hAnsi="仿宋" w:cs="仿宋" w:hint="eastAsia"/>
          <w:sz w:val="28"/>
          <w:szCs w:val="28"/>
        </w:rPr>
        <w:t>凡符合报考我校“中高职一体化”五年制班提前自主招生条件的考生（含个别生），须登录杭州市区各类高中招生信息管理系统（</w:t>
      </w:r>
      <w:hyperlink r:id="rId8" w:history="1">
        <w:r w:rsidRPr="00DD5BA0">
          <w:rPr>
            <w:rFonts w:ascii="仿宋" w:eastAsia="仿宋" w:hAnsi="仿宋" w:cs="仿宋"/>
            <w:sz w:val="28"/>
            <w:szCs w:val="28"/>
          </w:rPr>
          <w:t>www.hzjyks.net</w:t>
        </w:r>
      </w:hyperlink>
      <w:r w:rsidRPr="00DD5BA0">
        <w:rPr>
          <w:rFonts w:ascii="仿宋" w:eastAsia="仿宋" w:hAnsi="仿宋" w:cs="仿宋" w:hint="eastAsia"/>
          <w:sz w:val="28"/>
          <w:szCs w:val="28"/>
        </w:rPr>
        <w:t>是唯一网址，以下简称“高中招生信息管理系统”），</w:t>
      </w:r>
      <w:r w:rsidRPr="00DD5BA0">
        <w:rPr>
          <w:rFonts w:ascii="仿宋" w:eastAsia="仿宋" w:hAnsi="仿宋" w:cs="仿宋" w:hint="eastAsia"/>
          <w:sz w:val="28"/>
          <w:szCs w:val="28"/>
        </w:rPr>
        <w:lastRenderedPageBreak/>
        <w:t>在家长指导下，于规定时间（高中招生信息管理系统开放时间为5 月29日8：00至5月30日18：00）选择填报我校“中高职一体化”五年制班提前自主招生的专业志愿。5月30日18：00高中招生信息管理系统关闭后，考生所报专业志愿无法更改。具体志愿填报要求详见杭州市教育局编印的《杭州市区</w:t>
      </w:r>
      <w:r w:rsidRPr="00DD5BA0">
        <w:rPr>
          <w:rFonts w:ascii="仿宋" w:eastAsia="仿宋" w:hAnsi="仿宋" w:cs="仿宋"/>
          <w:sz w:val="28"/>
          <w:szCs w:val="28"/>
        </w:rPr>
        <w:t>20</w:t>
      </w:r>
      <w:r w:rsidRPr="00DD5BA0">
        <w:rPr>
          <w:rFonts w:ascii="仿宋" w:eastAsia="仿宋" w:hAnsi="仿宋" w:cs="仿宋" w:hint="eastAsia"/>
          <w:sz w:val="28"/>
          <w:szCs w:val="28"/>
        </w:rPr>
        <w:t>20年各类高中报考指南》中的《杭州市教育局办公室关于</w:t>
      </w:r>
      <w:r w:rsidRPr="00DD5BA0">
        <w:rPr>
          <w:rFonts w:ascii="仿宋" w:eastAsia="仿宋" w:hAnsi="仿宋" w:cs="仿宋"/>
          <w:sz w:val="28"/>
          <w:szCs w:val="28"/>
        </w:rPr>
        <w:t>20</w:t>
      </w:r>
      <w:r w:rsidRPr="00DD5BA0">
        <w:rPr>
          <w:rFonts w:ascii="仿宋" w:eastAsia="仿宋" w:hAnsi="仿宋" w:cs="仿宋" w:hint="eastAsia"/>
          <w:sz w:val="28"/>
          <w:szCs w:val="28"/>
        </w:rPr>
        <w:t>20年杭州市区中等职业学校提前自主招生工作的通知》。</w:t>
      </w:r>
      <w:r w:rsidRPr="00DD5BA0">
        <w:rPr>
          <w:rFonts w:ascii="仿宋" w:eastAsia="仿宋" w:hAnsi="仿宋" w:cs="仿宋"/>
          <w:sz w:val="28"/>
          <w:szCs w:val="28"/>
        </w:rPr>
        <w:t xml:space="preserve"> </w:t>
      </w:r>
    </w:p>
    <w:p w:rsidR="00ED73B3" w:rsidRPr="00DD5BA0" w:rsidRDefault="005A37AD" w:rsidP="00DD5BA0">
      <w:pPr>
        <w:adjustRightInd w:val="0"/>
        <w:snapToGrid w:val="0"/>
        <w:spacing w:line="360" w:lineRule="auto"/>
        <w:ind w:firstLineChars="200" w:firstLine="560"/>
        <w:rPr>
          <w:rFonts w:ascii="仿宋" w:eastAsia="仿宋" w:hAnsi="仿宋" w:cs="仿宋"/>
          <w:sz w:val="28"/>
          <w:szCs w:val="28"/>
        </w:rPr>
      </w:pPr>
      <w:r w:rsidRPr="00DD5BA0">
        <w:rPr>
          <w:rFonts w:ascii="仿宋" w:eastAsia="仿宋" w:hAnsi="仿宋" w:cs="仿宋"/>
          <w:sz w:val="28"/>
          <w:szCs w:val="28"/>
        </w:rPr>
        <w:t>2.</w:t>
      </w:r>
      <w:r w:rsidRPr="00DD5BA0">
        <w:rPr>
          <w:rFonts w:ascii="仿宋" w:eastAsia="仿宋" w:hAnsi="仿宋" w:cs="仿宋" w:hint="eastAsia"/>
          <w:sz w:val="28"/>
          <w:szCs w:val="28"/>
        </w:rPr>
        <w:t xml:space="preserve"> 6月5日，市区初中学校应届毕业生向所在初中学校领取经初中学校审核盖章的《</w:t>
      </w:r>
      <w:r w:rsidRPr="00DD5BA0">
        <w:rPr>
          <w:rFonts w:ascii="仿宋" w:eastAsia="仿宋" w:hAnsi="仿宋" w:cs="仿宋"/>
          <w:sz w:val="28"/>
          <w:szCs w:val="28"/>
        </w:rPr>
        <w:t>20</w:t>
      </w:r>
      <w:r w:rsidRPr="00DD5BA0">
        <w:rPr>
          <w:rFonts w:ascii="仿宋" w:eastAsia="仿宋" w:hAnsi="仿宋" w:cs="仿宋" w:hint="eastAsia"/>
          <w:sz w:val="28"/>
          <w:szCs w:val="28"/>
        </w:rPr>
        <w:t>20年杭州市区中等职业学校提前自主招生报名表》（以下简称《报名表》），个别生于6月5日（12：30—16：00）凭本人身份证（或学生证）到杭州市教育考试院（</w:t>
      </w:r>
      <w:proofErr w:type="gramStart"/>
      <w:r w:rsidRPr="00DD5BA0">
        <w:rPr>
          <w:rFonts w:ascii="仿宋" w:eastAsia="仿宋" w:hAnsi="仿宋" w:cs="仿宋" w:hint="eastAsia"/>
          <w:sz w:val="28"/>
          <w:szCs w:val="28"/>
        </w:rPr>
        <w:t>华浙广场</w:t>
      </w:r>
      <w:proofErr w:type="gramEnd"/>
      <w:r w:rsidRPr="00DD5BA0">
        <w:rPr>
          <w:rFonts w:ascii="仿宋" w:eastAsia="仿宋" w:hAnsi="仿宋" w:cs="仿宋"/>
          <w:sz w:val="28"/>
          <w:szCs w:val="28"/>
        </w:rPr>
        <w:t>9</w:t>
      </w:r>
      <w:r w:rsidRPr="00DD5BA0">
        <w:rPr>
          <w:rFonts w:ascii="仿宋" w:eastAsia="仿宋" w:hAnsi="仿宋" w:cs="仿宋" w:hint="eastAsia"/>
          <w:sz w:val="28"/>
          <w:szCs w:val="28"/>
        </w:rPr>
        <w:t>号）二楼大厅领取《报名表》。</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（二）考核</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1.考试时间及地点： 6月6日，考试地点及试场安排见《报名表》。考生凭本人身份证（或学生证）和《报名表》原件到本校参加考核测试。</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2.考核内容：文化课测试和综合面试两部分。</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（1）文化课测试（满分180分）</w:t>
      </w:r>
    </w:p>
    <w:tbl>
      <w:tblPr>
        <w:tblW w:w="8100"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60"/>
        <w:gridCol w:w="1485"/>
        <w:gridCol w:w="1430"/>
        <w:gridCol w:w="1409"/>
        <w:gridCol w:w="1616"/>
      </w:tblGrid>
      <w:tr w:rsidR="00ED73B3">
        <w:trPr>
          <w:trHeight w:val="340"/>
        </w:trPr>
        <w:tc>
          <w:tcPr>
            <w:tcW w:w="2160"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考试科目</w:t>
            </w:r>
          </w:p>
        </w:tc>
        <w:tc>
          <w:tcPr>
            <w:tcW w:w="1485"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考试形式</w:t>
            </w:r>
          </w:p>
        </w:tc>
        <w:tc>
          <w:tcPr>
            <w:tcW w:w="1430"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考试时间</w:t>
            </w:r>
          </w:p>
        </w:tc>
        <w:tc>
          <w:tcPr>
            <w:tcW w:w="1409"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分值</w:t>
            </w:r>
          </w:p>
        </w:tc>
        <w:tc>
          <w:tcPr>
            <w:tcW w:w="1616"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b/>
                <w:kern w:val="0"/>
                <w:sz w:val="24"/>
                <w:szCs w:val="24"/>
              </w:rPr>
            </w:pPr>
            <w:r>
              <w:rPr>
                <w:rFonts w:ascii="仿宋" w:eastAsia="仿宋" w:hAnsi="仿宋" w:cs="仿宋" w:hint="eastAsia"/>
                <w:b/>
                <w:kern w:val="0"/>
                <w:sz w:val="24"/>
                <w:szCs w:val="24"/>
              </w:rPr>
              <w:t>计分方法</w:t>
            </w:r>
          </w:p>
        </w:tc>
      </w:tr>
      <w:tr w:rsidR="00ED73B3">
        <w:trPr>
          <w:trHeight w:val="340"/>
        </w:trPr>
        <w:tc>
          <w:tcPr>
            <w:tcW w:w="2160"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语文</w:t>
            </w:r>
          </w:p>
        </w:tc>
        <w:tc>
          <w:tcPr>
            <w:tcW w:w="1485" w:type="dxa"/>
            <w:vMerge w:val="restart"/>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闭卷笔试</w:t>
            </w:r>
          </w:p>
        </w:tc>
        <w:tc>
          <w:tcPr>
            <w:tcW w:w="1430" w:type="dxa"/>
            <w:vMerge w:val="restart"/>
            <w:tcMar>
              <w:top w:w="0" w:type="dxa"/>
              <w:left w:w="108" w:type="dxa"/>
              <w:bottom w:w="0" w:type="dxa"/>
              <w:right w:w="108" w:type="dxa"/>
            </w:tcMar>
            <w:vAlign w:val="center"/>
          </w:tcPr>
          <w:p w:rsidR="00ED73B3" w:rsidRDefault="005A37AD">
            <w:pPr>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8:00-9:30</w:t>
            </w:r>
          </w:p>
        </w:tc>
        <w:tc>
          <w:tcPr>
            <w:tcW w:w="1409"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60分</w:t>
            </w:r>
          </w:p>
        </w:tc>
        <w:tc>
          <w:tcPr>
            <w:tcW w:w="1616" w:type="dxa"/>
            <w:vMerge w:val="restart"/>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按卷面得分</w:t>
            </w:r>
          </w:p>
        </w:tc>
      </w:tr>
      <w:tr w:rsidR="00ED73B3">
        <w:trPr>
          <w:trHeight w:val="340"/>
        </w:trPr>
        <w:tc>
          <w:tcPr>
            <w:tcW w:w="2160"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数学</w:t>
            </w:r>
          </w:p>
        </w:tc>
        <w:tc>
          <w:tcPr>
            <w:tcW w:w="1485" w:type="dxa"/>
            <w:vMerge/>
            <w:tcMar>
              <w:top w:w="0" w:type="dxa"/>
              <w:left w:w="108" w:type="dxa"/>
              <w:bottom w:w="0" w:type="dxa"/>
              <w:right w:w="108" w:type="dxa"/>
            </w:tcMar>
            <w:vAlign w:val="center"/>
          </w:tcPr>
          <w:p w:rsidR="00ED73B3" w:rsidRDefault="00ED73B3">
            <w:pPr>
              <w:widowControl/>
              <w:spacing w:line="360" w:lineRule="auto"/>
              <w:jc w:val="center"/>
              <w:rPr>
                <w:rFonts w:ascii="仿宋" w:eastAsia="仿宋" w:hAnsi="仿宋" w:cs="仿宋"/>
                <w:kern w:val="0"/>
                <w:sz w:val="28"/>
                <w:szCs w:val="28"/>
              </w:rPr>
            </w:pPr>
          </w:p>
        </w:tc>
        <w:tc>
          <w:tcPr>
            <w:tcW w:w="1430" w:type="dxa"/>
            <w:vMerge/>
            <w:tcMar>
              <w:top w:w="0" w:type="dxa"/>
              <w:left w:w="108" w:type="dxa"/>
              <w:bottom w:w="0" w:type="dxa"/>
              <w:right w:w="108" w:type="dxa"/>
            </w:tcMar>
            <w:vAlign w:val="center"/>
          </w:tcPr>
          <w:p w:rsidR="00ED73B3" w:rsidRDefault="00ED73B3">
            <w:pPr>
              <w:spacing w:line="360" w:lineRule="auto"/>
              <w:jc w:val="center"/>
              <w:rPr>
                <w:rFonts w:ascii="仿宋" w:eastAsia="仿宋" w:hAnsi="仿宋" w:cs="仿宋"/>
                <w:kern w:val="0"/>
                <w:sz w:val="28"/>
                <w:szCs w:val="28"/>
              </w:rPr>
            </w:pPr>
          </w:p>
        </w:tc>
        <w:tc>
          <w:tcPr>
            <w:tcW w:w="1409"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60分</w:t>
            </w:r>
          </w:p>
        </w:tc>
        <w:tc>
          <w:tcPr>
            <w:tcW w:w="1616" w:type="dxa"/>
            <w:vMerge/>
            <w:tcMar>
              <w:top w:w="0" w:type="dxa"/>
              <w:left w:w="108" w:type="dxa"/>
              <w:bottom w:w="0" w:type="dxa"/>
              <w:right w:w="108" w:type="dxa"/>
            </w:tcMar>
            <w:vAlign w:val="center"/>
          </w:tcPr>
          <w:p w:rsidR="00ED73B3" w:rsidRDefault="00ED73B3">
            <w:pPr>
              <w:widowControl/>
              <w:spacing w:line="360" w:lineRule="auto"/>
              <w:jc w:val="center"/>
              <w:rPr>
                <w:rFonts w:ascii="仿宋" w:eastAsia="仿宋" w:hAnsi="仿宋" w:cs="仿宋"/>
                <w:kern w:val="0"/>
                <w:sz w:val="28"/>
                <w:szCs w:val="28"/>
              </w:rPr>
            </w:pPr>
          </w:p>
        </w:tc>
      </w:tr>
      <w:tr w:rsidR="00ED73B3">
        <w:trPr>
          <w:trHeight w:val="340"/>
        </w:trPr>
        <w:tc>
          <w:tcPr>
            <w:tcW w:w="2160"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英语</w:t>
            </w:r>
          </w:p>
        </w:tc>
        <w:tc>
          <w:tcPr>
            <w:tcW w:w="1485" w:type="dxa"/>
            <w:vMerge/>
            <w:tcMar>
              <w:top w:w="0" w:type="dxa"/>
              <w:left w:w="108" w:type="dxa"/>
              <w:bottom w:w="0" w:type="dxa"/>
              <w:right w:w="108" w:type="dxa"/>
            </w:tcMar>
            <w:vAlign w:val="center"/>
          </w:tcPr>
          <w:p w:rsidR="00ED73B3" w:rsidRDefault="00ED73B3">
            <w:pPr>
              <w:widowControl/>
              <w:spacing w:line="360" w:lineRule="auto"/>
              <w:jc w:val="center"/>
              <w:rPr>
                <w:rFonts w:ascii="仿宋" w:eastAsia="仿宋" w:hAnsi="仿宋" w:cs="仿宋"/>
                <w:kern w:val="0"/>
                <w:sz w:val="28"/>
                <w:szCs w:val="28"/>
              </w:rPr>
            </w:pPr>
          </w:p>
        </w:tc>
        <w:tc>
          <w:tcPr>
            <w:tcW w:w="1430" w:type="dxa"/>
            <w:vMerge/>
            <w:tcMar>
              <w:top w:w="0" w:type="dxa"/>
              <w:left w:w="108" w:type="dxa"/>
              <w:bottom w:w="0" w:type="dxa"/>
              <w:right w:w="108" w:type="dxa"/>
            </w:tcMar>
            <w:vAlign w:val="center"/>
          </w:tcPr>
          <w:p w:rsidR="00ED73B3" w:rsidRDefault="00ED73B3">
            <w:pPr>
              <w:widowControl/>
              <w:spacing w:line="360" w:lineRule="auto"/>
              <w:jc w:val="center"/>
              <w:rPr>
                <w:rFonts w:ascii="仿宋" w:eastAsia="仿宋" w:hAnsi="仿宋" w:cs="仿宋"/>
                <w:kern w:val="0"/>
                <w:sz w:val="28"/>
                <w:szCs w:val="28"/>
              </w:rPr>
            </w:pPr>
          </w:p>
        </w:tc>
        <w:tc>
          <w:tcPr>
            <w:tcW w:w="1409" w:type="dxa"/>
            <w:tcMar>
              <w:top w:w="0" w:type="dxa"/>
              <w:left w:w="108" w:type="dxa"/>
              <w:bottom w:w="0" w:type="dxa"/>
              <w:right w:w="108" w:type="dxa"/>
            </w:tcMar>
            <w:vAlign w:val="center"/>
          </w:tcPr>
          <w:p w:rsidR="00ED73B3" w:rsidRDefault="005A37AD">
            <w:pPr>
              <w:widowControl/>
              <w:spacing w:line="360" w:lineRule="auto"/>
              <w:jc w:val="center"/>
              <w:rPr>
                <w:rFonts w:ascii="仿宋" w:eastAsia="仿宋" w:hAnsi="仿宋" w:cs="仿宋"/>
                <w:kern w:val="0"/>
                <w:sz w:val="24"/>
                <w:szCs w:val="24"/>
              </w:rPr>
            </w:pPr>
            <w:r>
              <w:rPr>
                <w:rFonts w:ascii="仿宋" w:eastAsia="仿宋" w:hAnsi="仿宋" w:cs="仿宋" w:hint="eastAsia"/>
                <w:kern w:val="0"/>
                <w:sz w:val="24"/>
                <w:szCs w:val="24"/>
              </w:rPr>
              <w:t>60分</w:t>
            </w:r>
          </w:p>
        </w:tc>
        <w:tc>
          <w:tcPr>
            <w:tcW w:w="1616" w:type="dxa"/>
            <w:vMerge/>
            <w:tcMar>
              <w:top w:w="0" w:type="dxa"/>
              <w:left w:w="108" w:type="dxa"/>
              <w:bottom w:w="0" w:type="dxa"/>
              <w:right w:w="108" w:type="dxa"/>
            </w:tcMar>
            <w:vAlign w:val="center"/>
          </w:tcPr>
          <w:p w:rsidR="00ED73B3" w:rsidRDefault="00ED73B3">
            <w:pPr>
              <w:widowControl/>
              <w:spacing w:line="360" w:lineRule="auto"/>
              <w:jc w:val="center"/>
              <w:rPr>
                <w:rFonts w:ascii="仿宋" w:eastAsia="仿宋" w:hAnsi="仿宋" w:cs="仿宋"/>
                <w:kern w:val="0"/>
                <w:sz w:val="28"/>
                <w:szCs w:val="28"/>
              </w:rPr>
            </w:pPr>
          </w:p>
        </w:tc>
      </w:tr>
    </w:tbl>
    <w:p w:rsidR="00ED73B3" w:rsidRDefault="005A37AD">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注：根据《2020年杭州市初中毕业升学文化考试命题实施细则》有关要求，由我校组织命题、考试和阅卷。语文、英语、数学三科满分均为60分。</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2）综合面试内容：文明素养、学习习惯、行为规范、专业适应、专业认知（计算机动漫与游戏制作专业视力测试）等。面试结果分成</w:t>
      </w:r>
      <w:r>
        <w:rPr>
          <w:rFonts w:ascii="仿宋" w:eastAsia="仿宋" w:hAnsi="仿宋" w:cs="仿宋" w:hint="eastAsia"/>
          <w:sz w:val="28"/>
          <w:szCs w:val="28"/>
        </w:rPr>
        <w:lastRenderedPageBreak/>
        <w:t>两个等级：合格，不合格。</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（三）划线与录取</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1.根据以下原则确定面试考生和拟定录取新生名单</w:t>
      </w:r>
    </w:p>
    <w:p w:rsidR="00ED73B3" w:rsidRDefault="005A37AD">
      <w:pPr>
        <w:numPr>
          <w:ilvl w:val="255"/>
          <w:numId w:val="0"/>
        </w:num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考生完成文化课测试和综合面试后，按考生考核总分且综合面试结果为合格的，依照各专业招生计划和考生志愿，从高分到低分择优录取；若出现总分相同，则依次按照语文、数学、英语单科分数高者优先录取。</w:t>
      </w:r>
    </w:p>
    <w:p w:rsidR="00ED73B3" w:rsidRDefault="005A37AD">
      <w:pPr>
        <w:numPr>
          <w:ilvl w:val="255"/>
          <w:numId w:val="0"/>
        </w:num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考生考核总分的计算方式：考核总分=文化课测试成绩。</w:t>
      </w:r>
    </w:p>
    <w:p w:rsidR="00ED73B3" w:rsidRDefault="005A37AD">
      <w:pPr>
        <w:numPr>
          <w:ilvl w:val="255"/>
          <w:numId w:val="0"/>
        </w:num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(2)若该专业报考学生数等于或少于招生计划数时，学校在考生参加完该专业所有考核后，按上述计分方式，以实际参加该专业考试学生人数的80%从高分到低分择优录取。若某专业招生计划数未满且其他专业有考生符合条件并服从志愿调剂的，学校原则上将依据考生所填报的专业志愿顺序，按考生考核总分（不低于该专业拟录取考生的最低分数线）从高分到低分择优录取。 </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sidRPr="00DD5BA0">
        <w:rPr>
          <w:rFonts w:ascii="仿宋" w:eastAsia="仿宋" w:hAnsi="仿宋" w:cs="仿宋" w:hint="eastAsia"/>
          <w:sz w:val="28"/>
          <w:szCs w:val="28"/>
        </w:rPr>
        <w:t>学校依据上述原则和招生计划确定拟录取学生名单，6月7日16：00前将拟录取学生名单报市教育局职成教处审核，6月8日起分别在杭州教育网（</w:t>
      </w:r>
      <w:r w:rsidR="000D6AF8" w:rsidRPr="00DD5BA0">
        <w:rPr>
          <w:rFonts w:ascii="仿宋" w:eastAsia="仿宋" w:hAnsi="仿宋" w:cs="仿宋"/>
          <w:sz w:val="28"/>
          <w:szCs w:val="28"/>
        </w:rPr>
        <w:t>edu.hangzhou.gov.cn</w:t>
      </w:r>
      <w:r w:rsidRPr="00DD5BA0">
        <w:rPr>
          <w:rFonts w:ascii="仿宋" w:eastAsia="仿宋" w:hAnsi="仿宋" w:cs="仿宋" w:hint="eastAsia"/>
          <w:sz w:val="28"/>
          <w:szCs w:val="28"/>
        </w:rPr>
        <w:t>）、学校网站公示3天。</w:t>
      </w:r>
    </w:p>
    <w:p w:rsidR="00ED73B3" w:rsidRDefault="005A37AD">
      <w:pPr>
        <w:adjustRightInd w:val="0"/>
        <w:snapToGrid w:val="0"/>
        <w:spacing w:line="360" w:lineRule="auto"/>
        <w:ind w:firstLineChars="200" w:firstLine="560"/>
        <w:rPr>
          <w:rFonts w:ascii="仿宋" w:eastAsia="仿宋" w:hAnsi="仿宋" w:cs="仿宋"/>
          <w:sz w:val="28"/>
          <w:szCs w:val="28"/>
        </w:rPr>
      </w:pPr>
      <w:r w:rsidRPr="00DD5BA0">
        <w:rPr>
          <w:rFonts w:ascii="仿宋" w:eastAsia="仿宋" w:hAnsi="仿宋" w:cs="仿宋" w:hint="eastAsia"/>
          <w:sz w:val="28"/>
          <w:szCs w:val="28"/>
        </w:rPr>
        <w:t>3.公示无异议，经市教育局批准，学校于6月11日起发放录取通知书。</w:t>
      </w:r>
      <w:r w:rsidR="00DD5BA0" w:rsidRPr="00BE4FC2">
        <w:rPr>
          <w:rFonts w:ascii="仿宋" w:eastAsia="仿宋" w:hAnsi="仿宋" w:cs="仿宋" w:hint="eastAsia"/>
          <w:sz w:val="28"/>
          <w:szCs w:val="28"/>
        </w:rPr>
        <w:t>被录取的学生6月16日</w:t>
      </w:r>
      <w:r w:rsidR="00E52F33">
        <w:rPr>
          <w:rFonts w:ascii="仿宋" w:eastAsia="仿宋" w:hAnsi="仿宋" w:cs="仿宋" w:hint="eastAsia"/>
          <w:sz w:val="28"/>
          <w:szCs w:val="28"/>
        </w:rPr>
        <w:t>9:00前</w:t>
      </w:r>
      <w:r w:rsidR="00DD5BA0" w:rsidRPr="00BE4FC2">
        <w:rPr>
          <w:rFonts w:ascii="仿宋" w:eastAsia="仿宋" w:hAnsi="仿宋" w:cs="仿宋" w:hint="eastAsia"/>
          <w:sz w:val="28"/>
          <w:szCs w:val="28"/>
        </w:rPr>
        <w:t>到我校报到。</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4.发现有弄虚作假和舞弊行为并被查实者取消其录取资格。</w:t>
      </w:r>
    </w:p>
    <w:p w:rsidR="00ED73B3" w:rsidRDefault="005A37AD">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5.被录取学生视为已获得高中学籍，不再参加当年中考。</w:t>
      </w:r>
    </w:p>
    <w:p w:rsidR="00ED73B3" w:rsidRDefault="005A37AD">
      <w:pPr>
        <w:adjustRightInd w:val="0"/>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本招生办法由我校提前自主招生领导小组负责解释。</w:t>
      </w:r>
    </w:p>
    <w:p w:rsidR="00ED73B3" w:rsidRDefault="005A37AD">
      <w:pPr>
        <w:adjustRightInd w:val="0"/>
        <w:snapToGrid w:val="0"/>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咨询电话： (0571)86081750、86899102、88225465</w:t>
      </w:r>
    </w:p>
    <w:p w:rsidR="00E52F33" w:rsidRDefault="00E52F33" w:rsidP="00E52F33">
      <w:pPr>
        <w:adjustRightInd w:val="0"/>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杭州市财经职业学校</w:t>
      </w:r>
    </w:p>
    <w:p w:rsidR="00E52F33" w:rsidRPr="00E52F33" w:rsidRDefault="00E52F33" w:rsidP="00E52F33">
      <w:pPr>
        <w:adjustRightInd w:val="0"/>
        <w:snapToGrid w:val="0"/>
        <w:spacing w:line="360" w:lineRule="auto"/>
        <w:ind w:firstLineChars="200" w:firstLine="560"/>
        <w:jc w:val="right"/>
        <w:rPr>
          <w:rFonts w:ascii="仿宋" w:eastAsia="仿宋" w:hAnsi="仿宋" w:cs="仿宋"/>
          <w:sz w:val="28"/>
          <w:szCs w:val="28"/>
        </w:rPr>
      </w:pPr>
      <w:r>
        <w:rPr>
          <w:rFonts w:ascii="仿宋" w:eastAsia="仿宋" w:hAnsi="仿宋" w:cs="仿宋" w:hint="eastAsia"/>
          <w:sz w:val="28"/>
          <w:szCs w:val="28"/>
        </w:rPr>
        <w:t>2020年5</w:t>
      </w:r>
      <w:r w:rsidRPr="00E52F33">
        <w:rPr>
          <w:rFonts w:ascii="仿宋" w:eastAsia="仿宋" w:hAnsi="仿宋" w:cs="仿宋" w:hint="eastAsia"/>
          <w:sz w:val="28"/>
          <w:szCs w:val="28"/>
        </w:rPr>
        <w:t>月20日</w:t>
      </w:r>
    </w:p>
    <w:sectPr w:rsidR="00E52F33" w:rsidRPr="00E52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54" w:rsidRDefault="00246554" w:rsidP="00E61757">
      <w:r>
        <w:separator/>
      </w:r>
    </w:p>
  </w:endnote>
  <w:endnote w:type="continuationSeparator" w:id="0">
    <w:p w:rsidR="00246554" w:rsidRDefault="00246554" w:rsidP="00E6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54" w:rsidRDefault="00246554" w:rsidP="00E61757">
      <w:r>
        <w:separator/>
      </w:r>
    </w:p>
  </w:footnote>
  <w:footnote w:type="continuationSeparator" w:id="0">
    <w:p w:rsidR="00246554" w:rsidRDefault="00246554" w:rsidP="00E6175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7F"/>
    <w:rsid w:val="00000641"/>
    <w:rsid w:val="00017F6E"/>
    <w:rsid w:val="0003592B"/>
    <w:rsid w:val="000570DB"/>
    <w:rsid w:val="00084BB4"/>
    <w:rsid w:val="00090144"/>
    <w:rsid w:val="000D6AF8"/>
    <w:rsid w:val="000F1AD4"/>
    <w:rsid w:val="000F3C79"/>
    <w:rsid w:val="00106FBE"/>
    <w:rsid w:val="00167C59"/>
    <w:rsid w:val="00173C16"/>
    <w:rsid w:val="00195CFE"/>
    <w:rsid w:val="0019687D"/>
    <w:rsid w:val="001B6A86"/>
    <w:rsid w:val="001E0DBF"/>
    <w:rsid w:val="001E5B55"/>
    <w:rsid w:val="0020102C"/>
    <w:rsid w:val="0021011E"/>
    <w:rsid w:val="00221AC1"/>
    <w:rsid w:val="00246554"/>
    <w:rsid w:val="00260379"/>
    <w:rsid w:val="002879B3"/>
    <w:rsid w:val="002958F3"/>
    <w:rsid w:val="002A782C"/>
    <w:rsid w:val="002B01B9"/>
    <w:rsid w:val="00307462"/>
    <w:rsid w:val="0031197D"/>
    <w:rsid w:val="00312464"/>
    <w:rsid w:val="003359F7"/>
    <w:rsid w:val="00377721"/>
    <w:rsid w:val="00390906"/>
    <w:rsid w:val="003B1993"/>
    <w:rsid w:val="003D2133"/>
    <w:rsid w:val="003E336A"/>
    <w:rsid w:val="004168C7"/>
    <w:rsid w:val="00426ED8"/>
    <w:rsid w:val="00435193"/>
    <w:rsid w:val="004357DA"/>
    <w:rsid w:val="0044217D"/>
    <w:rsid w:val="004804FB"/>
    <w:rsid w:val="004B3F29"/>
    <w:rsid w:val="004D0617"/>
    <w:rsid w:val="00534ED5"/>
    <w:rsid w:val="00557D70"/>
    <w:rsid w:val="00572F3D"/>
    <w:rsid w:val="00574B69"/>
    <w:rsid w:val="00582E18"/>
    <w:rsid w:val="005A37AD"/>
    <w:rsid w:val="005B10D3"/>
    <w:rsid w:val="005B6F65"/>
    <w:rsid w:val="005C4FFB"/>
    <w:rsid w:val="005D0084"/>
    <w:rsid w:val="0064686C"/>
    <w:rsid w:val="00652C07"/>
    <w:rsid w:val="006579BE"/>
    <w:rsid w:val="00665B96"/>
    <w:rsid w:val="006719BD"/>
    <w:rsid w:val="006721D2"/>
    <w:rsid w:val="00676CE6"/>
    <w:rsid w:val="00694EE3"/>
    <w:rsid w:val="006A0F7C"/>
    <w:rsid w:val="006B6816"/>
    <w:rsid w:val="006C7BC5"/>
    <w:rsid w:val="006D3B0E"/>
    <w:rsid w:val="006D6EC3"/>
    <w:rsid w:val="006D73AA"/>
    <w:rsid w:val="006F1718"/>
    <w:rsid w:val="0070766F"/>
    <w:rsid w:val="007210DF"/>
    <w:rsid w:val="00722A22"/>
    <w:rsid w:val="00741635"/>
    <w:rsid w:val="00745421"/>
    <w:rsid w:val="0077158F"/>
    <w:rsid w:val="0078717B"/>
    <w:rsid w:val="00797619"/>
    <w:rsid w:val="007A0180"/>
    <w:rsid w:val="007C12F8"/>
    <w:rsid w:val="007D489C"/>
    <w:rsid w:val="007F34A4"/>
    <w:rsid w:val="007F6E5F"/>
    <w:rsid w:val="00807E50"/>
    <w:rsid w:val="00813292"/>
    <w:rsid w:val="008253AC"/>
    <w:rsid w:val="0086666E"/>
    <w:rsid w:val="0087309E"/>
    <w:rsid w:val="008A37DB"/>
    <w:rsid w:val="008A5337"/>
    <w:rsid w:val="008B1C43"/>
    <w:rsid w:val="008E2D39"/>
    <w:rsid w:val="008E387F"/>
    <w:rsid w:val="0091335C"/>
    <w:rsid w:val="0091367F"/>
    <w:rsid w:val="00930B4C"/>
    <w:rsid w:val="009349F1"/>
    <w:rsid w:val="00961BA0"/>
    <w:rsid w:val="00992D0D"/>
    <w:rsid w:val="009A01BD"/>
    <w:rsid w:val="009E3C3D"/>
    <w:rsid w:val="00A0130C"/>
    <w:rsid w:val="00A06A38"/>
    <w:rsid w:val="00A404C3"/>
    <w:rsid w:val="00A5193D"/>
    <w:rsid w:val="00A52229"/>
    <w:rsid w:val="00A707FB"/>
    <w:rsid w:val="00A74552"/>
    <w:rsid w:val="00A945AA"/>
    <w:rsid w:val="00AA1C60"/>
    <w:rsid w:val="00AB5693"/>
    <w:rsid w:val="00AC2FF7"/>
    <w:rsid w:val="00AC3825"/>
    <w:rsid w:val="00AE0F06"/>
    <w:rsid w:val="00AF7515"/>
    <w:rsid w:val="00B23CC7"/>
    <w:rsid w:val="00B4730D"/>
    <w:rsid w:val="00B6647B"/>
    <w:rsid w:val="00B91060"/>
    <w:rsid w:val="00BA2FB5"/>
    <w:rsid w:val="00BB58E3"/>
    <w:rsid w:val="00BC5392"/>
    <w:rsid w:val="00BC56EF"/>
    <w:rsid w:val="00BE51AF"/>
    <w:rsid w:val="00BF0589"/>
    <w:rsid w:val="00C01697"/>
    <w:rsid w:val="00C42C34"/>
    <w:rsid w:val="00C6335B"/>
    <w:rsid w:val="00C71808"/>
    <w:rsid w:val="00CA2288"/>
    <w:rsid w:val="00CA5EC2"/>
    <w:rsid w:val="00CC0EDF"/>
    <w:rsid w:val="00CD36D1"/>
    <w:rsid w:val="00CE254E"/>
    <w:rsid w:val="00CF0EF9"/>
    <w:rsid w:val="00D471B5"/>
    <w:rsid w:val="00D57140"/>
    <w:rsid w:val="00D82BD5"/>
    <w:rsid w:val="00D85E87"/>
    <w:rsid w:val="00DA5644"/>
    <w:rsid w:val="00DB7269"/>
    <w:rsid w:val="00DC3D7B"/>
    <w:rsid w:val="00DD5BA0"/>
    <w:rsid w:val="00E00C44"/>
    <w:rsid w:val="00E0167F"/>
    <w:rsid w:val="00E42B15"/>
    <w:rsid w:val="00E43E97"/>
    <w:rsid w:val="00E52F33"/>
    <w:rsid w:val="00E54ABB"/>
    <w:rsid w:val="00E61757"/>
    <w:rsid w:val="00E65EDA"/>
    <w:rsid w:val="00E93512"/>
    <w:rsid w:val="00EA6093"/>
    <w:rsid w:val="00EB3212"/>
    <w:rsid w:val="00ED5938"/>
    <w:rsid w:val="00ED73B3"/>
    <w:rsid w:val="00EF4586"/>
    <w:rsid w:val="00F03E6A"/>
    <w:rsid w:val="00F23DA7"/>
    <w:rsid w:val="00F24660"/>
    <w:rsid w:val="00F415C9"/>
    <w:rsid w:val="00F6185C"/>
    <w:rsid w:val="00F81307"/>
    <w:rsid w:val="00F81E51"/>
    <w:rsid w:val="00F85185"/>
    <w:rsid w:val="00F93529"/>
    <w:rsid w:val="00FD0783"/>
    <w:rsid w:val="01C007CC"/>
    <w:rsid w:val="02060E4D"/>
    <w:rsid w:val="02545BBA"/>
    <w:rsid w:val="076961D2"/>
    <w:rsid w:val="0C284169"/>
    <w:rsid w:val="0C7D41DC"/>
    <w:rsid w:val="0D06730C"/>
    <w:rsid w:val="0EB25363"/>
    <w:rsid w:val="110E3953"/>
    <w:rsid w:val="12796740"/>
    <w:rsid w:val="1EA916A2"/>
    <w:rsid w:val="1F1D7BE0"/>
    <w:rsid w:val="22AE31E5"/>
    <w:rsid w:val="249007DF"/>
    <w:rsid w:val="2B7A053A"/>
    <w:rsid w:val="2CBD5F63"/>
    <w:rsid w:val="2E865E37"/>
    <w:rsid w:val="2FAB23F6"/>
    <w:rsid w:val="30DE5C6D"/>
    <w:rsid w:val="322F43D1"/>
    <w:rsid w:val="32CD6858"/>
    <w:rsid w:val="33756F90"/>
    <w:rsid w:val="346A78AF"/>
    <w:rsid w:val="34EF1880"/>
    <w:rsid w:val="35354BD8"/>
    <w:rsid w:val="40A86A13"/>
    <w:rsid w:val="413942BD"/>
    <w:rsid w:val="41F91B2B"/>
    <w:rsid w:val="469F7487"/>
    <w:rsid w:val="46E87AAC"/>
    <w:rsid w:val="4B4B62A9"/>
    <w:rsid w:val="4C977881"/>
    <w:rsid w:val="4CF356F1"/>
    <w:rsid w:val="4D3F5FA2"/>
    <w:rsid w:val="51CF1B8F"/>
    <w:rsid w:val="53944A9C"/>
    <w:rsid w:val="55D20456"/>
    <w:rsid w:val="5745259C"/>
    <w:rsid w:val="582F68DA"/>
    <w:rsid w:val="5EB72525"/>
    <w:rsid w:val="60CC2D89"/>
    <w:rsid w:val="6F4B0A49"/>
    <w:rsid w:val="782E55EB"/>
    <w:rsid w:val="79F25E6F"/>
    <w:rsid w:val="7C562EFA"/>
    <w:rsid w:val="7E822071"/>
    <w:rsid w:val="7F9B1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imes New Roman" w:hAnsi="Times New Roman"/>
      <w:kern w:val="0"/>
      <w:sz w:val="2"/>
      <w:szCs w:val="20"/>
    </w:rPr>
  </w:style>
  <w:style w:type="paragraph" w:styleId="a4">
    <w:name w:val="footer"/>
    <w:basedOn w:val="a"/>
    <w:link w:val="Char0"/>
    <w:uiPriority w:val="99"/>
    <w:qFormat/>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6">
    <w:name w:val="Hyperlink"/>
    <w:uiPriority w:val="99"/>
    <w:qFormat/>
    <w:rPr>
      <w:rFonts w:cs="Times New Roman"/>
      <w:color w:val="0000FF"/>
      <w:u w:val="single"/>
    </w:rPr>
  </w:style>
  <w:style w:type="character" w:customStyle="1" w:styleId="Char">
    <w:name w:val="批注框文本 Char"/>
    <w:basedOn w:val="a0"/>
    <w:link w:val="a3"/>
    <w:uiPriority w:val="99"/>
    <w:semiHidden/>
    <w:qFormat/>
    <w:locked/>
    <w:rPr>
      <w:rFonts w:cs="Times New Roman"/>
      <w:sz w:val="2"/>
    </w:rPr>
  </w:style>
  <w:style w:type="character" w:customStyle="1" w:styleId="Char0">
    <w:name w:val="页脚 Char"/>
    <w:basedOn w:val="a0"/>
    <w:link w:val="a4"/>
    <w:uiPriority w:val="99"/>
    <w:semiHidden/>
    <w:qFormat/>
    <w:locked/>
    <w:rPr>
      <w:rFonts w:cs="Times New Roman"/>
      <w:sz w:val="18"/>
    </w:rPr>
  </w:style>
  <w:style w:type="character" w:customStyle="1" w:styleId="Char1">
    <w:name w:val="页眉 Char"/>
    <w:basedOn w:val="a0"/>
    <w:link w:val="a5"/>
    <w:uiPriority w:val="99"/>
    <w:semiHidden/>
    <w:qFormat/>
    <w:locked/>
    <w:rPr>
      <w:rFonts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rFonts w:ascii="Times New Roman" w:hAnsi="Times New Roman"/>
      <w:kern w:val="0"/>
      <w:sz w:val="2"/>
      <w:szCs w:val="20"/>
    </w:rPr>
  </w:style>
  <w:style w:type="paragraph" w:styleId="a4">
    <w:name w:val="footer"/>
    <w:basedOn w:val="a"/>
    <w:link w:val="Char0"/>
    <w:uiPriority w:val="99"/>
    <w:qFormat/>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6">
    <w:name w:val="Hyperlink"/>
    <w:uiPriority w:val="99"/>
    <w:qFormat/>
    <w:rPr>
      <w:rFonts w:cs="Times New Roman"/>
      <w:color w:val="0000FF"/>
      <w:u w:val="single"/>
    </w:rPr>
  </w:style>
  <w:style w:type="character" w:customStyle="1" w:styleId="Char">
    <w:name w:val="批注框文本 Char"/>
    <w:basedOn w:val="a0"/>
    <w:link w:val="a3"/>
    <w:uiPriority w:val="99"/>
    <w:semiHidden/>
    <w:qFormat/>
    <w:locked/>
    <w:rPr>
      <w:rFonts w:cs="Times New Roman"/>
      <w:sz w:val="2"/>
    </w:rPr>
  </w:style>
  <w:style w:type="character" w:customStyle="1" w:styleId="Char0">
    <w:name w:val="页脚 Char"/>
    <w:basedOn w:val="a0"/>
    <w:link w:val="a4"/>
    <w:uiPriority w:val="99"/>
    <w:semiHidden/>
    <w:qFormat/>
    <w:locked/>
    <w:rPr>
      <w:rFonts w:cs="Times New Roman"/>
      <w:sz w:val="18"/>
    </w:rPr>
  </w:style>
  <w:style w:type="character" w:customStyle="1" w:styleId="Char1">
    <w:name w:val="页眉 Char"/>
    <w:basedOn w:val="a0"/>
    <w:link w:val="a5"/>
    <w:uiPriority w:val="99"/>
    <w:semiHidden/>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zjyk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362</Words>
  <Characters>2070</Characters>
  <Application>Microsoft Office Word</Application>
  <DocSecurity>0</DocSecurity>
  <Lines>17</Lines>
  <Paragraphs>4</Paragraphs>
  <ScaleCrop>false</ScaleCrop>
  <Company>Alibaba</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68</cp:revision>
  <dcterms:created xsi:type="dcterms:W3CDTF">2016-03-10T00:29:00Z</dcterms:created>
  <dcterms:modified xsi:type="dcterms:W3CDTF">2020-05-19T03:01:00Z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