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FCC" w:rsidRDefault="00834FCC" w:rsidP="00834FCC">
      <w:pPr>
        <w:pStyle w:val="a3"/>
        <w:widowControl/>
        <w:shd w:val="clear" w:color="auto" w:fill="FFFFFF"/>
        <w:spacing w:beforeAutospacing="0" w:afterAutospacing="0"/>
        <w:jc w:val="both"/>
        <w:rPr>
          <w:rFonts w:ascii="方正小标宋简体" w:eastAsia="方正小标宋简体" w:hAnsi="方正小标宋简体" w:cs="方正小标宋简体"/>
          <w:sz w:val="36"/>
          <w:szCs w:val="36"/>
          <w:shd w:val="clear" w:color="auto" w:fill="FFFFFF"/>
        </w:rPr>
      </w:pPr>
      <w:r>
        <w:rPr>
          <w:rFonts w:ascii="方正小标宋简体" w:eastAsia="方正小标宋简体" w:hAnsi="方正小标宋简体" w:cs="方正小标宋简体" w:hint="eastAsia"/>
          <w:sz w:val="36"/>
          <w:szCs w:val="36"/>
          <w:shd w:val="clear" w:color="auto" w:fill="FFFFFF"/>
        </w:rPr>
        <w:t>附表2：</w:t>
      </w:r>
    </w:p>
    <w:p w:rsidR="00834FCC" w:rsidRDefault="00834FCC" w:rsidP="00834FCC">
      <w:pPr>
        <w:pStyle w:val="a3"/>
        <w:widowControl/>
        <w:shd w:val="clear" w:color="auto" w:fill="FFFFFF"/>
        <w:spacing w:beforeAutospacing="0" w:afterAutospacing="0"/>
        <w:jc w:val="center"/>
        <w:rPr>
          <w:rFonts w:ascii="方正小标宋简体" w:eastAsia="方正小标宋简体" w:hAnsi="方正小标宋简体" w:cs="方正小标宋简体"/>
          <w:sz w:val="36"/>
          <w:szCs w:val="36"/>
          <w:shd w:val="clear" w:color="auto" w:fill="FFFFFF"/>
        </w:rPr>
      </w:pPr>
      <w:r>
        <w:rPr>
          <w:rFonts w:ascii="方正小标宋简体" w:eastAsia="方正小标宋简体" w:hAnsi="方正小标宋简体" w:cs="方正小标宋简体" w:hint="eastAsia"/>
          <w:sz w:val="36"/>
          <w:szCs w:val="36"/>
          <w:shd w:val="clear" w:color="auto" w:fill="FFFFFF"/>
        </w:rPr>
        <w:t>“职教20条”相关任务落实情况一览表</w:t>
      </w:r>
    </w:p>
    <w:tbl>
      <w:tblPr>
        <w:tblStyle w:val="a4"/>
        <w:tblW w:w="15258" w:type="dxa"/>
        <w:jc w:val="center"/>
        <w:tblLook w:val="04A0" w:firstRow="1" w:lastRow="0" w:firstColumn="1" w:lastColumn="0" w:noHBand="0" w:noVBand="1"/>
      </w:tblPr>
      <w:tblGrid>
        <w:gridCol w:w="1950"/>
        <w:gridCol w:w="2582"/>
        <w:gridCol w:w="7575"/>
        <w:gridCol w:w="3151"/>
      </w:tblGrid>
      <w:tr w:rsidR="00834FCC" w:rsidTr="00256768">
        <w:trPr>
          <w:tblHeader/>
          <w:jc w:val="center"/>
        </w:trPr>
        <w:tc>
          <w:tcPr>
            <w:tcW w:w="4532" w:type="dxa"/>
            <w:gridSpan w:val="2"/>
            <w:vAlign w:val="center"/>
          </w:tcPr>
          <w:p w:rsidR="00834FCC" w:rsidRDefault="00834FCC" w:rsidP="00256768">
            <w:pPr>
              <w:pStyle w:val="a3"/>
              <w:widowControl/>
              <w:spacing w:beforeAutospacing="0" w:afterAutospacing="0" w:line="420" w:lineRule="exact"/>
              <w:jc w:val="center"/>
              <w:rPr>
                <w:rFonts w:ascii="黑体" w:eastAsia="黑体" w:hAnsi="黑体" w:cs="黑体"/>
                <w:bCs/>
                <w:sz w:val="28"/>
                <w:szCs w:val="28"/>
                <w:shd w:val="clear" w:color="auto" w:fill="FFFFFF"/>
              </w:rPr>
            </w:pPr>
            <w:r>
              <w:rPr>
                <w:rFonts w:ascii="黑体" w:eastAsia="黑体" w:hAnsi="黑体" w:cs="黑体" w:hint="eastAsia"/>
                <w:bCs/>
                <w:sz w:val="28"/>
                <w:szCs w:val="28"/>
                <w:shd w:val="clear" w:color="auto" w:fill="FFFFFF"/>
              </w:rPr>
              <w:t>任务</w:t>
            </w:r>
          </w:p>
        </w:tc>
        <w:tc>
          <w:tcPr>
            <w:tcW w:w="7575" w:type="dxa"/>
            <w:vAlign w:val="center"/>
          </w:tcPr>
          <w:p w:rsidR="00834FCC" w:rsidRDefault="00834FCC" w:rsidP="00256768">
            <w:pPr>
              <w:pStyle w:val="a3"/>
              <w:widowControl/>
              <w:spacing w:beforeAutospacing="0" w:afterAutospacing="0" w:line="420" w:lineRule="exact"/>
              <w:jc w:val="center"/>
              <w:rPr>
                <w:rFonts w:ascii="黑体" w:eastAsia="黑体" w:hAnsi="黑体" w:cs="黑体"/>
                <w:bCs/>
                <w:sz w:val="28"/>
                <w:szCs w:val="28"/>
                <w:shd w:val="clear" w:color="auto" w:fill="FFFFFF"/>
              </w:rPr>
            </w:pPr>
            <w:r>
              <w:rPr>
                <w:rFonts w:ascii="黑体" w:eastAsia="黑体" w:hAnsi="黑体" w:cs="黑体" w:hint="eastAsia"/>
                <w:bCs/>
                <w:sz w:val="28"/>
                <w:szCs w:val="28"/>
                <w:shd w:val="clear" w:color="auto" w:fill="FFFFFF"/>
              </w:rPr>
              <w:t>任务</w:t>
            </w:r>
          </w:p>
        </w:tc>
        <w:tc>
          <w:tcPr>
            <w:tcW w:w="3151" w:type="dxa"/>
            <w:vAlign w:val="center"/>
          </w:tcPr>
          <w:p w:rsidR="00834FCC" w:rsidRDefault="00834FCC" w:rsidP="00256768">
            <w:pPr>
              <w:pStyle w:val="a3"/>
              <w:widowControl/>
              <w:spacing w:beforeAutospacing="0" w:afterAutospacing="0" w:line="420" w:lineRule="exact"/>
              <w:jc w:val="center"/>
              <w:rPr>
                <w:rFonts w:ascii="黑体" w:eastAsia="黑体" w:hAnsi="黑体" w:cs="黑体"/>
                <w:bCs/>
                <w:sz w:val="28"/>
                <w:szCs w:val="28"/>
                <w:shd w:val="clear" w:color="auto" w:fill="FFFFFF"/>
              </w:rPr>
            </w:pPr>
            <w:r>
              <w:rPr>
                <w:rFonts w:ascii="黑体" w:eastAsia="黑体" w:hAnsi="黑体" w:cs="黑体" w:hint="eastAsia"/>
                <w:bCs/>
                <w:sz w:val="28"/>
                <w:szCs w:val="28"/>
                <w:shd w:val="clear" w:color="auto" w:fill="FFFFFF"/>
              </w:rPr>
              <w:t>落实情况</w:t>
            </w:r>
          </w:p>
        </w:tc>
      </w:tr>
      <w:tr w:rsidR="00834FCC" w:rsidTr="00256768">
        <w:trPr>
          <w:jc w:val="center"/>
        </w:trPr>
        <w:tc>
          <w:tcPr>
            <w:tcW w:w="1950"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一、完善国家职业教育制度体系</w:t>
            </w:r>
          </w:p>
        </w:tc>
        <w:tc>
          <w:tcPr>
            <w:tcW w:w="2582"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1.健全国家职业教育制度框架</w:t>
            </w: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严把教学标准和毕业学生质量标准两个关口。</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建立健全学校设置、师资队伍、教学教材、信息化建设、安全设施等办学标准，引领职业教育服务发展、促进就业创业。</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落实好立德树人根本任务，健全德技并修、工学结合的育人机制，完善评价机制，规范人才培养全过程。</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深化产教融合、校企合作，育训结合，健全多元化办学格局，推动企业深度参与协同育人，扶持鼓励企业和社会力量参与举办各类职业教育。</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推进资历框架建设，探索实现学历证书和职业技能等级证书互通衔接。</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2.提高中等职业教育发展水平</w:t>
            </w: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优化教育结构，把发展中等职业教育作为普及高中阶段教育和建设中国特色职业教育体系的重要基础，保持高中阶段教育职普比大体相当，使绝大多数城乡新增劳动力接受高中阶段教育。</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改善中等职业学校基本办学条件。加强省级统筹，建好办好一批县域职教中心，重点支持集中连片特困地区每个地（市、州、盟）原则上至少建设一所符合当地经济社会发展和技术技能人才培养需要的中等职业学校。</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4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优化中等职业学校布局结构，科学配置并做大做强职业教育资源。</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4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落实职业教育东西协作行动计划，办好内地少数民族中职班。</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4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完善招生机制，建立中等职业学校和普通高中统一招生平台，精准服务区域发展需求。</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4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4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鼓励中等职业学校联合中小学开展劳动和职业启蒙教育，将动手实践内容纳入中小学相关课程和学生综合素质评价。</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3.推进高等职业教育高质量发展</w:t>
            </w:r>
          </w:p>
        </w:tc>
        <w:tc>
          <w:tcPr>
            <w:tcW w:w="7575" w:type="dxa"/>
          </w:tcPr>
          <w:p w:rsidR="00834FCC" w:rsidRDefault="00834FCC" w:rsidP="00256768">
            <w:pPr>
              <w:pStyle w:val="a3"/>
              <w:widowControl/>
              <w:shd w:val="clear" w:color="auto" w:fill="FFFFFF"/>
              <w:spacing w:beforeAutospacing="0" w:afterAutospacing="0" w:line="44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把发展高等职业教育作为优化高等教育结构和培养大国工匠、能工巧匠的重要方式，使城乡新增劳动力更多接受高等教育。</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4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建立“职教高考”制度，完善“文化素质+职业技能”的考试招生办法，提高生源质量，为学生接受高等职业教育提供多种入学方式和学习方式。</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4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在学前教育、护理、养老服务、健康服务、现代服务业等领域，扩大对初中毕业生实行中高职贯通培养的招生规模。</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38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启动实施中国特色高水平高等职业学校和专业建设计划，建设一批引领改革、支撑发展、中国特色、世界水平的高等职业学校和骨干专业（群）。</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38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根据高等学校设置制度规定，将符合条件的技师学院纳入高等学校序列。</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4.完善高层次应用型人才培养体系</w:t>
            </w:r>
          </w:p>
        </w:tc>
        <w:tc>
          <w:tcPr>
            <w:tcW w:w="7575" w:type="dxa"/>
          </w:tcPr>
          <w:p w:rsidR="00834FCC" w:rsidRDefault="00834FCC" w:rsidP="00256768">
            <w:pPr>
              <w:pStyle w:val="a3"/>
              <w:widowControl/>
              <w:shd w:val="clear" w:color="auto" w:fill="FFFFFF"/>
              <w:spacing w:beforeAutospacing="0" w:afterAutospacing="0" w:line="38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完善学历教育与培训并重的现代职业教育体系，畅通技术技能人才成长渠道。</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38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发展以职业需求为导向、以实践能力培养为重点、以产学研用结合为途径的专业学位研究生培养模式，加强专业学位硕士研究生培养。</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38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推动具备条件的普通本科高校向应用型转变，鼓励有条件的普通高校开办应用技术类型专业或课程。</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38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开展本科层次职业教育试点。</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38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制定中国技能大赛、全国职业院校技能大赛、世界技能大赛获奖选手等免试入学政策，探索长学制培养高端技术技能人才。</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38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服务军民融合发展，把军队相关的职业教育纳入国家职业教育大体系，共同做好面向现役军人的教育培训，支持其在服役期间取得多类职业技能等级证书，提升技术技能水平。</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落实好定向培养直招士官政策，推动地方院校与军队院校有效对接，推动优质职业教育资源向军事人才培养开放，建立军地网络教育资源共享机制。</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制订具体政策办法，支持适合的退役军人进入职业院校和普通本科高校接受教育和培训，鼓励支持设立退役军人教育培训集团（联盟），推动退役、培训、就业有机衔接，为促进退役军人特别是退役士兵就业创业作出贡献。</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lastRenderedPageBreak/>
              <w:t>二、构建职业教育国家标准</w:t>
            </w:r>
          </w:p>
        </w:tc>
        <w:tc>
          <w:tcPr>
            <w:tcW w:w="2582"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5.完善教育教学相关标准</w:t>
            </w:r>
          </w:p>
        </w:tc>
        <w:tc>
          <w:tcPr>
            <w:tcW w:w="7575" w:type="dxa"/>
          </w:tcPr>
          <w:p w:rsidR="00834FCC" w:rsidRDefault="00834FCC" w:rsidP="00256768">
            <w:pPr>
              <w:pStyle w:val="a3"/>
              <w:widowControl/>
              <w:shd w:val="clear" w:color="auto" w:fill="FFFFFF"/>
              <w:spacing w:beforeAutospacing="0" w:afterAutospacing="0" w:line="40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按照专业设置与产业需求对接、课程内容与职业标准对接、教学过程与生产过程对接的要求，完善中等、高等职业学校设置标准，规范职业院校设置。</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0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实施教师和校长专业标准，提升职业院校教学管理和教学实践能力。</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0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持续更新并推进专业目录、专业教学标准、课程标准、顶岗实习标准、实训条件建设标准（仪器设备配备规范）建设和在职业院校落地实施。</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0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巩固和发展国务院教育行政部门联合行业制定国家教学标准、职业院校依据标准自主制订人才培养方案的工作格局。</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6.启动1+X证书制度试点工作</w:t>
            </w:r>
          </w:p>
        </w:tc>
        <w:tc>
          <w:tcPr>
            <w:tcW w:w="7575" w:type="dxa"/>
          </w:tcPr>
          <w:p w:rsidR="00834FCC" w:rsidRDefault="00834FCC" w:rsidP="00256768">
            <w:pPr>
              <w:pStyle w:val="a3"/>
              <w:widowControl/>
              <w:shd w:val="clear" w:color="auto" w:fill="FFFFFF"/>
              <w:spacing w:beforeAutospacing="0" w:afterAutospacing="0" w:line="40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深化复合型技术技能人才培养培训模式改革，借鉴国际职业教育培训普遍做法，制订工作方案和具体管理办法，启动1+X证书制度试点工作。</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0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鼓励职业院校学生在获得学历证书的同时，积极取得多类职业技能等级证书，拓展就业创业本领，缓解结构性就业矛盾。</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7.开展高质量职业培训</w:t>
            </w:r>
          </w:p>
        </w:tc>
        <w:tc>
          <w:tcPr>
            <w:tcW w:w="7575" w:type="dxa"/>
          </w:tcPr>
          <w:p w:rsidR="00834FCC" w:rsidRDefault="00834FCC" w:rsidP="00256768">
            <w:pPr>
              <w:pStyle w:val="a3"/>
              <w:widowControl/>
              <w:shd w:val="clear" w:color="auto" w:fill="FFFFFF"/>
              <w:spacing w:beforeAutospacing="0" w:afterAutospacing="0" w:line="40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落实职业院校实施学历教育与培训并举的法定职责，按照育训结合、长短结合、内外结合的要求，面向在校学生和全体社会成员开展职业培训。</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38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自2019年开始，围绕现代农业、先进制造业、现代服务业、战略性新兴产业，推动职业院校在10个左右技术技能人才紧缺领域大力开展职业培训。</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38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引导行业企业深度参与技术技能人才培养培训，促进职业院校加强专业建设、深化课程改革、增强实训内容、提高师资水平，全面提升教育教学质量。</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38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各级政府要积极支持职业培训，行政部门要简政放权并履行好监管职责，相关下属机构要优化服务，对于违规收取费用的要严肃处理。</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38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8.实现学习成果的认定、积累和转换</w:t>
            </w:r>
          </w:p>
        </w:tc>
        <w:tc>
          <w:tcPr>
            <w:tcW w:w="7575" w:type="dxa"/>
          </w:tcPr>
          <w:p w:rsidR="00834FCC" w:rsidRDefault="00834FCC" w:rsidP="00256768">
            <w:pPr>
              <w:pStyle w:val="a3"/>
              <w:widowControl/>
              <w:shd w:val="clear" w:color="auto" w:fill="FFFFFF"/>
              <w:spacing w:beforeAutospacing="0" w:afterAutospacing="0" w:line="38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加快推进职业教育国家“学分银行”建设，从2019年开始，探索建立职业教育个人学习账号，实现学习成果可追溯、可查询、可转换。</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38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有序开展学历证书和职业技能等级证书所体现的学习成果的认定、积累和转换，为技术技能人才持续成长拓宽通道。</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38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从2019年起，在有条件的地区和高校探索实施试点工作，制定符合国情的国家资历框架。</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lastRenderedPageBreak/>
              <w:t>三、促进产教融合校企“双元”育人</w:t>
            </w:r>
          </w:p>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9.坚持知行合一、工学结合</w:t>
            </w: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借鉴“双元制”等模式，总结现代学徒制和企业新型学徒制试点经验，校企共同研究制定人才培养方案，及时将新技术、新工艺、新规范纳入教学标准和教学内容，强化学生实习实训。</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trHeight w:val="445"/>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健全专业设置定期评估机制，强化地方引导本区域职业院校优化专业设置的职责，原则上每5年修订1次职业院校专业目录，学校依据目录灵活自主设置专业，每年调整1次专业。</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健全专业教学资源库，建立共建共享平台的资源认证标准和交易机制，进一步扩大优质资源覆盖面。</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适应“互联网+职业教育”发展需求，运用现代信息技术改进教学方式方法，推进虚拟工厂等网络学习空间建设和普遍应用。</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10.推动校企全面加强深度合作</w:t>
            </w: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在开展国家产教融合建设试点基础上，建立产教融合型企业认证制度，对进入目录的产教融合型企业给予“金融+财政+土地+信用”的组合式激励，并按规定落实相关税收政策。试</w:t>
            </w:r>
            <w:r>
              <w:rPr>
                <w:rFonts w:ascii="仿宋_GB2312" w:eastAsia="仿宋_GB2312" w:hAnsi="仿宋_GB2312" w:cs="仿宋_GB2312" w:hint="eastAsia"/>
                <w:bCs/>
                <w:sz w:val="28"/>
                <w:szCs w:val="28"/>
                <w:shd w:val="clear" w:color="auto" w:fill="FFFFFF"/>
              </w:rPr>
              <w:lastRenderedPageBreak/>
              <w:t>点企业兴办职业教育的投资符合条件的，可按投资额一定比例抵免该企业当年应缴教育费附加和地方教育附加。</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3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厚植企业承担职业教育责任的社会环境，推动职业院校和行业企业形成命运共同体。</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11.打造一批高水平实训基地</w:t>
            </w:r>
          </w:p>
        </w:tc>
        <w:tc>
          <w:tcPr>
            <w:tcW w:w="7575" w:type="dxa"/>
          </w:tcPr>
          <w:p w:rsidR="00834FCC" w:rsidRDefault="00834FCC" w:rsidP="00256768">
            <w:pPr>
              <w:pStyle w:val="a3"/>
              <w:widowControl/>
              <w:shd w:val="clear" w:color="auto" w:fill="FFFFFF"/>
              <w:spacing w:beforeAutospacing="0" w:afterAutospacing="0" w:line="43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加大政策引导力度，充分调动各方面深化职业教育改革创新的积极性，带动各级政府、企业和职业院校建设一批资源共享，集实践教学、社会培训、企业真实生产和社会技术服务于一体的高水平职业教育实训基地。</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3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面向先进制造业等技术技能人才紧缺领域，统筹多种资源，建设若干具有辐射引领作用的高水平专业化产教融合实训基地，推动开放共享，辐射区域内学校和企业。</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3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12.多措并举打造“双师型”教师队伍</w:t>
            </w:r>
          </w:p>
        </w:tc>
        <w:tc>
          <w:tcPr>
            <w:tcW w:w="7575" w:type="dxa"/>
          </w:tcPr>
          <w:p w:rsidR="00834FCC" w:rsidRDefault="00834FCC" w:rsidP="00256768">
            <w:pPr>
              <w:pStyle w:val="a3"/>
              <w:widowControl/>
              <w:shd w:val="clear" w:color="auto" w:fill="FFFFFF"/>
              <w:spacing w:beforeAutospacing="0" w:afterAutospacing="0" w:line="43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加强职业技术师范院校建设，优化结构布局，引导一批高水平工科学校举办职业技术师范教育。</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实施职业院校教师素质提高计划，建立100个“双师型”教师培养培训基地，职业院校、应用型本科高校教师每年至少1个月在企业或实训基地实训，落实教师5年一周期的全员轮训制度。</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探索组建高水平、结构化教师教学创新团队，教师分工协作进行模块化教学。</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在职业院校实行高层次、高技能人才以直接考察的方式公开招聘。建立健全职业院校自主聘任兼职教师的办法，推动企业工程技术人员、高技能人才和职业院校教师双向流动。</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职业院校通过校企合作、技术服务、社会培训、自办企业等所得收入，可按一定比例作为绩效工资来源。</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四、建设多元办学格局</w:t>
            </w:r>
          </w:p>
        </w:tc>
        <w:tc>
          <w:tcPr>
            <w:tcW w:w="2582"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13.推动企业和社会力量举办高质量职业教育</w:t>
            </w: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各级政府部门要深化“放管服”改革，加快推进职能转变，由注重“办”职业教育向“管理与服务”过渡。政府主要负责规划战略、制定政策、依法依规监管。</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发挥企业重要办学主体作用，鼓励有条件的企业特别是大企业举办高质量职业教育，各级人民政府可按规定给予适当支持。</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完善企业经营管理和技术人员与学校领导、骨干教师相互兼职兼薪制度。</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2020年初步建成300个示范性职业教育集团（联盟），带动中小企业参与。</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3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支持和规范社会力量兴办职业教育培训，鼓励发展股份制、混合所有制等职业院校和各类职业培训机构。建立公开透明规范的民办职业教育准入、审批制度，探索民办职业教育负面清单制度，建立健全退出机制。</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14.做优职业教育培训评价组织</w:t>
            </w:r>
          </w:p>
        </w:tc>
        <w:tc>
          <w:tcPr>
            <w:tcW w:w="7575" w:type="dxa"/>
          </w:tcPr>
          <w:p w:rsidR="00834FCC" w:rsidRDefault="00834FCC" w:rsidP="00256768">
            <w:pPr>
              <w:pStyle w:val="a3"/>
              <w:widowControl/>
              <w:shd w:val="clear" w:color="auto" w:fill="FFFFFF"/>
              <w:spacing w:beforeAutospacing="0" w:afterAutospacing="0" w:line="43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能够依据国家有关法规和职业标准、教学标准完成的职业技能培训，要更多通过职业教育培训评价组织（以下简称培训评价组织）等参与实施。</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3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3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lastRenderedPageBreak/>
              <w:t>五、完善技术技能人才保障政策</w:t>
            </w:r>
          </w:p>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15.提高技术技能人才待遇水平</w:t>
            </w: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支持技术技能人才凭技能提升待遇，鼓励企业职务职级晋升和工资分配向关键岗位、生产一线岗位和紧缺急需的高层次、高技能人才倾斜。</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建立国家技术技能大师库，鼓励技术技能大师建立大师工作室，并按规定给予政策和资金支持，支持技术技能大师到职业院校担任兼职教师，参与国家重大工程项目联合攻关。</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按照国家有关规定加大对职业院校参加有关技能大赛成绩突出毕业生的表彰奖励力度。</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办好职业教育活动周和世界青年技能日宣传活动，深入开展“大国工匠进校园”、“劳模进校园”、“优秀职校生校园分享”等活动，宣传展示大国工匠、能工巧匠和高素质劳动者的事迹和形象，培育和传承好工匠精神。</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16.健全经费投入机制</w:t>
            </w: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各级政府要建立与办学规模、培养成本、办学质量等相适应的财政投入制度，地方政府要按规定制定并落实职业院校生均经费标准或公用经费标准。</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在保障教育合理投入的同时，优化教育支出结构，新增教育经费要向职业教育倾斜。</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3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鼓励社会力量捐资、出资兴办职业教育，拓宽办学筹资渠道。</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3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3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组织实施好现代职业教育质量提升计划、产教融合工程等。经费投入要进一步突出改革导向，支持校企合作，注重向中西部、贫困地区和民族地区倾斜。</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3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进一步扩大职业院校助学金覆盖面，完善补助标准动态调整机制，落实对建档立卡等家庭经济困难学生的倾斜政策，健全职业教育奖学金制度。</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六、加强职业教育办学质量督导评价</w:t>
            </w:r>
          </w:p>
        </w:tc>
        <w:tc>
          <w:tcPr>
            <w:tcW w:w="2582"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17.建立健全职业教育质量评价和督导评估制度</w:t>
            </w:r>
          </w:p>
        </w:tc>
        <w:tc>
          <w:tcPr>
            <w:tcW w:w="7575" w:type="dxa"/>
          </w:tcPr>
          <w:p w:rsidR="00834FCC" w:rsidRDefault="00834FCC" w:rsidP="00256768">
            <w:pPr>
              <w:pStyle w:val="a3"/>
              <w:widowControl/>
              <w:shd w:val="clear" w:color="auto" w:fill="FFFFFF"/>
              <w:spacing w:beforeAutospacing="0" w:afterAutospacing="0" w:line="43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以学习者的职业道德、技术技能水平和就业质量，以及产教融合、校企合作水平为核心，建立职业教育质量评价体系。</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3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定期对职业技能等级证书有关工作进行“双随机、一公开”的抽查和监督，从2019年起，对培训评价组织行为和职业院校培训质量进行监测和评估。</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3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实施职业教育质量年度报告制度，报告向社会公开。</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3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完善政府、行业、企业、职业院校等共同参与的质量评价机制，积极支持第三方机构开展评估，将考核结果作为政策支持、绩效考核、表彰奖励的重要依据。</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0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完善职业教育督导评估办法，建立职业教育定期督导评估和专项督导评估制度，落实督导报告、公报、约谈、限期整改、奖惩等制度。</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18.支持组建国家职业教育指导咨询委员会</w:t>
            </w:r>
          </w:p>
        </w:tc>
        <w:tc>
          <w:tcPr>
            <w:tcW w:w="7575" w:type="dxa"/>
          </w:tcPr>
          <w:p w:rsidR="00834FCC" w:rsidRDefault="00834FCC" w:rsidP="00256768">
            <w:pPr>
              <w:pStyle w:val="a3"/>
              <w:widowControl/>
              <w:shd w:val="clear" w:color="auto" w:fill="FFFFFF"/>
              <w:spacing w:beforeAutospacing="0" w:afterAutospacing="0" w:line="40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在政府指导下组建国家职业教育指导咨询委员会。成员包括政府人员、职业教育专家、行业企业专家、管理专家、职业教育研究人员、中华职业教育社等团体和社会各方面热心职业教育的人士。</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0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通过政府购买服务等方式，听取咨询机构提出的意见建议并鼓励社会和民间智库参与。</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0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政府可以委托国家职业教育指导咨询委员会作为第三方，对全国职业院校、普通高校、校企合作企业、培训评价组织的教育管理、教学质量、办学方式模式、师资培养、学生职业技能提升等情况，进行指导、考核、评估等。</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七、做好改革组织实施工作</w:t>
            </w:r>
          </w:p>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val="restart"/>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19.加强党对职业教育工作的全面领导</w:t>
            </w:r>
          </w:p>
        </w:tc>
        <w:tc>
          <w:tcPr>
            <w:tcW w:w="7575" w:type="dxa"/>
          </w:tcPr>
          <w:p w:rsidR="00834FCC" w:rsidRDefault="00834FCC" w:rsidP="00256768">
            <w:pPr>
              <w:pStyle w:val="a3"/>
              <w:widowControl/>
              <w:shd w:val="clear" w:color="auto" w:fill="FFFFFF"/>
              <w:spacing w:beforeAutospacing="0" w:afterAutospacing="0" w:line="40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加强党对教育事业的全面领导，全面贯彻党的教育方针，保证职业教育改革发展正确方向。</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0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要充分发挥党组织在职业院校的领导核心和政治核心作用，牢牢把握学校意识形态工作领导权，将党建工作与学校事业发展同部署、同落实、同考评。</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0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指导职业院校上好思想政治理论课，实施好中等职业学校“文明风采”活动，推进职业教育领域“三全育人”综合改革试点工作，使各类课程与思想政治理论课同向同行，努力实现职业技能和职业精神培养高度融合。</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加强基层党组织建设，有效发挥基层党组织的战斗堡垒作用和共产党员的先锋模范作用，带动学校工会、共青团等群团组织和学生会组织建设，汇聚每一位师生员工的积极性和主动性。</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r w:rsidR="00834FCC" w:rsidTr="00256768">
        <w:trPr>
          <w:jc w:val="center"/>
        </w:trPr>
        <w:tc>
          <w:tcPr>
            <w:tcW w:w="1950" w:type="dxa"/>
            <w:vMerge/>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c>
          <w:tcPr>
            <w:tcW w:w="2582"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20.完善国务院职业教育工作部际联席会议制度</w:t>
            </w:r>
          </w:p>
        </w:tc>
        <w:tc>
          <w:tcPr>
            <w:tcW w:w="7575" w:type="dxa"/>
          </w:tcPr>
          <w:p w:rsidR="00834FCC" w:rsidRDefault="00834FCC" w:rsidP="00256768">
            <w:pPr>
              <w:pStyle w:val="a3"/>
              <w:widowControl/>
              <w:shd w:val="clear" w:color="auto" w:fill="FFFFFF"/>
              <w:spacing w:beforeAutospacing="0" w:afterAutospacing="0" w:line="420" w:lineRule="exact"/>
              <w:jc w:val="both"/>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各地统筹协调区域职业教育工作，研究协调解决工作中重大问题，部署实施职业教育改革创新重大事项。</w:t>
            </w:r>
          </w:p>
        </w:tc>
        <w:tc>
          <w:tcPr>
            <w:tcW w:w="3151" w:type="dxa"/>
          </w:tcPr>
          <w:p w:rsidR="00834FCC" w:rsidRDefault="00834FCC" w:rsidP="00256768">
            <w:pPr>
              <w:pStyle w:val="a3"/>
              <w:widowControl/>
              <w:spacing w:beforeAutospacing="0" w:afterAutospacing="0" w:line="420" w:lineRule="exact"/>
              <w:jc w:val="both"/>
              <w:rPr>
                <w:rFonts w:ascii="仿宋_GB2312" w:eastAsia="仿宋_GB2312" w:hAnsi="仿宋_GB2312" w:cs="仿宋_GB2312"/>
                <w:bCs/>
                <w:sz w:val="28"/>
                <w:szCs w:val="28"/>
                <w:shd w:val="clear" w:color="auto" w:fill="FFFFFF"/>
              </w:rPr>
            </w:pPr>
          </w:p>
        </w:tc>
      </w:tr>
    </w:tbl>
    <w:p w:rsidR="00834FCC" w:rsidRDefault="00834FCC" w:rsidP="00834FCC">
      <w:pPr>
        <w:rPr>
          <w:rFonts w:ascii="仿宋_GB2312" w:eastAsia="仿宋_GB2312" w:hAnsi="仿宋_GB2312" w:cs="仿宋_GB2312"/>
          <w:sz w:val="32"/>
          <w:szCs w:val="32"/>
        </w:rPr>
      </w:pPr>
    </w:p>
    <w:p w:rsidR="00D1455B" w:rsidRPr="00834FCC" w:rsidRDefault="00D1455B">
      <w:bookmarkStart w:id="0" w:name="_GoBack"/>
      <w:bookmarkEnd w:id="0"/>
    </w:p>
    <w:sectPr w:rsidR="00D1455B" w:rsidRPr="00834FCC">
      <w:pgSz w:w="16838" w:h="11906" w:orient="landscape"/>
      <w:pgMar w:top="1236" w:right="1043" w:bottom="1236" w:left="104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CC"/>
    <w:rsid w:val="00834FCC"/>
    <w:rsid w:val="00D14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22CF2-57C1-4E84-BA67-4C0E6339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FC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34FCC"/>
    <w:pPr>
      <w:spacing w:beforeAutospacing="1" w:afterAutospacing="1"/>
      <w:jc w:val="left"/>
    </w:pPr>
    <w:rPr>
      <w:rFonts w:cs="Times New Roman"/>
      <w:kern w:val="0"/>
      <w:sz w:val="24"/>
    </w:rPr>
  </w:style>
  <w:style w:type="table" w:styleId="a4">
    <w:name w:val="Table Grid"/>
    <w:basedOn w:val="a1"/>
    <w:rsid w:val="00834FC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976</Words>
  <Characters>5567</Characters>
  <Application>Microsoft Office Word</Application>
  <DocSecurity>0</DocSecurity>
  <Lines>46</Lines>
  <Paragraphs>13</Paragraphs>
  <ScaleCrop>false</ScaleCrop>
  <Company>Company</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2020-10-10T07:09:00Z</dcterms:created>
  <dcterms:modified xsi:type="dcterms:W3CDTF">2020-10-10T07:09:00Z</dcterms:modified>
</cp:coreProperties>
</file>