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t>附件：</w:t>
      </w:r>
    </w:p>
    <w:p>
      <w:pPr>
        <w:pStyle w:val="4"/>
        <w:keepNext w:val="0"/>
        <w:keepLines w:val="0"/>
        <w:pageBreakBefore w:val="0"/>
        <w:kinsoku/>
        <w:wordWrap/>
        <w:overflowPunct/>
        <w:topLinePunct w:val="0"/>
        <w:autoSpaceDE/>
        <w:autoSpaceDN/>
        <w:bidi w:val="0"/>
        <w:adjustRightInd/>
        <w:snapToGrid/>
        <w:spacing w:afterAutospacing="0" w:line="560" w:lineRule="exact"/>
        <w:ind w:left="0"/>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浙江省成人教育与职业教育协会高校继续教育分会</w:t>
      </w:r>
    </w:p>
    <w:p>
      <w:pPr>
        <w:pStyle w:val="4"/>
        <w:keepNext w:val="0"/>
        <w:keepLines w:val="0"/>
        <w:pageBreakBefore w:val="0"/>
        <w:kinsoku/>
        <w:wordWrap/>
        <w:overflowPunct/>
        <w:topLinePunct w:val="0"/>
        <w:autoSpaceDE/>
        <w:autoSpaceDN/>
        <w:bidi w:val="0"/>
        <w:adjustRightInd/>
        <w:snapToGrid/>
        <w:spacing w:afterAutospacing="0" w:line="560" w:lineRule="exact"/>
        <w:ind w:left="0"/>
        <w:jc w:val="center"/>
        <w:textAlignment w:val="auto"/>
        <w:rPr>
          <w:rFonts w:hint="eastAsia" w:ascii="华文中宋" w:hAnsi="华文中宋" w:eastAsia="华文中宋" w:cs="华文中宋"/>
          <w:b/>
          <w:sz w:val="36"/>
          <w:szCs w:val="36"/>
        </w:rPr>
      </w:pPr>
      <w:bookmarkStart w:id="0" w:name="_GoBack"/>
      <w:bookmarkEnd w:id="0"/>
      <w:r>
        <w:rPr>
          <w:rFonts w:hint="eastAsia" w:ascii="华文中宋" w:hAnsi="华文中宋" w:eastAsia="华文中宋" w:cs="华文中宋"/>
          <w:b/>
          <w:sz w:val="36"/>
          <w:szCs w:val="36"/>
          <w:lang w:val="en-US" w:eastAsia="zh-CN"/>
        </w:rPr>
        <w:t>论文选题</w:t>
      </w:r>
      <w:r>
        <w:rPr>
          <w:rFonts w:hint="eastAsia" w:ascii="华文中宋" w:hAnsi="华文中宋" w:eastAsia="华文中宋" w:cs="华文中宋"/>
          <w:b/>
          <w:sz w:val="36"/>
          <w:szCs w:val="36"/>
        </w:rPr>
        <w:t>指南</w:t>
      </w:r>
    </w:p>
    <w:p>
      <w:pPr>
        <w:pStyle w:val="4"/>
        <w:keepNext w:val="0"/>
        <w:keepLines w:val="0"/>
        <w:pageBreakBefore w:val="0"/>
        <w:kinsoku/>
        <w:wordWrap/>
        <w:overflowPunct/>
        <w:topLinePunct w:val="0"/>
        <w:autoSpaceDE/>
        <w:autoSpaceDN/>
        <w:bidi w:val="0"/>
        <w:adjustRightInd/>
        <w:snapToGrid/>
        <w:spacing w:afterAutospacing="0" w:line="560" w:lineRule="exact"/>
        <w:ind w:left="0"/>
        <w:jc w:val="both"/>
        <w:textAlignment w:val="auto"/>
        <w:rPr>
          <w:rFonts w:hint="eastAsia" w:ascii="华文中宋" w:hAnsi="华文中宋" w:eastAsia="华文中宋" w:cs="华文中宋"/>
          <w:b/>
          <w:sz w:val="36"/>
          <w:szCs w:val="36"/>
        </w:rPr>
      </w:pPr>
    </w:p>
    <w:p>
      <w:pPr>
        <w:pStyle w:val="4"/>
        <w:keepNext w:val="0"/>
        <w:keepLines w:val="0"/>
        <w:pageBreakBefore w:val="0"/>
        <w:kinsoku/>
        <w:wordWrap/>
        <w:overflowPunct/>
        <w:topLinePunct w:val="0"/>
        <w:autoSpaceDE/>
        <w:autoSpaceDN/>
        <w:bidi w:val="0"/>
        <w:adjustRightInd/>
        <w:snapToGrid/>
        <w:spacing w:afterAutospacing="0" w:line="560" w:lineRule="exact"/>
        <w:ind w:left="900" w:leftChars="0" w:hanging="900" w:hangingChars="300"/>
        <w:jc w:val="both"/>
        <w:textAlignment w:val="auto"/>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主题：探索终身学习型社会浙江示范：高校继续教育高质量发展</w:t>
      </w:r>
    </w:p>
    <w:p>
      <w:pPr>
        <w:pStyle w:val="4"/>
        <w:keepNext w:val="0"/>
        <w:keepLines w:val="0"/>
        <w:pageBreakBefore w:val="0"/>
        <w:kinsoku/>
        <w:wordWrap/>
        <w:overflowPunct/>
        <w:topLinePunct w:val="0"/>
        <w:autoSpaceDE/>
        <w:autoSpaceDN/>
        <w:bidi w:val="0"/>
        <w:adjustRightInd/>
        <w:snapToGrid/>
        <w:spacing w:afterAutospacing="0" w:line="560" w:lineRule="exact"/>
        <w:ind w:left="900" w:leftChars="0" w:hanging="900" w:hangingChars="300"/>
        <w:jc w:val="both"/>
        <w:textAlignment w:val="auto"/>
        <w:rPr>
          <w:rFonts w:hint="eastAsia" w:ascii="仿宋_GB2312" w:hAnsi="仿宋_GB2312" w:eastAsia="仿宋_GB2312" w:cs="仿宋_GB2312"/>
          <w:b w:val="0"/>
          <w:bCs/>
          <w:sz w:val="30"/>
          <w:szCs w:val="30"/>
          <w:lang w:val="en-US" w:eastAsia="zh-CN"/>
        </w:rPr>
      </w:pPr>
    </w:p>
    <w:p>
      <w:pPr>
        <w:keepNext w:val="0"/>
        <w:keepLines w:val="0"/>
        <w:pageBreakBefore w:val="0"/>
        <w:kinsoku/>
        <w:wordWrap/>
        <w:overflowPunct/>
        <w:topLinePunct w:val="0"/>
        <w:autoSpaceDE/>
        <w:autoSpaceDN/>
        <w:bidi w:val="0"/>
        <w:adjustRightInd/>
        <w:snapToGrid/>
        <w:spacing w:afterAutospacing="0" w:line="560" w:lineRule="exact"/>
        <w:ind w:left="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1.探索终身学习型社会浙江示范背景下高校继续教育教学质量提升策略</w:t>
      </w:r>
    </w:p>
    <w:p>
      <w:pPr>
        <w:keepNext w:val="0"/>
        <w:keepLines w:val="0"/>
        <w:pageBreakBefore w:val="0"/>
        <w:kinsoku/>
        <w:wordWrap/>
        <w:overflowPunct/>
        <w:topLinePunct w:val="0"/>
        <w:autoSpaceDE/>
        <w:autoSpaceDN/>
        <w:bidi w:val="0"/>
        <w:adjustRightInd/>
        <w:snapToGrid/>
        <w:spacing w:afterAutospacing="0" w:line="560" w:lineRule="exact"/>
        <w:ind w:left="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2.终身学习型社会视域下高校继续教育质量管理路径探析</w:t>
      </w:r>
    </w:p>
    <w:p>
      <w:pPr>
        <w:keepNext w:val="0"/>
        <w:keepLines w:val="0"/>
        <w:pageBreakBefore w:val="0"/>
        <w:kinsoku/>
        <w:wordWrap/>
        <w:overflowPunct/>
        <w:topLinePunct w:val="0"/>
        <w:autoSpaceDE/>
        <w:autoSpaceDN/>
        <w:bidi w:val="0"/>
        <w:adjustRightInd/>
        <w:snapToGrid/>
        <w:spacing w:afterAutospacing="0" w:line="560" w:lineRule="exact"/>
        <w:ind w:left="0"/>
        <w:textAlignment w:val="auto"/>
        <w:rPr>
          <w:rFonts w:hint="eastAsia" w:ascii="仿宋_GB2312" w:eastAsia="仿宋_GB2312"/>
          <w:sz w:val="30"/>
          <w:szCs w:val="30"/>
          <w:lang w:eastAsia="zh-CN"/>
        </w:rPr>
      </w:pPr>
      <w:r>
        <w:rPr>
          <w:rFonts w:hint="eastAsia" w:ascii="仿宋_GB2312" w:eastAsia="仿宋_GB2312"/>
          <w:sz w:val="30"/>
          <w:szCs w:val="30"/>
          <w:lang w:val="en-US" w:eastAsia="zh-CN"/>
        </w:rPr>
        <w:t>3.</w:t>
      </w:r>
      <w:r>
        <w:rPr>
          <w:rFonts w:hint="eastAsia" w:ascii="仿宋_GB2312" w:eastAsia="仿宋_GB2312"/>
          <w:sz w:val="30"/>
          <w:szCs w:val="30"/>
        </w:rPr>
        <w:t>“互联网+”模式下</w:t>
      </w:r>
      <w:r>
        <w:rPr>
          <w:rFonts w:hint="eastAsia" w:ascii="仿宋_GB2312" w:eastAsia="仿宋_GB2312"/>
          <w:sz w:val="30"/>
          <w:szCs w:val="30"/>
          <w:lang w:val="en-US" w:eastAsia="zh-CN"/>
        </w:rPr>
        <w:t>高校</w:t>
      </w:r>
      <w:r>
        <w:rPr>
          <w:rFonts w:hint="eastAsia" w:ascii="仿宋_GB2312" w:eastAsia="仿宋_GB2312"/>
          <w:sz w:val="30"/>
          <w:szCs w:val="30"/>
        </w:rPr>
        <w:t>继续教育高质量发展</w:t>
      </w:r>
      <w:r>
        <w:rPr>
          <w:rFonts w:hint="eastAsia" w:ascii="仿宋_GB2312" w:eastAsia="仿宋_GB2312"/>
          <w:sz w:val="30"/>
          <w:szCs w:val="30"/>
          <w:lang w:val="en-US" w:eastAsia="zh-CN"/>
        </w:rPr>
        <w:t>研究</w:t>
      </w:r>
    </w:p>
    <w:p>
      <w:pPr>
        <w:keepNext w:val="0"/>
        <w:keepLines w:val="0"/>
        <w:pageBreakBefore w:val="0"/>
        <w:kinsoku/>
        <w:wordWrap/>
        <w:overflowPunct/>
        <w:topLinePunct w:val="0"/>
        <w:autoSpaceDE/>
        <w:autoSpaceDN/>
        <w:bidi w:val="0"/>
        <w:adjustRightInd/>
        <w:snapToGrid/>
        <w:spacing w:afterAutospacing="0" w:line="560" w:lineRule="exact"/>
        <w:ind w:left="0"/>
        <w:textAlignment w:val="auto"/>
        <w:rPr>
          <w:rFonts w:hint="eastAsia" w:ascii="仿宋_GB2312" w:eastAsia="仿宋_GB2312"/>
          <w:sz w:val="30"/>
          <w:szCs w:val="30"/>
        </w:rPr>
      </w:pPr>
      <w:r>
        <w:rPr>
          <w:rFonts w:hint="eastAsia" w:ascii="仿宋_GB2312" w:eastAsia="仿宋_GB2312"/>
          <w:sz w:val="30"/>
          <w:szCs w:val="30"/>
          <w:lang w:val="en-US" w:eastAsia="zh-CN"/>
        </w:rPr>
        <w:t>4.高校继续教育高质量在线开放课程建设研究</w:t>
      </w:r>
    </w:p>
    <w:p>
      <w:pPr>
        <w:keepNext w:val="0"/>
        <w:keepLines w:val="0"/>
        <w:pageBreakBefore w:val="0"/>
        <w:kinsoku/>
        <w:wordWrap/>
        <w:overflowPunct/>
        <w:topLinePunct w:val="0"/>
        <w:autoSpaceDE/>
        <w:autoSpaceDN/>
        <w:bidi w:val="0"/>
        <w:adjustRightInd/>
        <w:snapToGrid/>
        <w:spacing w:afterAutospacing="0" w:line="560" w:lineRule="exact"/>
        <w:ind w:left="0" w:hanging="300" w:hangingChars="100"/>
        <w:textAlignment w:val="auto"/>
        <w:rPr>
          <w:rFonts w:hint="default" w:ascii="仿宋_GB2312" w:eastAsia="仿宋_GB2312"/>
          <w:sz w:val="30"/>
          <w:szCs w:val="30"/>
          <w:lang w:val="en-US"/>
        </w:rPr>
      </w:pPr>
      <w:r>
        <w:rPr>
          <w:rFonts w:hint="eastAsia" w:ascii="仿宋_GB2312" w:eastAsia="仿宋_GB2312"/>
          <w:sz w:val="30"/>
          <w:szCs w:val="30"/>
          <w:lang w:val="en-US" w:eastAsia="zh-CN"/>
        </w:rPr>
        <w:t>5</w:t>
      </w:r>
      <w:r>
        <w:rPr>
          <w:rFonts w:hint="eastAsia" w:ascii="仿宋_GB2312" w:eastAsia="仿宋_GB2312"/>
          <w:sz w:val="30"/>
          <w:szCs w:val="30"/>
        </w:rPr>
        <w:t>.</w:t>
      </w:r>
      <w:r>
        <w:rPr>
          <w:rFonts w:hint="eastAsia" w:ascii="仿宋_GB2312" w:eastAsia="仿宋_GB2312"/>
          <w:sz w:val="30"/>
          <w:szCs w:val="30"/>
          <w:lang w:val="en-US" w:eastAsia="zh-CN"/>
        </w:rPr>
        <w:t>我国高校继续教育高质量发展挑战与对策研究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97609"/>
    <w:rsid w:val="47C9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2021-07-05T01:40:00Z</dcterms:created>
  <dc:creator>Administrator</dc:creator>
  <cp:lastModifiedBy>Administrator</cp:lastModifiedBy>
  <dcterms:modified xsi:type="dcterms:W3CDTF">2021-07-05T01:42:05Z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