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219"/>
        <w:ind w:left="127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1</w:t>
      </w:r>
      <w:bookmarkStart w:id="0" w:name="_GoBack"/>
      <w:bookmarkEnd w:id="0"/>
    </w:p>
    <w:p>
      <w:pPr>
        <w:pStyle w:val="3"/>
        <w:rPr>
          <w:rFonts w:ascii="Times New Roman"/>
          <w:sz w:val="34"/>
        </w:rPr>
      </w:pPr>
    </w:p>
    <w:p>
      <w:pPr>
        <w:pStyle w:val="2"/>
      </w:pPr>
      <w:r>
        <w:t>浙江省优质（示范）老年大学评选标准</w:t>
      </w:r>
    </w:p>
    <w:p>
      <w:pPr>
        <w:pStyle w:val="3"/>
        <w:spacing w:before="140"/>
        <w:jc w:val="center"/>
      </w:pPr>
      <w:r>
        <w:t>（暂行）</w:t>
      </w:r>
    </w:p>
    <w:p>
      <w:pPr>
        <w:pStyle w:val="3"/>
      </w:pPr>
    </w:p>
    <w:p>
      <w:pPr>
        <w:pStyle w:val="3"/>
        <w:spacing w:before="5"/>
        <w:rPr>
          <w:sz w:val="26"/>
        </w:rPr>
      </w:pPr>
    </w:p>
    <w:p>
      <w:pPr>
        <w:pStyle w:val="3"/>
        <w:tabs>
          <w:tab w:val="left" w:pos="1600"/>
        </w:tabs>
        <w:spacing w:before="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基本条件</w:t>
      </w:r>
    </w:p>
    <w:p>
      <w:pPr>
        <w:pStyle w:val="6"/>
        <w:numPr>
          <w:ilvl w:val="0"/>
          <w:numId w:val="1"/>
        </w:numPr>
        <w:tabs>
          <w:tab w:val="left" w:pos="2154"/>
        </w:tabs>
        <w:spacing w:before="170" w:after="0" w:line="338" w:lineRule="auto"/>
        <w:ind w:left="1271" w:right="1271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学校以服务老年学习为宗旨，坚持开放办学，面向社会招 </w:t>
      </w:r>
      <w:r>
        <w:rPr>
          <w:spacing w:val="-19"/>
          <w:sz w:val="32"/>
        </w:rPr>
        <w:t xml:space="preserve">生不少于 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年，开展的各类教育活动符合国家政策法律。</w:t>
      </w:r>
    </w:p>
    <w:p>
      <w:pPr>
        <w:pStyle w:val="6"/>
        <w:numPr>
          <w:ilvl w:val="0"/>
          <w:numId w:val="1"/>
        </w:numPr>
        <w:tabs>
          <w:tab w:val="left" w:pos="2154"/>
        </w:tabs>
        <w:spacing w:before="3" w:after="0" w:line="340" w:lineRule="auto"/>
        <w:ind w:left="1271" w:right="1269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符合国家应急管理工作相关要求，有完备的应急机制和突 </w:t>
      </w:r>
      <w:r>
        <w:rPr>
          <w:spacing w:val="-3"/>
          <w:sz w:val="32"/>
        </w:rPr>
        <w:t>发事件应急预案，应急和防疫物资准备充足。</w:t>
      </w:r>
    </w:p>
    <w:p>
      <w:pPr>
        <w:pStyle w:val="6"/>
        <w:numPr>
          <w:ilvl w:val="0"/>
          <w:numId w:val="1"/>
        </w:numPr>
        <w:tabs>
          <w:tab w:val="left" w:pos="2162"/>
        </w:tabs>
        <w:spacing w:before="0" w:after="0" w:line="340" w:lineRule="auto"/>
        <w:ind w:left="1271" w:right="1271" w:firstLine="640"/>
        <w:jc w:val="left"/>
        <w:rPr>
          <w:sz w:val="32"/>
        </w:rPr>
      </w:pPr>
      <w:r>
        <w:rPr>
          <w:spacing w:val="11"/>
          <w:w w:val="95"/>
          <w:sz w:val="32"/>
        </w:rPr>
        <w:t xml:space="preserve">近三年学校无违规办学和违规收费行为；无教师严重违 </w:t>
      </w:r>
      <w:r>
        <w:rPr>
          <w:spacing w:val="11"/>
          <w:sz w:val="32"/>
        </w:rPr>
        <w:t>纪、违法事件；无重大安全责任事故。</w:t>
      </w:r>
    </w:p>
    <w:p>
      <w:pPr>
        <w:pStyle w:val="6"/>
        <w:numPr>
          <w:ilvl w:val="0"/>
          <w:numId w:val="1"/>
        </w:numPr>
        <w:tabs>
          <w:tab w:val="left" w:pos="2154"/>
        </w:tabs>
        <w:spacing w:before="0" w:after="0" w:line="338" w:lineRule="auto"/>
        <w:ind w:left="1271" w:right="1269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有专门用于老年教育的办学场地，可使用的建筑面积不少 </w:t>
      </w:r>
      <w:r>
        <w:rPr>
          <w:spacing w:val="-42"/>
          <w:sz w:val="32"/>
        </w:rPr>
        <w:t xml:space="preserve">于 </w:t>
      </w:r>
      <w:r>
        <w:rPr>
          <w:rFonts w:ascii="Times New Roman" w:eastAsia="Times New Roman"/>
          <w:sz w:val="32"/>
        </w:rPr>
        <w:t xml:space="preserve">1000 </w:t>
      </w:r>
      <w:r>
        <w:rPr>
          <w:sz w:val="32"/>
        </w:rPr>
        <w:t>平方米。</w:t>
      </w:r>
    </w:p>
    <w:p>
      <w:pPr>
        <w:pStyle w:val="6"/>
        <w:numPr>
          <w:ilvl w:val="0"/>
          <w:numId w:val="1"/>
        </w:numPr>
        <w:tabs>
          <w:tab w:val="left" w:pos="2154"/>
        </w:tabs>
        <w:spacing w:before="0" w:after="0" w:line="240" w:lineRule="auto"/>
        <w:ind w:left="2153" w:right="0" w:hanging="242"/>
        <w:jc w:val="left"/>
        <w:rPr>
          <w:sz w:val="32"/>
        </w:rPr>
      </w:pPr>
      <w:r>
        <w:rPr>
          <w:spacing w:val="-41"/>
          <w:sz w:val="32"/>
        </w:rPr>
        <w:t xml:space="preserve">有 </w:t>
      </w:r>
      <w:r>
        <w:rPr>
          <w:rFonts w:ascii="Times New Roman" w:eastAsia="Times New Roman"/>
          <w:sz w:val="32"/>
        </w:rPr>
        <w:t xml:space="preserve">10 </w:t>
      </w:r>
      <w:r>
        <w:rPr>
          <w:sz w:val="32"/>
        </w:rPr>
        <w:t>个及以上符合教学需要的教室（活动室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6"/>
        <w:numPr>
          <w:ilvl w:val="0"/>
          <w:numId w:val="1"/>
        </w:numPr>
        <w:tabs>
          <w:tab w:val="left" w:pos="2154"/>
        </w:tabs>
        <w:spacing w:before="166" w:after="0" w:line="240" w:lineRule="auto"/>
        <w:ind w:left="2153" w:right="0" w:hanging="242"/>
        <w:jc w:val="left"/>
        <w:rPr>
          <w:sz w:val="32"/>
        </w:rPr>
      </w:pPr>
      <w:r>
        <w:rPr>
          <w:spacing w:val="-16"/>
          <w:sz w:val="32"/>
        </w:rPr>
        <w:t xml:space="preserve">设立专门的老年教育管理机构，专职工作人员不少于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-18"/>
          <w:sz w:val="32"/>
        </w:rPr>
        <w:t xml:space="preserve"> </w:t>
      </w:r>
      <w:r>
        <w:rPr>
          <w:sz w:val="32"/>
        </w:rPr>
        <w:t>人。</w:t>
      </w:r>
    </w:p>
    <w:p>
      <w:pPr>
        <w:pStyle w:val="6"/>
        <w:numPr>
          <w:ilvl w:val="0"/>
          <w:numId w:val="1"/>
        </w:numPr>
        <w:tabs>
          <w:tab w:val="left" w:pos="2154"/>
        </w:tabs>
        <w:spacing w:before="169" w:after="0" w:line="240" w:lineRule="auto"/>
        <w:ind w:left="2153" w:right="0" w:hanging="242"/>
        <w:jc w:val="left"/>
        <w:rPr>
          <w:sz w:val="32"/>
        </w:rPr>
      </w:pPr>
      <w:r>
        <w:rPr>
          <w:spacing w:val="-6"/>
          <w:sz w:val="32"/>
        </w:rPr>
        <w:t xml:space="preserve">建有市民终身学习体验基地不少于 </w:t>
      </w:r>
      <w:r>
        <w:rPr>
          <w:rFonts w:ascii="Times New Roman" w:eastAsia="Times New Roman"/>
          <w:sz w:val="32"/>
        </w:rPr>
        <w:t xml:space="preserve">1 </w:t>
      </w:r>
      <w:r>
        <w:rPr>
          <w:sz w:val="32"/>
        </w:rPr>
        <w:t>个。</w:t>
      </w:r>
    </w:p>
    <w:p>
      <w:pPr>
        <w:pStyle w:val="6"/>
        <w:numPr>
          <w:ilvl w:val="0"/>
          <w:numId w:val="1"/>
        </w:numPr>
        <w:tabs>
          <w:tab w:val="left" w:pos="2157"/>
        </w:tabs>
        <w:spacing w:before="170" w:after="0" w:line="240" w:lineRule="auto"/>
        <w:ind w:left="2156" w:right="0" w:hanging="245"/>
        <w:jc w:val="left"/>
        <w:rPr>
          <w:sz w:val="32"/>
        </w:rPr>
      </w:pPr>
      <w:r>
        <w:rPr>
          <w:spacing w:val="-3"/>
          <w:sz w:val="32"/>
        </w:rPr>
        <w:t xml:space="preserve">年度完成老年学位数不少于 </w:t>
      </w:r>
      <w:r>
        <w:rPr>
          <w:rFonts w:ascii="Times New Roman" w:eastAsia="Times New Roman"/>
          <w:sz w:val="32"/>
        </w:rPr>
        <w:t>2000</w:t>
      </w:r>
      <w:r>
        <w:rPr>
          <w:rFonts w:ascii="Times New Roman" w:eastAsia="Times New Roman"/>
          <w:spacing w:val="4"/>
          <w:sz w:val="32"/>
        </w:rPr>
        <w:t xml:space="preserve"> </w:t>
      </w:r>
      <w:r>
        <w:rPr>
          <w:spacing w:val="7"/>
          <w:sz w:val="32"/>
        </w:rPr>
        <w:t>个</w:t>
      </w:r>
      <w:r>
        <w:rPr>
          <w:spacing w:val="5"/>
          <w:sz w:val="32"/>
        </w:rPr>
        <w:t>（</w:t>
      </w:r>
      <w:r>
        <w:rPr>
          <w:spacing w:val="4"/>
          <w:sz w:val="32"/>
        </w:rPr>
        <w:t>其中半年制以上长</w:t>
      </w:r>
    </w:p>
    <w:p>
      <w:pPr>
        <w:pStyle w:val="3"/>
        <w:spacing w:before="171"/>
        <w:ind w:left="1271"/>
      </w:pPr>
      <w:r>
        <w:rPr>
          <w:spacing w:val="-9"/>
        </w:rPr>
        <w:t xml:space="preserve">学制班学位数不少于 </w:t>
      </w:r>
      <w:r>
        <w:rPr>
          <w:rFonts w:ascii="Times New Roman" w:eastAsia="Times New Roman"/>
        </w:rPr>
        <w:t xml:space="preserve">1000 </w:t>
      </w:r>
      <w:r>
        <w:t>个</w:t>
      </w:r>
      <w:r>
        <w:rPr>
          <w:spacing w:val="-161"/>
        </w:rPr>
        <w:t>）</w:t>
      </w:r>
      <w:r>
        <w:t>。</w:t>
      </w:r>
    </w:p>
    <w:p>
      <w:pPr>
        <w:spacing w:after="0"/>
        <w:sectPr>
          <w:pgSz w:w="11910" w:h="16840"/>
          <w:pgMar w:top="1580" w:right="260" w:bottom="1580" w:left="260" w:header="0" w:footer="1396" w:gutter="0"/>
        </w:sectPr>
      </w:pPr>
    </w:p>
    <w:p>
      <w:pPr>
        <w:pStyle w:val="3"/>
        <w:rPr>
          <w:sz w:val="20"/>
        </w:rPr>
      </w:pPr>
    </w:p>
    <w:p>
      <w:pPr>
        <w:pStyle w:val="3"/>
        <w:tabs>
          <w:tab w:val="left" w:pos="1600"/>
        </w:tabs>
        <w:spacing w:before="219" w:after="2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第二部分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评选指标</w:t>
      </w:r>
    </w:p>
    <w:tbl>
      <w:tblPr>
        <w:tblStyle w:val="5"/>
        <w:tblW w:w="11165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18"/>
        <w:gridCol w:w="5113"/>
        <w:gridCol w:w="3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88" w:type="dxa"/>
          </w:tcPr>
          <w:p>
            <w:pPr>
              <w:pStyle w:val="7"/>
              <w:spacing w:before="153"/>
              <w:ind w:left="162"/>
              <w:rPr>
                <w:b/>
                <w:sz w:val="28"/>
              </w:rPr>
            </w:pPr>
            <w:r>
              <w:rPr>
                <w:b/>
                <w:spacing w:val="-31"/>
                <w:sz w:val="28"/>
              </w:rPr>
              <w:t>一级指标</w:t>
            </w:r>
          </w:p>
        </w:tc>
        <w:tc>
          <w:tcPr>
            <w:tcW w:w="1418" w:type="dxa"/>
          </w:tcPr>
          <w:p>
            <w:pPr>
              <w:pStyle w:val="7"/>
              <w:spacing w:before="153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二级指标</w:t>
            </w:r>
          </w:p>
        </w:tc>
        <w:tc>
          <w:tcPr>
            <w:tcW w:w="5113" w:type="dxa"/>
          </w:tcPr>
          <w:p>
            <w:pPr>
              <w:pStyle w:val="7"/>
              <w:spacing w:before="153"/>
              <w:ind w:left="1832" w:right="1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主要观测点</w:t>
            </w:r>
          </w:p>
        </w:tc>
        <w:tc>
          <w:tcPr>
            <w:tcW w:w="3346" w:type="dxa"/>
          </w:tcPr>
          <w:p>
            <w:pPr>
              <w:pStyle w:val="7"/>
              <w:spacing w:before="40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赋分标准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8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4"/>
              <w:rPr>
                <w:rFonts w:ascii="黑体"/>
                <w:sz w:val="28"/>
              </w:rPr>
            </w:pPr>
          </w:p>
          <w:p>
            <w:pPr>
              <w:pStyle w:val="7"/>
              <w:ind w:left="162"/>
              <w:rPr>
                <w:sz w:val="24"/>
              </w:rPr>
            </w:pPr>
            <w:r>
              <w:rPr>
                <w:sz w:val="24"/>
              </w:rPr>
              <w:t>办学理念</w:t>
            </w:r>
          </w:p>
          <w:p>
            <w:pPr>
              <w:pStyle w:val="7"/>
              <w:spacing w:before="93"/>
              <w:ind w:left="19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4"/>
              <w:ind w:left="228"/>
              <w:rPr>
                <w:sz w:val="24"/>
              </w:rPr>
            </w:pPr>
            <w:r>
              <w:rPr>
                <w:sz w:val="24"/>
              </w:rPr>
              <w:t>理念认同</w:t>
            </w:r>
          </w:p>
          <w:p>
            <w:pPr>
              <w:pStyle w:val="7"/>
              <w:spacing w:before="93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90"/>
              </w:tabs>
              <w:spacing w:before="80" w:after="0" w:line="312" w:lineRule="auto"/>
              <w:ind w:left="108" w:right="1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全面贯彻党的教育方针，严格执行教育法律、</w:t>
            </w:r>
            <w:r>
              <w:rPr>
                <w:sz w:val="24"/>
              </w:rPr>
              <w:t>法规和政策；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确立先进的办学理念和价值追求，以办学理念</w:t>
            </w:r>
          </w:p>
          <w:p>
            <w:pPr>
              <w:pStyle w:val="7"/>
              <w:spacing w:before="91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为导向，制订学校发展规划，有年度计划</w:t>
            </w:r>
            <w:r>
              <w:rPr>
                <w:color w:val="FF0000"/>
                <w:sz w:val="24"/>
              </w:rPr>
              <w:t>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分，①②符合，效果明显；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分，①②符合，效果一般。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4"/>
              <w:ind w:left="228"/>
              <w:rPr>
                <w:sz w:val="24"/>
              </w:rPr>
            </w:pPr>
            <w:r>
              <w:rPr>
                <w:sz w:val="24"/>
              </w:rPr>
              <w:t>文化建设</w:t>
            </w:r>
          </w:p>
          <w:p>
            <w:pPr>
              <w:pStyle w:val="7"/>
              <w:spacing w:before="91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90"/>
              </w:tabs>
              <w:spacing w:before="81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弘扬社会主义核心价值观，把思想道德建设纳</w:t>
            </w:r>
            <w:r>
              <w:rPr>
                <w:sz w:val="24"/>
              </w:rPr>
              <w:t>入学校重要工作；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90"/>
              </w:tabs>
              <w:spacing w:before="0" w:after="0" w:line="307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倡导终身学习理念，积极营造健康向上的校园</w:t>
            </w:r>
          </w:p>
          <w:p>
            <w:pPr>
              <w:pStyle w:val="7"/>
              <w:spacing w:before="93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文化，有良好的校风教风学风。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分，①②符合，效果明显；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分，①②符合，效果一般。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28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left="162"/>
              <w:rPr>
                <w:sz w:val="24"/>
              </w:rPr>
            </w:pPr>
            <w:r>
              <w:rPr>
                <w:sz w:val="24"/>
              </w:rPr>
              <w:t>办学保障</w:t>
            </w:r>
          </w:p>
          <w:p>
            <w:pPr>
              <w:pStyle w:val="7"/>
              <w:spacing w:before="94"/>
              <w:ind w:left="19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1418" w:type="dxa"/>
          </w:tcPr>
          <w:p>
            <w:pPr>
              <w:pStyle w:val="7"/>
              <w:spacing w:before="5"/>
              <w:rPr>
                <w:rFonts w:ascii="黑体"/>
                <w:sz w:val="22"/>
              </w:rPr>
            </w:pPr>
          </w:p>
          <w:p>
            <w:pPr>
              <w:pStyle w:val="7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组织领导</w:t>
            </w:r>
          </w:p>
          <w:p>
            <w:pPr>
              <w:pStyle w:val="7"/>
              <w:spacing w:before="93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90"/>
              </w:tabs>
              <w:spacing w:before="88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成立工作领导小组，统筹老年教育工作的领导</w:t>
            </w:r>
            <w:r>
              <w:rPr>
                <w:sz w:val="24"/>
              </w:rPr>
              <w:t>和管理；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90"/>
              </w:tabs>
              <w:spacing w:before="0" w:after="0" w:line="307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学校领导班子配备完整、结构合理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分，①②符合；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152"/>
              <w:ind w:left="228"/>
              <w:rPr>
                <w:sz w:val="24"/>
              </w:rPr>
            </w:pPr>
            <w:r>
              <w:rPr>
                <w:sz w:val="24"/>
              </w:rPr>
              <w:t>制度保障</w:t>
            </w:r>
          </w:p>
          <w:p>
            <w:pPr>
              <w:pStyle w:val="7"/>
              <w:spacing w:before="93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spacing w:before="60" w:line="400" w:lineRule="atLeast"/>
              <w:ind w:left="108" w:right="9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pacing w:val="-11"/>
                <w:sz w:val="24"/>
              </w:rPr>
              <w:t>招生管理、学员管理、教务管理、教学评价等</w:t>
            </w:r>
            <w:r>
              <w:rPr>
                <w:sz w:val="24"/>
              </w:rPr>
              <w:t>各项制度建设完善。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分，建有各项制度；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分，建有 </w:t>
            </w:r>
            <w:r>
              <w:rPr>
                <w:rFonts w:ascii="Times New Roman" w:eastAsia="Times New Roman"/>
                <w:sz w:val="24"/>
              </w:rPr>
              <w:t xml:space="preserve">2-3 </w:t>
            </w:r>
            <w:r>
              <w:rPr>
                <w:sz w:val="24"/>
              </w:rPr>
              <w:t>项制度。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80"/>
              <w:ind w:left="228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  <w:p>
            <w:pPr>
              <w:pStyle w:val="7"/>
              <w:spacing w:before="94" w:line="299" w:lineRule="exact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290"/>
              </w:tabs>
              <w:spacing w:before="80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有稳定的经费来源；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90"/>
              </w:tabs>
              <w:spacing w:before="94" w:after="0" w:line="299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建立多元的办学经费筹措机制。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分，①②符合；</w:t>
            </w:r>
          </w:p>
          <w:p>
            <w:pPr>
              <w:pStyle w:val="7"/>
              <w:spacing w:before="94" w:line="299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11"/>
              <w:rPr>
                <w:rFonts w:ascii="黑体"/>
                <w:sz w:val="21"/>
              </w:rPr>
            </w:pPr>
          </w:p>
          <w:p>
            <w:pPr>
              <w:pStyle w:val="7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安全保障</w:t>
            </w:r>
          </w:p>
          <w:p>
            <w:pPr>
              <w:pStyle w:val="7"/>
              <w:spacing w:before="93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安保设施设备齐全，安全警示标识醒目；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90"/>
              </w:tabs>
              <w:spacing w:before="90" w:after="0" w:line="240" w:lineRule="auto"/>
              <w:ind w:left="289" w:right="0" w:hanging="182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pacing w:val="1"/>
                <w:sz w:val="24"/>
              </w:rPr>
              <w:t>每年组织安保专项检查和安全演练均不少于</w:t>
            </w:r>
            <w:r>
              <w:rPr>
                <w:rFonts w:ascii="Times New Roman" w:eastAsia="Times New Roman"/>
                <w:sz w:val="24"/>
              </w:rPr>
              <w:t>1</w:t>
            </w:r>
          </w:p>
          <w:p>
            <w:pPr>
              <w:pStyle w:val="7"/>
              <w:spacing w:before="94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次。</w:t>
            </w:r>
          </w:p>
        </w:tc>
        <w:tc>
          <w:tcPr>
            <w:tcW w:w="3346" w:type="dxa"/>
          </w:tcPr>
          <w:p>
            <w:pPr>
              <w:pStyle w:val="7"/>
              <w:spacing w:before="82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分，①②符合；</w:t>
            </w:r>
          </w:p>
          <w:p>
            <w:pPr>
              <w:pStyle w:val="7"/>
              <w:spacing w:before="90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8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1"/>
              <w:rPr>
                <w:rFonts w:ascii="黑体"/>
                <w:sz w:val="19"/>
              </w:rPr>
            </w:pPr>
          </w:p>
          <w:p>
            <w:pPr>
              <w:pStyle w:val="7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办学条件</w:t>
            </w:r>
          </w:p>
          <w:p>
            <w:pPr>
              <w:pStyle w:val="7"/>
              <w:spacing w:before="93"/>
              <w:ind w:left="1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24 </w:t>
            </w:r>
            <w:r>
              <w:rPr>
                <w:sz w:val="24"/>
              </w:rPr>
              <w:t>分）</w:t>
            </w:r>
          </w:p>
        </w:tc>
        <w:tc>
          <w:tcPr>
            <w:tcW w:w="1418" w:type="dxa"/>
          </w:tcPr>
          <w:p>
            <w:pPr>
              <w:pStyle w:val="7"/>
              <w:spacing w:before="11"/>
              <w:rPr>
                <w:rFonts w:ascii="黑体"/>
                <w:sz w:val="21"/>
              </w:rPr>
            </w:pPr>
          </w:p>
          <w:p>
            <w:pPr>
              <w:pStyle w:val="7"/>
              <w:ind w:left="228"/>
              <w:rPr>
                <w:sz w:val="24"/>
              </w:rPr>
            </w:pPr>
            <w:r>
              <w:rPr>
                <w:sz w:val="24"/>
              </w:rPr>
              <w:t>环境设施</w:t>
            </w:r>
          </w:p>
          <w:p>
            <w:pPr>
              <w:pStyle w:val="7"/>
              <w:spacing w:before="94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适老化程度高的设施设备较为齐全；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90"/>
              </w:tabs>
              <w:spacing w:before="93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建有学员学习成果展陈的专门空间；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90"/>
              </w:tabs>
              <w:spacing w:before="91" w:after="0" w:line="299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校园环境整洁优美，绿化良好。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分，①②两项符合；</w:t>
            </w:r>
          </w:p>
          <w:p>
            <w:pPr>
              <w:pStyle w:val="7"/>
              <w:spacing w:before="91" w:line="299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8"/>
              <w:rPr>
                <w:rFonts w:ascii="黑体"/>
                <w:sz w:val="20"/>
              </w:rPr>
            </w:pPr>
          </w:p>
          <w:p>
            <w:pPr>
              <w:pStyle w:val="7"/>
              <w:spacing w:before="1" w:line="312" w:lineRule="auto"/>
              <w:ind w:left="468" w:right="95" w:hanging="360"/>
              <w:rPr>
                <w:sz w:val="24"/>
              </w:rPr>
            </w:pPr>
            <w:r>
              <w:rPr>
                <w:spacing w:val="-30"/>
                <w:sz w:val="24"/>
              </w:rPr>
              <w:t>信息技术</w:t>
            </w:r>
            <w:r>
              <w:rPr>
                <w:spacing w:val="-8"/>
                <w:sz w:val="24"/>
              </w:rPr>
              <w:t>（</w:t>
            </w:r>
            <w:r>
              <w:rPr>
                <w:rFonts w:ascii="Times New Roman" w:eastAsia="Times New Roman"/>
                <w:spacing w:val="-8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290"/>
              </w:tabs>
              <w:spacing w:before="81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打造智慧学习场景，具备开展规模在线老年学</w:t>
            </w:r>
            <w:r>
              <w:rPr>
                <w:sz w:val="24"/>
              </w:rPr>
              <w:t>习的信息化设施；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90"/>
              </w:tabs>
              <w:spacing w:before="0" w:after="0" w:line="307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利用新媒体推送老年教育相关信息；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96"/>
              </w:tabs>
              <w:spacing w:before="93" w:after="0" w:line="240" w:lineRule="auto"/>
              <w:ind w:left="295" w:right="0" w:hanging="188"/>
              <w:jc w:val="left"/>
              <w:rPr>
                <w:sz w:val="24"/>
              </w:rPr>
            </w:pPr>
            <w:r>
              <w:rPr>
                <w:spacing w:val="9"/>
                <w:sz w:val="24"/>
              </w:rPr>
              <w:t>运用</w:t>
            </w:r>
            <w:r>
              <w:rPr>
                <w:rFonts w:ascii="Times New Roman" w:hAnsi="Times New Roman" w:eastAsia="Times New Roman"/>
                <w:spacing w:val="8"/>
                <w:sz w:val="24"/>
              </w:rPr>
              <w:t>“</w:t>
            </w:r>
            <w:r>
              <w:rPr>
                <w:spacing w:val="8"/>
                <w:sz w:val="24"/>
              </w:rPr>
              <w:t>第三年龄学堂</w:t>
            </w:r>
            <w:r>
              <w:rPr>
                <w:rFonts w:ascii="Times New Roman" w:hAnsi="Times New Roman" w:eastAsia="Times New Roman"/>
                <w:spacing w:val="6"/>
                <w:sz w:val="24"/>
              </w:rPr>
              <w:t>”</w:t>
            </w:r>
            <w:r>
              <w:rPr>
                <w:spacing w:val="7"/>
                <w:sz w:val="24"/>
              </w:rPr>
              <w:t>或与其对接的在线平台</w:t>
            </w:r>
          </w:p>
          <w:p>
            <w:pPr>
              <w:pStyle w:val="7"/>
              <w:spacing w:before="93"/>
              <w:ind w:left="108"/>
              <w:rPr>
                <w:sz w:val="24"/>
              </w:rPr>
            </w:pPr>
            <w:r>
              <w:rPr>
                <w:sz w:val="24"/>
              </w:rPr>
              <w:t>（或系统）开展教学教务管理；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90"/>
              </w:tabs>
              <w:spacing w:before="91" w:after="0" w:line="298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有覆盖校园范围的 </w:t>
            </w:r>
            <w:r>
              <w:rPr>
                <w:rFonts w:ascii="Times New Roman" w:eastAsia="Times New Roman"/>
                <w:sz w:val="24"/>
              </w:rPr>
              <w:t xml:space="preserve">Wi-Fi </w:t>
            </w:r>
            <w:r>
              <w:rPr>
                <w:sz w:val="24"/>
              </w:rPr>
              <w:t>信号。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分，①②③④符合；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分，三项符合，且③符合；</w:t>
            </w:r>
          </w:p>
          <w:p>
            <w:pPr>
              <w:pStyle w:val="7"/>
              <w:spacing w:before="9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分，两项符合；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260" w:bottom="1580" w:left="260" w:header="0" w:footer="1396" w:gutter="0"/>
        </w:sectPr>
      </w:pPr>
    </w:p>
    <w:p>
      <w:pPr>
        <w:pStyle w:val="3"/>
        <w:spacing w:before="9"/>
        <w:rPr>
          <w:rFonts w:ascii="黑体"/>
          <w:sz w:val="25"/>
        </w:rPr>
      </w:pPr>
    </w:p>
    <w:tbl>
      <w:tblPr>
        <w:tblStyle w:val="5"/>
        <w:tblW w:w="11165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18"/>
        <w:gridCol w:w="5113"/>
        <w:gridCol w:w="3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9"/>
              <w:rPr>
                <w:rFonts w:ascii="黑体"/>
                <w:sz w:val="20"/>
              </w:rPr>
            </w:pPr>
          </w:p>
          <w:p>
            <w:pPr>
              <w:pStyle w:val="7"/>
              <w:ind w:left="228"/>
              <w:rPr>
                <w:sz w:val="24"/>
              </w:rPr>
            </w:pPr>
            <w:r>
              <w:rPr>
                <w:sz w:val="24"/>
              </w:rPr>
              <w:t>队伍建设</w:t>
            </w:r>
          </w:p>
          <w:p>
            <w:pPr>
              <w:pStyle w:val="7"/>
              <w:spacing w:before="94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专职工作人员具有教学管理经验；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90"/>
              </w:tabs>
              <w:spacing w:before="91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建有专兼职教师信息库；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90"/>
              </w:tabs>
              <w:spacing w:before="94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建有兼职任课教师聘任管理办法，兼职任课教</w:t>
            </w:r>
            <w:r>
              <w:rPr>
                <w:sz w:val="24"/>
              </w:rPr>
              <w:t>师素质较高、结构合理、人员稳定；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90"/>
              </w:tabs>
              <w:spacing w:before="0" w:after="0" w:line="307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制订教师年度培训计划，专职教师参加年度培</w:t>
            </w:r>
          </w:p>
          <w:p>
            <w:pPr>
              <w:pStyle w:val="7"/>
              <w:spacing w:before="93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训率达 </w:t>
            </w:r>
            <w:r>
              <w:rPr>
                <w:rFonts w:ascii="Times New Roman" w:eastAsia="Times New Roman"/>
                <w:sz w:val="24"/>
              </w:rPr>
              <w:t>100%</w:t>
            </w:r>
            <w:r>
              <w:rPr>
                <w:sz w:val="24"/>
              </w:rPr>
              <w:t>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分，①②③④符合；</w:t>
            </w:r>
          </w:p>
          <w:p>
            <w:pPr>
              <w:pStyle w:val="7"/>
              <w:spacing w:before="9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分，三项符合；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分，两项符合；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8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34"/>
              </w:rPr>
            </w:pPr>
          </w:p>
          <w:p>
            <w:pPr>
              <w:pStyle w:val="7"/>
              <w:ind w:left="162"/>
              <w:rPr>
                <w:sz w:val="24"/>
              </w:rPr>
            </w:pPr>
            <w:r>
              <w:rPr>
                <w:sz w:val="24"/>
              </w:rPr>
              <w:t>办学内涵</w:t>
            </w:r>
          </w:p>
          <w:p>
            <w:pPr>
              <w:pStyle w:val="7"/>
              <w:spacing w:before="94"/>
              <w:ind w:left="1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24 </w:t>
            </w:r>
            <w:r>
              <w:rPr>
                <w:sz w:val="24"/>
              </w:rPr>
              <w:t>分）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4"/>
              <w:ind w:left="228"/>
              <w:rPr>
                <w:sz w:val="24"/>
              </w:rPr>
            </w:pPr>
            <w:r>
              <w:rPr>
                <w:sz w:val="24"/>
              </w:rPr>
              <w:t>课程开设</w:t>
            </w:r>
          </w:p>
          <w:p>
            <w:pPr>
              <w:pStyle w:val="7"/>
              <w:spacing w:before="91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定期组织调研，了解老龄群体实际学习需求；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90"/>
              </w:tabs>
              <w:spacing w:before="93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建有地方特色课程不少于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门；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90"/>
              </w:tabs>
              <w:spacing w:before="91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每年累计开设课程不少于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门；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90"/>
              </w:tabs>
              <w:spacing w:before="93" w:after="0" w:line="299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每年开设远程老年教育课程不少于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门。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分，①②③④符合；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分，三项符合；</w:t>
            </w:r>
          </w:p>
          <w:p>
            <w:pPr>
              <w:pStyle w:val="7"/>
              <w:spacing w:before="9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分，两项符合；</w:t>
            </w:r>
          </w:p>
          <w:p>
            <w:pPr>
              <w:pStyle w:val="7"/>
              <w:spacing w:before="93" w:line="299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"/>
              <w:rPr>
                <w:rFonts w:ascii="黑体"/>
                <w:sz w:val="29"/>
              </w:rPr>
            </w:pPr>
          </w:p>
          <w:p>
            <w:pPr>
              <w:pStyle w:val="7"/>
              <w:ind w:left="228"/>
              <w:rPr>
                <w:sz w:val="24"/>
              </w:rPr>
            </w:pPr>
            <w:r>
              <w:rPr>
                <w:sz w:val="24"/>
              </w:rPr>
              <w:t>资源建设</w:t>
            </w:r>
          </w:p>
          <w:p>
            <w:pPr>
              <w:pStyle w:val="7"/>
              <w:spacing w:before="91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1"/>
              </w:numPr>
              <w:tabs>
                <w:tab w:val="left" w:pos="290"/>
              </w:tabs>
              <w:spacing w:before="81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建有教材</w:t>
            </w:r>
            <w:r>
              <w:rPr>
                <w:sz w:val="24"/>
              </w:rPr>
              <w:t>（读本</w:t>
            </w:r>
            <w:r>
              <w:rPr>
                <w:spacing w:val="-27"/>
                <w:sz w:val="24"/>
              </w:rPr>
              <w:t>）</w:t>
            </w:r>
            <w:r>
              <w:rPr>
                <w:spacing w:val="-5"/>
                <w:sz w:val="24"/>
              </w:rPr>
              <w:t>和数字化资源建设、选用的</w:t>
            </w:r>
            <w:r>
              <w:rPr>
                <w:sz w:val="24"/>
              </w:rPr>
              <w:t>管理办法；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90"/>
              </w:tabs>
              <w:spacing w:before="0" w:after="0" w:line="307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自编特色教材（读本）</w:t>
            </w:r>
            <w:r>
              <w:rPr>
                <w:spacing w:val="-15"/>
                <w:sz w:val="24"/>
              </w:rPr>
              <w:t xml:space="preserve">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种；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96"/>
              </w:tabs>
              <w:spacing w:before="1" w:after="0" w:line="400" w:lineRule="atLeast"/>
              <w:ind w:left="108" w:right="96" w:firstLine="0"/>
              <w:jc w:val="left"/>
              <w:rPr>
                <w:sz w:val="24"/>
              </w:rPr>
            </w:pPr>
            <w:r>
              <w:rPr>
                <w:spacing w:val="6"/>
                <w:sz w:val="24"/>
              </w:rPr>
              <w:t>每年自建共建具有区域特色的数字化资源不</w:t>
            </w:r>
            <w:r>
              <w:rPr>
                <w:spacing w:val="-16"/>
                <w:sz w:val="24"/>
              </w:rPr>
              <w:t xml:space="preserve">少于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个系列。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分，①②③符合；</w:t>
            </w:r>
          </w:p>
          <w:p>
            <w:pPr>
              <w:pStyle w:val="7"/>
              <w:spacing w:before="9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分，两项符合；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28"/>
              <w:rPr>
                <w:sz w:val="24"/>
              </w:rPr>
            </w:pPr>
            <w:r>
              <w:rPr>
                <w:sz w:val="24"/>
              </w:rPr>
              <w:t>教学评价</w:t>
            </w:r>
          </w:p>
          <w:p>
            <w:pPr>
              <w:pStyle w:val="7"/>
              <w:spacing w:before="94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290"/>
              </w:tabs>
              <w:spacing w:before="80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学员评价制度完善，评价方式多样，档案管理</w:t>
            </w:r>
            <w:r>
              <w:rPr>
                <w:sz w:val="24"/>
              </w:rPr>
              <w:t>规范；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96"/>
              </w:tabs>
              <w:spacing w:before="2" w:after="0" w:line="240" w:lineRule="auto"/>
              <w:ind w:left="295" w:right="0" w:hanging="188"/>
              <w:jc w:val="left"/>
              <w:rPr>
                <w:sz w:val="24"/>
              </w:rPr>
            </w:pPr>
            <w:r>
              <w:rPr>
                <w:spacing w:val="6"/>
                <w:sz w:val="24"/>
              </w:rPr>
              <w:t>学员对学校教学服务工作平均满意率和任课</w:t>
            </w:r>
          </w:p>
          <w:p>
            <w:pPr>
              <w:pStyle w:val="7"/>
              <w:spacing w:before="91" w:line="30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教师平均满意率均达 </w:t>
            </w:r>
            <w:r>
              <w:rPr>
                <w:rFonts w:ascii="Times New Roman" w:eastAsia="Times New Roman"/>
                <w:sz w:val="24"/>
              </w:rPr>
              <w:t>90%</w:t>
            </w:r>
            <w:r>
              <w:rPr>
                <w:sz w:val="24"/>
              </w:rPr>
              <w:t>以上。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分，①②符合；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分，仅②符合；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分，仅①符合。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10"/>
              <w:rPr>
                <w:rFonts w:ascii="黑体"/>
                <w:sz w:val="21"/>
              </w:rPr>
            </w:pPr>
          </w:p>
          <w:p>
            <w:pPr>
              <w:pStyle w:val="7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教育科研</w:t>
            </w:r>
          </w:p>
          <w:p>
            <w:pPr>
              <w:pStyle w:val="7"/>
              <w:spacing w:before="93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3"/>
              </w:numPr>
              <w:tabs>
                <w:tab w:val="left" w:pos="296"/>
              </w:tabs>
              <w:spacing w:before="80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6"/>
                <w:sz w:val="24"/>
              </w:rPr>
              <w:t>每年承担市级以上老年教育相关课题或实验</w:t>
            </w:r>
            <w:r>
              <w:rPr>
                <w:spacing w:val="-3"/>
                <w:sz w:val="24"/>
              </w:rPr>
              <w:t xml:space="preserve">项目研究不少于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项；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90"/>
              </w:tabs>
              <w:spacing w:before="0" w:after="0" w:line="300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每年组织老年教育教研活动不少于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分，①②符合；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8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2"/>
              <w:rPr>
                <w:rFonts w:ascii="黑体"/>
                <w:sz w:val="35"/>
              </w:rPr>
            </w:pPr>
          </w:p>
          <w:p>
            <w:pPr>
              <w:pStyle w:val="7"/>
              <w:ind w:left="162"/>
              <w:rPr>
                <w:sz w:val="24"/>
              </w:rPr>
            </w:pPr>
            <w:r>
              <w:rPr>
                <w:sz w:val="24"/>
              </w:rPr>
              <w:t>办学拓展</w:t>
            </w:r>
          </w:p>
          <w:p>
            <w:pPr>
              <w:pStyle w:val="7"/>
              <w:spacing w:before="93"/>
              <w:ind w:left="1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16 </w:t>
            </w:r>
            <w:r>
              <w:rPr>
                <w:sz w:val="24"/>
              </w:rPr>
              <w:t>分）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28"/>
              <w:rPr>
                <w:sz w:val="24"/>
              </w:rPr>
            </w:pPr>
            <w:r>
              <w:rPr>
                <w:sz w:val="24"/>
              </w:rPr>
              <w:t>活动交流</w:t>
            </w:r>
          </w:p>
          <w:p>
            <w:pPr>
              <w:pStyle w:val="7"/>
              <w:spacing w:before="94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90"/>
              </w:tabs>
              <w:spacing w:before="80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每年组织学员成果展示等活动不少于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34"/>
                <w:sz w:val="24"/>
              </w:rPr>
              <w:t>次，活</w:t>
            </w:r>
            <w:r>
              <w:rPr>
                <w:sz w:val="24"/>
              </w:rPr>
              <w:t>动主题明确，记录清晰；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每年组织校际交流活动不少于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次；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90"/>
              </w:tabs>
              <w:spacing w:before="91" w:after="0" w:line="300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近三年参加省级及以上文体比赛获得奖项。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分，两项符合；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4"/>
              <w:ind w:left="228"/>
              <w:rPr>
                <w:sz w:val="24"/>
              </w:rPr>
            </w:pPr>
            <w:r>
              <w:rPr>
                <w:sz w:val="24"/>
              </w:rPr>
              <w:t>社团建设</w:t>
            </w:r>
          </w:p>
          <w:p>
            <w:pPr>
              <w:pStyle w:val="7"/>
              <w:spacing w:before="91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90"/>
              </w:tabs>
              <w:spacing w:before="80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建有各类老年学习型社团不少于 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pacing w:val="-21"/>
                <w:sz w:val="24"/>
              </w:rPr>
              <w:t>个，社团宗</w:t>
            </w:r>
            <w:r>
              <w:rPr>
                <w:sz w:val="24"/>
              </w:rPr>
              <w:t>旨明确、章程健全、管理规范；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90"/>
              </w:tabs>
              <w:spacing w:before="0" w:after="0" w:line="307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社团运行有序，各学习型社团校内活动每年不</w:t>
            </w:r>
          </w:p>
          <w:p>
            <w:pPr>
              <w:pStyle w:val="7"/>
              <w:spacing w:before="94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少于 </w:t>
            </w:r>
            <w:r>
              <w:rPr>
                <w:rFonts w:ascii="Times New Roman" w:eastAsia="Times New Roman"/>
                <w:sz w:val="24"/>
              </w:rPr>
              <w:t xml:space="preserve">16 </w:t>
            </w:r>
            <w:r>
              <w:rPr>
                <w:sz w:val="24"/>
              </w:rPr>
              <w:t>次，按需组织校外交流和展示活动。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分，①②符合；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81"/>
              <w:ind w:left="228"/>
              <w:rPr>
                <w:sz w:val="24"/>
              </w:rPr>
            </w:pPr>
            <w:r>
              <w:rPr>
                <w:sz w:val="24"/>
              </w:rPr>
              <w:t>志愿服务</w:t>
            </w:r>
          </w:p>
          <w:p>
            <w:pPr>
              <w:pStyle w:val="7"/>
              <w:spacing w:before="93" w:line="296" w:lineRule="exact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6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建有学员志愿者队伍，制订相应的管理办法；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90"/>
              </w:tabs>
              <w:spacing w:before="93" w:after="0" w:line="296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每年组织志愿活动不少于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次。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分，①②符合；</w:t>
            </w:r>
          </w:p>
          <w:p>
            <w:pPr>
              <w:pStyle w:val="7"/>
              <w:spacing w:before="93" w:line="296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</w:tbl>
    <w:p>
      <w:pPr>
        <w:spacing w:after="0" w:line="296" w:lineRule="exact"/>
        <w:rPr>
          <w:sz w:val="24"/>
        </w:rPr>
        <w:sectPr>
          <w:pgSz w:w="11910" w:h="16840"/>
          <w:pgMar w:top="1580" w:right="260" w:bottom="1500" w:left="260" w:header="0" w:footer="1396" w:gutter="0"/>
        </w:sectPr>
      </w:pPr>
    </w:p>
    <w:p>
      <w:pPr>
        <w:pStyle w:val="3"/>
        <w:spacing w:before="9"/>
        <w:rPr>
          <w:rFonts w:ascii="黑体"/>
          <w:sz w:val="25"/>
        </w:rPr>
      </w:pPr>
    </w:p>
    <w:tbl>
      <w:tblPr>
        <w:tblStyle w:val="5"/>
        <w:tblW w:w="11165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18"/>
        <w:gridCol w:w="5113"/>
        <w:gridCol w:w="3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8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3"/>
              <w:rPr>
                <w:rFonts w:ascii="黑体"/>
                <w:sz w:val="25"/>
              </w:rPr>
            </w:pPr>
          </w:p>
          <w:p>
            <w:pPr>
              <w:pStyle w:val="7"/>
              <w:ind w:left="162"/>
              <w:rPr>
                <w:sz w:val="24"/>
              </w:rPr>
            </w:pPr>
            <w:r>
              <w:rPr>
                <w:sz w:val="24"/>
              </w:rPr>
              <w:t>办学成效</w:t>
            </w:r>
          </w:p>
          <w:p>
            <w:pPr>
              <w:pStyle w:val="7"/>
              <w:spacing w:before="93"/>
              <w:ind w:left="13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1418" w:type="dxa"/>
          </w:tcPr>
          <w:p>
            <w:pPr>
              <w:pStyle w:val="7"/>
              <w:spacing w:before="3" w:line="398" w:lineRule="exact"/>
              <w:ind w:left="468" w:right="95" w:hanging="360"/>
              <w:rPr>
                <w:sz w:val="24"/>
              </w:rPr>
            </w:pPr>
            <w:r>
              <w:rPr>
                <w:spacing w:val="-30"/>
                <w:sz w:val="24"/>
              </w:rPr>
              <w:t>开放共享</w:t>
            </w:r>
            <w:r>
              <w:rPr>
                <w:spacing w:val="-9"/>
                <w:sz w:val="24"/>
              </w:rPr>
              <w:t>（</w:t>
            </w:r>
            <w:r>
              <w:rPr>
                <w:rFonts w:ascii="Times New Roman" w:eastAsia="Times New Roman"/>
                <w:spacing w:val="-9"/>
                <w:sz w:val="24"/>
              </w:rPr>
              <w:t xml:space="preserve">4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spacing w:before="3" w:line="398" w:lineRule="exact"/>
              <w:ind w:left="108" w:right="9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pacing w:val="-10"/>
                <w:sz w:val="24"/>
              </w:rPr>
              <w:t>面向社会开放办学，整合共享各类优质教育资</w:t>
            </w:r>
            <w:r>
              <w:rPr>
                <w:sz w:val="24"/>
              </w:rPr>
              <w:t>源，共建培训活动项目等有典型案例。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 xml:space="preserve">分，提供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个及以上案例；</w:t>
            </w:r>
          </w:p>
          <w:p>
            <w:pPr>
              <w:pStyle w:val="7"/>
              <w:spacing w:before="91" w:line="300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分，提供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个案例。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1"/>
              <w:rPr>
                <w:rFonts w:ascii="黑体"/>
                <w:sz w:val="27"/>
              </w:rPr>
            </w:pPr>
          </w:p>
          <w:p>
            <w:pPr>
              <w:pStyle w:val="7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示范引领</w:t>
            </w:r>
          </w:p>
          <w:p>
            <w:pPr>
              <w:pStyle w:val="7"/>
              <w:spacing w:before="93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spacing w:before="80" w:line="312" w:lineRule="auto"/>
              <w:ind w:left="108" w:right="-2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 xml:space="preserve">学习成果按时录入浙江省终身教育学分银行， </w:t>
            </w:r>
            <w:r>
              <w:rPr>
                <w:spacing w:val="-2"/>
                <w:sz w:val="24"/>
              </w:rPr>
              <w:t>制定区域性学习成果</w:t>
            </w:r>
            <w:r>
              <w:rPr>
                <w:sz w:val="24"/>
              </w:rPr>
              <w:t>（积分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2"/>
                <w:sz w:val="24"/>
              </w:rPr>
              <w:t xml:space="preserve">兑换和使用办法； </w:t>
            </w: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pacing w:val="-5"/>
                <w:sz w:val="24"/>
              </w:rPr>
              <w:t>师生在协同社会治理中发挥积极作用，有典型案例；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90"/>
              </w:tabs>
              <w:spacing w:before="2" w:after="0" w:line="312" w:lineRule="auto"/>
              <w:ind w:left="108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开展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送教下乡</w:t>
            </w:r>
            <w:r>
              <w:rPr>
                <w:rFonts w:ascii="Times New Roman" w:hAnsi="Times New Roman" w:eastAsia="Times New Roman"/>
                <w:sz w:val="24"/>
              </w:rPr>
              <w:t>”“</w:t>
            </w:r>
            <w:r>
              <w:rPr>
                <w:sz w:val="24"/>
              </w:rPr>
              <w:t>送教入户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pacing w:val="-7"/>
                <w:sz w:val="24"/>
              </w:rPr>
              <w:t>等特色活动，把老</w:t>
            </w:r>
            <w:r>
              <w:rPr>
                <w:sz w:val="24"/>
              </w:rPr>
              <w:t>年教育办在家门口；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90"/>
              </w:tabs>
              <w:spacing w:before="0" w:after="0" w:line="307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开展先进集体</w:t>
            </w:r>
            <w:r>
              <w:rPr>
                <w:sz w:val="24"/>
              </w:rPr>
              <w:t>（个人</w:t>
            </w:r>
            <w:r>
              <w:rPr>
                <w:spacing w:val="-27"/>
                <w:sz w:val="24"/>
              </w:rPr>
              <w:t>）</w:t>
            </w:r>
            <w:r>
              <w:rPr>
                <w:spacing w:val="-6"/>
                <w:sz w:val="24"/>
              </w:rPr>
              <w:t>评选、优秀案例征集等</w:t>
            </w:r>
          </w:p>
          <w:p>
            <w:pPr>
              <w:pStyle w:val="7"/>
              <w:spacing w:before="93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活动。</w:t>
            </w:r>
          </w:p>
        </w:tc>
        <w:tc>
          <w:tcPr>
            <w:tcW w:w="3346" w:type="dxa"/>
          </w:tcPr>
          <w:p>
            <w:pPr>
              <w:pStyle w:val="7"/>
              <w:spacing w:before="8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分，①②③④符合；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分，三项符合；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分，二项符合；</w:t>
            </w:r>
          </w:p>
          <w:p>
            <w:pPr>
              <w:pStyle w:val="7"/>
              <w:spacing w:before="9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57"/>
              <w:ind w:left="228"/>
              <w:rPr>
                <w:sz w:val="24"/>
              </w:rPr>
            </w:pPr>
            <w:r>
              <w:rPr>
                <w:sz w:val="24"/>
              </w:rPr>
              <w:t>社会影响</w:t>
            </w:r>
          </w:p>
          <w:p>
            <w:pPr>
              <w:pStyle w:val="7"/>
              <w:spacing w:before="93"/>
              <w:ind w:left="2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分）</w:t>
            </w:r>
          </w:p>
        </w:tc>
        <w:tc>
          <w:tcPr>
            <w:tcW w:w="5113" w:type="dxa"/>
          </w:tcPr>
          <w:p>
            <w:pPr>
              <w:pStyle w:val="7"/>
              <w:numPr>
                <w:ilvl w:val="0"/>
                <w:numId w:val="18"/>
              </w:numPr>
              <w:tabs>
                <w:tab w:val="left" w:pos="290"/>
              </w:tabs>
              <w:spacing w:before="81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近三年获市级及以上党委、政府和有关部门的</w:t>
            </w:r>
            <w:r>
              <w:rPr>
                <w:sz w:val="24"/>
              </w:rPr>
              <w:t>表彰奖励；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96"/>
              </w:tabs>
              <w:spacing w:before="0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6"/>
                <w:sz w:val="24"/>
              </w:rPr>
              <w:t>近三年获市级及以上主流媒体的专题宣传报</w:t>
            </w:r>
            <w:r>
              <w:rPr>
                <w:sz w:val="24"/>
              </w:rPr>
              <w:t xml:space="preserve">道或先进经验介绍等不少于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次；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96"/>
              </w:tabs>
              <w:spacing w:before="0" w:after="0" w:line="312" w:lineRule="auto"/>
              <w:ind w:left="108" w:right="96" w:firstLine="0"/>
              <w:jc w:val="left"/>
              <w:rPr>
                <w:sz w:val="24"/>
              </w:rPr>
            </w:pPr>
            <w:r>
              <w:rPr>
                <w:spacing w:val="6"/>
                <w:sz w:val="24"/>
              </w:rPr>
              <w:t>近三年获评市级及以上老年学习型社团或百姓学习之星。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90"/>
              </w:tabs>
              <w:spacing w:before="2" w:after="0" w:line="298" w:lineRule="exact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创有市级及以上老年教育（学习）品牌。</w:t>
            </w:r>
          </w:p>
        </w:tc>
        <w:tc>
          <w:tcPr>
            <w:tcW w:w="3346" w:type="dxa"/>
          </w:tcPr>
          <w:p>
            <w:pPr>
              <w:pStyle w:val="7"/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分，①②③④符合；</w:t>
            </w:r>
          </w:p>
          <w:p>
            <w:pPr>
              <w:pStyle w:val="7"/>
              <w:spacing w:before="9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分，三项符合；</w:t>
            </w:r>
          </w:p>
          <w:p>
            <w:pPr>
              <w:pStyle w:val="7"/>
              <w:spacing w:before="93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分，二项符合；</w:t>
            </w:r>
          </w:p>
          <w:p>
            <w:pPr>
              <w:pStyle w:val="7"/>
              <w:spacing w:before="9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分，一项符合。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260" w:bottom="1500" w:left="260" w:header="0" w:footer="1396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2">
    <w:nsid w:val="8CAEB125"/>
    <w:multiLevelType w:val="multilevel"/>
    <w:tmpl w:val="8CAEB125"/>
    <w:lvl w:ilvl="0" w:tentative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09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9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73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5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38" w:hanging="181"/>
      </w:pPr>
      <w:rPr>
        <w:rFonts w:hint="default"/>
        <w:lang w:val="en-US" w:eastAsia="zh-CN" w:bidi="ar-SA"/>
      </w:rPr>
    </w:lvl>
  </w:abstractNum>
  <w:abstractNum w:abstractNumId="3">
    <w:nsid w:val="91995D4F"/>
    <w:multiLevelType w:val="multilevel"/>
    <w:tmpl w:val="91995D4F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4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5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09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9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73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5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38" w:hanging="181"/>
      </w:pPr>
      <w:rPr>
        <w:rFonts w:hint="default"/>
        <w:lang w:val="en-US" w:eastAsia="zh-CN" w:bidi="ar-SA"/>
      </w:rPr>
    </w:lvl>
  </w:abstractNum>
  <w:abstractNum w:abstractNumId="6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09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9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73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5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38" w:hanging="181"/>
      </w:pPr>
      <w:rPr>
        <w:rFonts w:hint="default"/>
        <w:lang w:val="en-US" w:eastAsia="zh-CN" w:bidi="ar-SA"/>
      </w:rPr>
    </w:lvl>
  </w:abstractNum>
  <w:abstractNum w:abstractNumId="7">
    <w:nsid w:val="F7735DC9"/>
    <w:multiLevelType w:val="multilevel"/>
    <w:tmpl w:val="F7735DC9"/>
    <w:lvl w:ilvl="0" w:tentative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09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9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73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5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38" w:hanging="181"/>
      </w:pPr>
      <w:rPr>
        <w:rFonts w:hint="default"/>
        <w:lang w:val="en-US" w:eastAsia="zh-CN" w:bidi="ar-SA"/>
      </w:rPr>
    </w:lvl>
  </w:abstractNum>
  <w:abstractNum w:abstractNumId="8">
    <w:nsid w:val="1ACDE60F"/>
    <w:multiLevelType w:val="multilevel"/>
    <w:tmpl w:val="1ACDE60F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9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10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11">
    <w:nsid w:val="4D94DA66"/>
    <w:multiLevelType w:val="multilevel"/>
    <w:tmpl w:val="4D94DA66"/>
    <w:lvl w:ilvl="0" w:tentative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09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9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73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5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38" w:hanging="181"/>
      </w:pPr>
      <w:rPr>
        <w:rFonts w:hint="default"/>
        <w:lang w:val="en-US" w:eastAsia="zh-CN" w:bidi="ar-SA"/>
      </w:rPr>
    </w:lvl>
  </w:abstractNum>
  <w:abstractNum w:abstractNumId="12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1271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90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01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311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322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3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343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354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364" w:hanging="242"/>
      </w:pPr>
      <w:rPr>
        <w:rFonts w:hint="default"/>
        <w:lang w:val="en-US" w:eastAsia="zh-CN" w:bidi="ar-SA"/>
      </w:rPr>
    </w:lvl>
  </w:abstractNum>
  <w:abstractNum w:abstractNumId="13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108" w:hanging="1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8"/>
      </w:pPr>
      <w:rPr>
        <w:rFonts w:hint="default"/>
        <w:lang w:val="en-US" w:eastAsia="zh-CN" w:bidi="ar-SA"/>
      </w:rPr>
    </w:lvl>
  </w:abstractNum>
  <w:abstractNum w:abstractNumId="14">
    <w:nsid w:val="5FFFB1A7"/>
    <w:multiLevelType w:val="multilevel"/>
    <w:tmpl w:val="5FFFB1A7"/>
    <w:lvl w:ilvl="0" w:tentative="0">
      <w:start w:val="3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15">
    <w:nsid w:val="74C28B35"/>
    <w:multiLevelType w:val="multilevel"/>
    <w:tmpl w:val="74C28B35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abstractNum w:abstractNumId="16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09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9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73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5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38" w:hanging="181"/>
      </w:pPr>
      <w:rPr>
        <w:rFonts w:hint="default"/>
        <w:lang w:val="en-US" w:eastAsia="zh-CN" w:bidi="ar-SA"/>
      </w:rPr>
    </w:lvl>
  </w:abstractNum>
  <w:abstractNum w:abstractNumId="17">
    <w:nsid w:val="7DEC2089"/>
    <w:multiLevelType w:val="multilevel"/>
    <w:tmpl w:val="7DEC2089"/>
    <w:lvl w:ilvl="0" w:tentative="0">
      <w:start w:val="1"/>
      <w:numFmt w:val="decimal"/>
      <w:lvlText w:val="%1."/>
      <w:lvlJc w:val="left"/>
      <w:pPr>
        <w:ind w:left="1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0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01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01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01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02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102" w:hanging="181"/>
      </w:pPr>
      <w:rPr>
        <w:rFonts w:hint="default"/>
        <w:lang w:val="en-US" w:eastAsia="zh-CN" w:bidi="ar-SA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20E40"/>
    <w:rsid w:val="7EB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71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2021-08-30T05:33:00Z</dcterms:created>
  <dc:creator>Administrator</dc:creator>
  <cp:lastModifiedBy>Administrator</cp:lastModifiedBy>
  <dcterms:modified xsi:type="dcterms:W3CDTF">2021-08-30T05:34:38Z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