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/>
          <w:sz w:val="20"/>
        </w:rPr>
      </w:pPr>
    </w:p>
    <w:p>
      <w:pPr>
        <w:pStyle w:val="3"/>
        <w:spacing w:before="219"/>
        <w:ind w:left="127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34"/>
        </w:rPr>
      </w:pPr>
    </w:p>
    <w:p>
      <w:pPr>
        <w:pStyle w:val="2"/>
      </w:pPr>
      <w:r>
        <w:t>浙江省优质（示范）老年学堂评选标准</w:t>
      </w:r>
    </w:p>
    <w:p>
      <w:pPr>
        <w:pStyle w:val="3"/>
        <w:spacing w:before="140"/>
        <w:jc w:val="center"/>
      </w:pPr>
      <w:r>
        <w:t>（暂行）</w:t>
      </w:r>
    </w:p>
    <w:p>
      <w:pPr>
        <w:pStyle w:val="3"/>
      </w:pPr>
    </w:p>
    <w:p>
      <w:pPr>
        <w:pStyle w:val="3"/>
        <w:spacing w:before="5"/>
        <w:rPr>
          <w:sz w:val="26"/>
        </w:rPr>
      </w:pPr>
    </w:p>
    <w:p>
      <w:pPr>
        <w:pStyle w:val="3"/>
        <w:tabs>
          <w:tab w:val="left" w:pos="1600"/>
        </w:tabs>
        <w:spacing w:before="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基本条件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170" w:after="0" w:line="338" w:lineRule="auto"/>
        <w:ind w:left="1271" w:right="1271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学校以服务老年学习为宗旨，坚持开放办学，面向社会招 </w:t>
      </w:r>
      <w:r>
        <w:rPr>
          <w:spacing w:val="-19"/>
          <w:sz w:val="32"/>
        </w:rPr>
        <w:t xml:space="preserve">生不少于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年，开展的各类教育活动符合国家政策法律。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3" w:after="0" w:line="340" w:lineRule="auto"/>
        <w:ind w:left="1271" w:right="1269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符合国家应急管理工作相关要求，有完备的应急机制和突 </w:t>
      </w:r>
      <w:r>
        <w:rPr>
          <w:spacing w:val="-3"/>
          <w:sz w:val="32"/>
        </w:rPr>
        <w:t>发事件应急预案，应急和防疫物资准备充足。</w:t>
      </w:r>
    </w:p>
    <w:p>
      <w:pPr>
        <w:pStyle w:val="8"/>
        <w:numPr>
          <w:ilvl w:val="0"/>
          <w:numId w:val="1"/>
        </w:numPr>
        <w:tabs>
          <w:tab w:val="left" w:pos="2162"/>
        </w:tabs>
        <w:spacing w:before="0" w:after="0" w:line="340" w:lineRule="auto"/>
        <w:ind w:left="1271" w:right="1271" w:firstLine="640"/>
        <w:jc w:val="left"/>
        <w:rPr>
          <w:sz w:val="32"/>
        </w:rPr>
      </w:pPr>
      <w:r>
        <w:rPr>
          <w:spacing w:val="11"/>
          <w:w w:val="95"/>
          <w:sz w:val="32"/>
        </w:rPr>
        <w:t xml:space="preserve">近三年学校无违规办学和违规收费行为；无教师严重违 </w:t>
      </w:r>
      <w:r>
        <w:rPr>
          <w:spacing w:val="11"/>
          <w:sz w:val="32"/>
        </w:rPr>
        <w:t>纪、违法事件；无重大安全责任事故。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0" w:after="0" w:line="338" w:lineRule="auto"/>
        <w:ind w:left="1271" w:right="1269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具有专门用于老年教育的办学场地，可使用的建筑面积不 </w:t>
      </w:r>
      <w:r>
        <w:rPr>
          <w:spacing w:val="-29"/>
          <w:sz w:val="32"/>
        </w:rPr>
        <w:t xml:space="preserve">少于 </w:t>
      </w:r>
      <w:r>
        <w:rPr>
          <w:rFonts w:ascii="Times New Roman" w:eastAsia="Times New Roman"/>
          <w:sz w:val="32"/>
        </w:rPr>
        <w:t>500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平方米。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0" w:after="0" w:line="240" w:lineRule="auto"/>
        <w:ind w:left="2153" w:right="0" w:hanging="242"/>
        <w:jc w:val="left"/>
        <w:rPr>
          <w:sz w:val="32"/>
        </w:rPr>
      </w:pPr>
      <w:r>
        <w:rPr>
          <w:spacing w:val="-27"/>
          <w:sz w:val="32"/>
        </w:rPr>
        <w:t xml:space="preserve">具有 </w:t>
      </w:r>
      <w:r>
        <w:rPr>
          <w:rFonts w:ascii="Times New Roman" w:eastAsia="Times New Roman"/>
          <w:sz w:val="32"/>
        </w:rPr>
        <w:t xml:space="preserve">5 </w:t>
      </w:r>
      <w:r>
        <w:rPr>
          <w:sz w:val="32"/>
        </w:rPr>
        <w:t>个及以上符合教学需要的教室（活动室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166" w:after="0" w:line="240" w:lineRule="auto"/>
        <w:ind w:left="2153" w:right="0" w:hanging="242"/>
        <w:jc w:val="left"/>
        <w:rPr>
          <w:sz w:val="32"/>
        </w:rPr>
      </w:pPr>
      <w:r>
        <w:rPr>
          <w:spacing w:val="-5"/>
          <w:sz w:val="32"/>
        </w:rPr>
        <w:t xml:space="preserve">具有教育管理经验的专职工作人员不少于 </w:t>
      </w:r>
      <w:r>
        <w:rPr>
          <w:rFonts w:ascii="Times New Roman" w:eastAsia="Times New Roman"/>
          <w:sz w:val="32"/>
        </w:rPr>
        <w:t xml:space="preserve">2 </w:t>
      </w:r>
      <w:r>
        <w:rPr>
          <w:sz w:val="32"/>
        </w:rPr>
        <w:t>人。</w:t>
      </w:r>
    </w:p>
    <w:p>
      <w:pPr>
        <w:pStyle w:val="8"/>
        <w:numPr>
          <w:ilvl w:val="0"/>
          <w:numId w:val="1"/>
        </w:numPr>
        <w:tabs>
          <w:tab w:val="left" w:pos="2256"/>
        </w:tabs>
        <w:spacing w:before="169" w:after="0" w:line="240" w:lineRule="auto"/>
        <w:ind w:left="2255" w:right="0" w:hanging="344"/>
        <w:jc w:val="left"/>
        <w:rPr>
          <w:sz w:val="32"/>
        </w:rPr>
      </w:pPr>
      <w:r>
        <w:rPr>
          <w:sz w:val="32"/>
        </w:rPr>
        <w:t>建有专兼职教师信息库，有较为稳定的师资队伍。</w:t>
      </w:r>
    </w:p>
    <w:p>
      <w:pPr>
        <w:pStyle w:val="8"/>
        <w:numPr>
          <w:ilvl w:val="0"/>
          <w:numId w:val="1"/>
        </w:numPr>
        <w:tabs>
          <w:tab w:val="left" w:pos="2154"/>
        </w:tabs>
        <w:spacing w:before="170" w:after="0" w:line="240" w:lineRule="auto"/>
        <w:ind w:left="2153" w:right="0" w:hanging="242"/>
        <w:jc w:val="left"/>
        <w:rPr>
          <w:sz w:val="32"/>
        </w:rPr>
      </w:pPr>
      <w:r>
        <w:rPr>
          <w:spacing w:val="-7"/>
          <w:sz w:val="32"/>
        </w:rPr>
        <w:t xml:space="preserve">年度完成老年学位数不少于 </w:t>
      </w:r>
      <w:r>
        <w:rPr>
          <w:rFonts w:ascii="Times New Roman" w:eastAsia="Times New Roman"/>
          <w:sz w:val="32"/>
        </w:rPr>
        <w:t>800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4"/>
          <w:sz w:val="32"/>
        </w:rPr>
        <w:t>个</w:t>
      </w:r>
      <w:r>
        <w:rPr>
          <w:sz w:val="32"/>
        </w:rPr>
        <w:t>（其中半年制以上长学</w:t>
      </w:r>
    </w:p>
    <w:p>
      <w:pPr>
        <w:pStyle w:val="3"/>
        <w:spacing w:before="171"/>
        <w:ind w:left="1271"/>
      </w:pPr>
      <w:r>
        <w:rPr>
          <w:spacing w:val="-9"/>
        </w:rPr>
        <w:t xml:space="preserve">制班学位数不少于 </w:t>
      </w:r>
      <w:r>
        <w:rPr>
          <w:rFonts w:ascii="Times New Roman" w:eastAsia="Times New Roman"/>
        </w:rPr>
        <w:t xml:space="preserve">400 </w:t>
      </w:r>
      <w:r>
        <w:t>个</w:t>
      </w:r>
      <w:r>
        <w:rPr>
          <w:spacing w:val="-161"/>
        </w:rPr>
        <w:t>）</w:t>
      </w:r>
      <w:r>
        <w:t>。</w:t>
      </w:r>
    </w:p>
    <w:p>
      <w:pPr>
        <w:spacing w:after="0"/>
        <w:sectPr>
          <w:pgSz w:w="11910" w:h="16840"/>
          <w:pgMar w:top="1580" w:right="260" w:bottom="1500" w:left="260" w:header="0" w:footer="1396" w:gutter="0"/>
        </w:sect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1600"/>
        </w:tabs>
        <w:spacing w:before="219" w:after="2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评选指标</w:t>
      </w:r>
    </w:p>
    <w:tbl>
      <w:tblPr>
        <w:tblStyle w:val="7"/>
        <w:tblW w:w="11024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724"/>
        <w:gridCol w:w="4927"/>
        <w:gridCol w:w="2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20" w:type="dxa"/>
          </w:tcPr>
          <w:p>
            <w:pPr>
              <w:pStyle w:val="9"/>
              <w:spacing w:before="78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一级指标</w:t>
            </w:r>
          </w:p>
        </w:tc>
        <w:tc>
          <w:tcPr>
            <w:tcW w:w="1724" w:type="dxa"/>
          </w:tcPr>
          <w:p>
            <w:pPr>
              <w:pStyle w:val="9"/>
              <w:spacing w:before="78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t>二级指标</w:t>
            </w:r>
          </w:p>
        </w:tc>
        <w:tc>
          <w:tcPr>
            <w:tcW w:w="4927" w:type="dxa"/>
          </w:tcPr>
          <w:p>
            <w:pPr>
              <w:pStyle w:val="9"/>
              <w:spacing w:before="78"/>
              <w:ind w:left="1761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主要观测点</w:t>
            </w:r>
          </w:p>
        </w:tc>
        <w:tc>
          <w:tcPr>
            <w:tcW w:w="2853" w:type="dxa"/>
          </w:tcPr>
          <w:p>
            <w:pPr>
              <w:pStyle w:val="9"/>
              <w:spacing w:before="8"/>
              <w:ind w:left="944"/>
              <w:rPr>
                <w:b/>
                <w:sz w:val="28"/>
              </w:rPr>
            </w:pPr>
            <w:r>
              <w:rPr>
                <w:b/>
                <w:sz w:val="28"/>
              </w:rPr>
              <w:t>赋分标准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12"/>
              <w:ind w:left="278"/>
              <w:rPr>
                <w:sz w:val="24"/>
              </w:rPr>
            </w:pPr>
            <w:r>
              <w:rPr>
                <w:sz w:val="24"/>
              </w:rPr>
              <w:t>办学理念</w:t>
            </w:r>
          </w:p>
          <w:p>
            <w:pPr>
              <w:pStyle w:val="9"/>
              <w:spacing w:before="52"/>
              <w:ind w:left="30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分）</w:t>
            </w:r>
          </w:p>
        </w:tc>
        <w:tc>
          <w:tcPr>
            <w:tcW w:w="1724" w:type="dxa"/>
          </w:tcPr>
          <w:p>
            <w:pPr>
              <w:pStyle w:val="9"/>
              <w:spacing w:before="12"/>
              <w:rPr>
                <w:rFonts w:ascii="黑体"/>
                <w:sz w:val="31"/>
              </w:rPr>
            </w:pPr>
          </w:p>
          <w:p>
            <w:pPr>
              <w:pStyle w:val="9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理念认同</w:t>
            </w:r>
          </w:p>
          <w:p>
            <w:pPr>
              <w:pStyle w:val="9"/>
              <w:spacing w:before="52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288"/>
              </w:tabs>
              <w:spacing w:before="50" w:after="0" w:line="280" w:lineRule="auto"/>
              <w:ind w:left="106" w:right="30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全面贯彻党的教育方针，严格执行教育法</w:t>
            </w:r>
            <w:r>
              <w:rPr>
                <w:sz w:val="24"/>
              </w:rPr>
              <w:t>律、法规和政策；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确立先进的办学理念和价值追求，以办学理</w:t>
            </w:r>
          </w:p>
          <w:p>
            <w:pPr>
              <w:pStyle w:val="9"/>
              <w:spacing w:before="5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念为导向，制订学校发展规划，有年度计划。</w:t>
            </w:r>
          </w:p>
        </w:tc>
        <w:tc>
          <w:tcPr>
            <w:tcW w:w="2853" w:type="dxa"/>
          </w:tcPr>
          <w:p>
            <w:pPr>
              <w:pStyle w:val="9"/>
              <w:spacing w:before="50" w:line="280" w:lineRule="auto"/>
              <w:ind w:left="106" w:right="15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分，①②符合，效果明显；</w:t>
            </w: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分，①②符合，效果一</w:t>
            </w:r>
          </w:p>
          <w:p>
            <w:pPr>
              <w:pStyle w:val="9"/>
              <w:spacing w:before="5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12"/>
              <w:rPr>
                <w:rFonts w:ascii="黑体"/>
                <w:sz w:val="31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文化建设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88"/>
              </w:tabs>
              <w:spacing w:before="49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弘扬社会主义核心价值观，把思想道德建设</w:t>
            </w:r>
            <w:r>
              <w:rPr>
                <w:sz w:val="24"/>
              </w:rPr>
              <w:t>纳入学校重要工作；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88"/>
              </w:tabs>
              <w:spacing w:before="1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倡导终身学习的理念，积极营造健康向上的</w:t>
            </w:r>
          </w:p>
          <w:p>
            <w:pPr>
              <w:pStyle w:val="9"/>
              <w:spacing w:before="5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校园文化，具有良好的校风教风学风。</w:t>
            </w:r>
          </w:p>
        </w:tc>
        <w:tc>
          <w:tcPr>
            <w:tcW w:w="2853" w:type="dxa"/>
          </w:tcPr>
          <w:p>
            <w:pPr>
              <w:pStyle w:val="9"/>
              <w:spacing w:before="49" w:line="280" w:lineRule="auto"/>
              <w:ind w:left="106" w:right="15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分，①②符合，效果明显；</w:t>
            </w:r>
          </w:p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分，①②符合，效果一</w:t>
            </w:r>
          </w:p>
          <w:p>
            <w:pPr>
              <w:pStyle w:val="9"/>
              <w:spacing w:before="5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29"/>
              </w:rPr>
            </w:pPr>
          </w:p>
          <w:p>
            <w:pPr>
              <w:pStyle w:val="9"/>
              <w:ind w:left="278"/>
              <w:rPr>
                <w:sz w:val="24"/>
              </w:rPr>
            </w:pPr>
            <w:r>
              <w:rPr>
                <w:sz w:val="24"/>
              </w:rPr>
              <w:t>办学条件</w:t>
            </w:r>
          </w:p>
          <w:p>
            <w:pPr>
              <w:pStyle w:val="9"/>
              <w:spacing w:before="52"/>
              <w:ind w:left="24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24 </w:t>
            </w:r>
            <w:r>
              <w:rPr>
                <w:sz w:val="24"/>
              </w:rPr>
              <w:t>分）</w:t>
            </w: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54"/>
              <w:ind w:left="381"/>
              <w:rPr>
                <w:sz w:val="24"/>
              </w:rPr>
            </w:pPr>
            <w:r>
              <w:rPr>
                <w:sz w:val="24"/>
              </w:rPr>
              <w:t>保障条件</w:t>
            </w:r>
          </w:p>
          <w:p>
            <w:pPr>
              <w:pStyle w:val="9"/>
              <w:spacing w:before="52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88"/>
              </w:tabs>
              <w:spacing w:before="49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招生管理、学员管理、教务管理、教学评价</w:t>
            </w:r>
            <w:r>
              <w:rPr>
                <w:sz w:val="24"/>
              </w:rPr>
              <w:t>等各项制度建设完善；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14"/>
              </w:tabs>
              <w:spacing w:before="0" w:after="0" w:line="280" w:lineRule="auto"/>
              <w:ind w:left="106" w:right="118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有稳定的办学经费来源， 建立多元经费</w:t>
            </w:r>
            <w:r>
              <w:rPr>
                <w:spacing w:val="16"/>
                <w:sz w:val="24"/>
              </w:rPr>
              <w:t>筹措机制。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11"/>
              </w:tabs>
              <w:spacing w:before="1" w:after="0" w:line="240" w:lineRule="auto"/>
              <w:ind w:left="310" w:right="0" w:hanging="2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重视安全工作，安保设施设备较为齐全，每</w:t>
            </w:r>
          </w:p>
          <w:p>
            <w:pPr>
              <w:pStyle w:val="9"/>
              <w:spacing w:before="52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年开展安保检查或安全演练不少于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</w:tc>
        <w:tc>
          <w:tcPr>
            <w:tcW w:w="2853" w:type="dxa"/>
          </w:tcPr>
          <w:p>
            <w:pPr>
              <w:pStyle w:val="9"/>
              <w:spacing w:before="49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分，①②③符合；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53"/>
              <w:ind w:left="381"/>
              <w:rPr>
                <w:sz w:val="24"/>
              </w:rPr>
            </w:pPr>
            <w:r>
              <w:rPr>
                <w:sz w:val="24"/>
              </w:rPr>
              <w:t>人员队伍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99"/>
              </w:tabs>
              <w:spacing w:before="48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专职工作人员具有教学管理经验，职责明</w:t>
            </w:r>
            <w:r>
              <w:rPr>
                <w:sz w:val="24"/>
              </w:rPr>
              <w:t>确；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88"/>
              </w:tabs>
              <w:spacing w:before="1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建有兼职任课教师聘任管理办法，兼职任课</w:t>
            </w:r>
            <w:r>
              <w:rPr>
                <w:sz w:val="24"/>
              </w:rPr>
              <w:t>教师素质较高、人员稳定；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积极参与各类老年教育师资、管理人员等培</w:t>
            </w:r>
          </w:p>
          <w:p>
            <w:pPr>
              <w:pStyle w:val="9"/>
              <w:spacing w:before="53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训，提升队伍素质。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分，①②③符合；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48"/>
              <w:ind w:left="381"/>
              <w:rPr>
                <w:sz w:val="24"/>
              </w:rPr>
            </w:pPr>
            <w:r>
              <w:rPr>
                <w:sz w:val="24"/>
              </w:rPr>
              <w:t>办学设施</w:t>
            </w:r>
          </w:p>
          <w:p>
            <w:pPr>
              <w:pStyle w:val="9"/>
              <w:spacing w:before="53" w:line="292" w:lineRule="exact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288"/>
              </w:tabs>
              <w:spacing w:before="48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有适老化程度较高的设施设备；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88"/>
              </w:tabs>
              <w:spacing w:before="53" w:after="0" w:line="292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具备开展在线老年学习的基本条件。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分，①②符合；</w:t>
            </w:r>
          </w:p>
          <w:p>
            <w:pPr>
              <w:pStyle w:val="9"/>
              <w:spacing w:before="53" w:line="29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8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办学组织</w:t>
            </w:r>
          </w:p>
          <w:p>
            <w:pPr>
              <w:pStyle w:val="9"/>
              <w:spacing w:before="52"/>
              <w:ind w:left="24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 </w:t>
            </w:r>
            <w:r>
              <w:rPr>
                <w:sz w:val="24"/>
              </w:rPr>
              <w:t>分）</w:t>
            </w: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2"/>
              <w:rPr>
                <w:rFonts w:ascii="黑体"/>
                <w:sz w:val="35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课程设置</w:t>
            </w:r>
          </w:p>
          <w:p>
            <w:pPr>
              <w:pStyle w:val="9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88"/>
              </w:tabs>
              <w:spacing w:before="48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能根据社会和学员需求灵活开设课程，全年</w:t>
            </w:r>
            <w:r>
              <w:rPr>
                <w:spacing w:val="-6"/>
                <w:sz w:val="24"/>
              </w:rPr>
              <w:t xml:space="preserve">累计开设课程不少于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门；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有较为规范的课程教学计划、大纲和内容；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88"/>
              </w:tabs>
              <w:spacing w:before="53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建有教材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读本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4"/>
                <w:sz w:val="24"/>
              </w:rPr>
              <w:t>和数字化资源建设、选用</w:t>
            </w:r>
            <w:r>
              <w:rPr>
                <w:sz w:val="24"/>
              </w:rPr>
              <w:t>的管理办法；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88"/>
              </w:tabs>
              <w:spacing w:before="0" w:after="0" w:line="292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培育具有当地文化特色的课程不少于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门。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分，①②③④符合；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分，三项符合；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教学管理</w:t>
            </w:r>
          </w:p>
          <w:p>
            <w:pPr>
              <w:pStyle w:val="9"/>
              <w:spacing w:before="52"/>
              <w:ind w:left="35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88"/>
              </w:tabs>
              <w:spacing w:before="50" w:after="0" w:line="280" w:lineRule="auto"/>
              <w:ind w:left="106" w:right="6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班级管理规范，学员学籍、考勤记录完整， </w:t>
            </w:r>
            <w:r>
              <w:rPr>
                <w:sz w:val="24"/>
              </w:rPr>
              <w:t>到课率较高；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9"/>
              </w:tabs>
              <w:spacing w:before="0" w:after="0" w:line="240" w:lineRule="auto"/>
              <w:ind w:left="298" w:right="0" w:hanging="193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运用</w:t>
            </w:r>
            <w:r>
              <w:rPr>
                <w:rFonts w:ascii="Times New Roman" w:hAnsi="Times New Roman" w:eastAsia="Times New Roman"/>
                <w:spacing w:val="11"/>
                <w:sz w:val="24"/>
              </w:rPr>
              <w:t>“</w:t>
            </w:r>
            <w:r>
              <w:rPr>
                <w:spacing w:val="12"/>
                <w:sz w:val="24"/>
              </w:rPr>
              <w:t>第三年龄学堂</w:t>
            </w:r>
            <w:r>
              <w:rPr>
                <w:rFonts w:ascii="Times New Roman" w:hAnsi="Times New Roman" w:eastAsia="Times New Roman"/>
                <w:spacing w:val="13"/>
                <w:sz w:val="24"/>
              </w:rPr>
              <w:t>”</w:t>
            </w:r>
            <w:r>
              <w:rPr>
                <w:spacing w:val="10"/>
                <w:sz w:val="24"/>
              </w:rPr>
              <w:t>或与其对接的在线平</w:t>
            </w:r>
          </w:p>
          <w:p>
            <w:pPr>
              <w:pStyle w:val="9"/>
              <w:spacing w:before="53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台（或系统）开展教学教务管理；</w:t>
            </w:r>
          </w:p>
        </w:tc>
        <w:tc>
          <w:tcPr>
            <w:tcW w:w="2853" w:type="dxa"/>
          </w:tcPr>
          <w:p>
            <w:pPr>
              <w:pStyle w:val="9"/>
              <w:spacing w:before="50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分，①②③符合；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分，三项符合；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分，两项符合。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footerReference r:id="rId4" w:type="even"/>
          <w:pgSz w:w="11910" w:h="16840"/>
          <w:pgMar w:top="1580" w:right="260" w:bottom="1580" w:left="260" w:header="0" w:footer="1396" w:gutter="0"/>
          <w:pgNumType w:start="10"/>
        </w:sectPr>
      </w:pPr>
    </w:p>
    <w:p>
      <w:pPr>
        <w:pStyle w:val="3"/>
        <w:spacing w:before="9"/>
        <w:rPr>
          <w:rFonts w:ascii="黑体"/>
          <w:sz w:val="25"/>
        </w:rPr>
      </w:pPr>
    </w:p>
    <w:tbl>
      <w:tblPr>
        <w:tblStyle w:val="7"/>
        <w:tblW w:w="11024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724"/>
        <w:gridCol w:w="4927"/>
        <w:gridCol w:w="2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>
            <w:pPr>
              <w:pStyle w:val="9"/>
              <w:spacing w:before="48" w:line="280" w:lineRule="auto"/>
              <w:ind w:left="106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老年学习成果按时录入浙江省终身教育学分银行管理平台。</w:t>
            </w:r>
          </w:p>
        </w:tc>
        <w:tc>
          <w:tcPr>
            <w:tcW w:w="28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11"/>
              <w:rPr>
                <w:rFonts w:ascii="黑体"/>
                <w:sz w:val="31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资源整合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spacing w:line="360" w:lineRule="exact"/>
              <w:ind w:left="106" w:right="94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22.</w:t>
            </w:r>
            <w:r>
              <w:rPr>
                <w:spacing w:val="-12"/>
                <w:sz w:val="24"/>
              </w:rPr>
              <w:t>整合各类教育资源，利用辖区内图书馆</w:t>
            </w: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>农</w:t>
            </w:r>
            <w:r>
              <w:rPr>
                <w:sz w:val="24"/>
              </w:rPr>
              <w:t>家书屋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9"/>
                <w:sz w:val="24"/>
              </w:rPr>
              <w:t>、文化馆、文化礼堂</w:t>
            </w:r>
            <w:r>
              <w:rPr>
                <w:sz w:val="24"/>
              </w:rPr>
              <w:t>（文化家园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5"/>
                <w:sz w:val="24"/>
              </w:rPr>
              <w:t>等</w:t>
            </w:r>
            <w:r>
              <w:rPr>
                <w:spacing w:val="-10"/>
                <w:sz w:val="24"/>
              </w:rPr>
              <w:t>公共文化设施开展活动，实现学习活动项目共</w:t>
            </w:r>
            <w:r>
              <w:rPr>
                <w:sz w:val="24"/>
              </w:rPr>
              <w:t>建。</w:t>
            </w:r>
          </w:p>
        </w:tc>
        <w:tc>
          <w:tcPr>
            <w:tcW w:w="2853" w:type="dxa"/>
          </w:tcPr>
          <w:p>
            <w:pPr>
              <w:pStyle w:val="9"/>
              <w:spacing w:before="48" w:line="280" w:lineRule="auto"/>
              <w:ind w:left="106" w:right="9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分，提供两个及以上案例；</w:t>
            </w:r>
          </w:p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 xml:space="preserve">分，提供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个案例。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153"/>
              <w:ind w:left="381"/>
              <w:rPr>
                <w:sz w:val="24"/>
              </w:rPr>
            </w:pPr>
            <w:r>
              <w:rPr>
                <w:sz w:val="24"/>
              </w:rPr>
              <w:t>教育科研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spacing w:before="153" w:line="280" w:lineRule="auto"/>
              <w:ind w:left="106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积极参与区域性老年人学习实践与理论研究。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分，参与研究的课题立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项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09"/>
              <w:ind w:left="278"/>
              <w:rPr>
                <w:sz w:val="24"/>
              </w:rPr>
            </w:pPr>
            <w:r>
              <w:rPr>
                <w:sz w:val="24"/>
              </w:rPr>
              <w:t>办学拓展</w:t>
            </w:r>
          </w:p>
          <w:p>
            <w:pPr>
              <w:pStyle w:val="9"/>
              <w:spacing w:before="53"/>
              <w:ind w:left="24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分）</w:t>
            </w: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4"/>
              <w:rPr>
                <w:rFonts w:ascii="黑体"/>
                <w:sz w:val="17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活动交流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88"/>
              </w:tabs>
              <w:spacing w:before="50" w:after="0" w:line="280" w:lineRule="auto"/>
              <w:ind w:left="106" w:right="68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每年组织学员成果展示等活动不少于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9"/>
                <w:sz w:val="24"/>
              </w:rPr>
              <w:t xml:space="preserve">次， </w:t>
            </w:r>
            <w:r>
              <w:rPr>
                <w:sz w:val="24"/>
              </w:rPr>
              <w:t>活动主题明确，记录清晰；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每年组织或参与校际交流活动不少于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88"/>
              </w:tabs>
              <w:spacing w:before="53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近三年参加县级以上文体比赛获得奖项。</w:t>
            </w:r>
          </w:p>
        </w:tc>
        <w:tc>
          <w:tcPr>
            <w:tcW w:w="2853" w:type="dxa"/>
          </w:tcPr>
          <w:p>
            <w:pPr>
              <w:pStyle w:val="9"/>
              <w:spacing w:before="50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分，①②③符合；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49"/>
              <w:ind w:left="381"/>
              <w:rPr>
                <w:sz w:val="24"/>
              </w:rPr>
            </w:pPr>
            <w:r>
              <w:rPr>
                <w:sz w:val="24"/>
              </w:rPr>
              <w:t>社团建设</w:t>
            </w:r>
          </w:p>
          <w:p>
            <w:pPr>
              <w:pStyle w:val="9"/>
              <w:spacing w:before="52" w:line="291" w:lineRule="exact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spacing w:before="49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建有学习型社团不少于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个；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88"/>
              </w:tabs>
              <w:spacing w:before="52" w:after="0" w:line="291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社团制度完善、管理规范、活动有序。</w:t>
            </w:r>
          </w:p>
        </w:tc>
        <w:tc>
          <w:tcPr>
            <w:tcW w:w="2853" w:type="dxa"/>
          </w:tcPr>
          <w:p>
            <w:pPr>
              <w:pStyle w:val="9"/>
              <w:spacing w:before="49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分，①②符合；</w:t>
            </w:r>
          </w:p>
          <w:p>
            <w:pPr>
              <w:pStyle w:val="9"/>
              <w:spacing w:before="52" w:line="291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spacing w:before="10"/>
              <w:rPr>
                <w:rFonts w:ascii="黑体"/>
                <w:sz w:val="17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志愿服务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299"/>
              </w:tabs>
              <w:spacing w:before="48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建有学员志愿者队伍，制订相应的管理办</w:t>
            </w:r>
            <w:r>
              <w:rPr>
                <w:sz w:val="24"/>
              </w:rPr>
              <w:t>法；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88"/>
              </w:tabs>
              <w:spacing w:before="1" w:after="0" w:line="291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每年组织志愿活动不少于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分，①②符合；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520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88"/>
              <w:ind w:left="278"/>
              <w:rPr>
                <w:sz w:val="24"/>
              </w:rPr>
            </w:pPr>
            <w:r>
              <w:rPr>
                <w:sz w:val="24"/>
              </w:rPr>
              <w:t>办学成效</w:t>
            </w:r>
          </w:p>
          <w:p>
            <w:pPr>
              <w:pStyle w:val="9"/>
              <w:spacing w:before="52"/>
              <w:ind w:left="24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18 </w:t>
            </w:r>
            <w:r>
              <w:rPr>
                <w:sz w:val="24"/>
              </w:rPr>
              <w:t>分）</w:t>
            </w: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1"/>
              <w:rPr>
                <w:rFonts w:ascii="黑体"/>
                <w:sz w:val="21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学员评价</w:t>
            </w:r>
          </w:p>
          <w:p>
            <w:pPr>
              <w:pStyle w:val="9"/>
              <w:spacing w:before="53"/>
              <w:ind w:left="41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88"/>
              </w:tabs>
              <w:spacing w:before="48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学员评价制度完善，评价方式多样，档案管</w:t>
            </w:r>
            <w:r>
              <w:rPr>
                <w:sz w:val="24"/>
              </w:rPr>
              <w:t>理规范。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314"/>
              </w:tabs>
              <w:spacing w:before="0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23"/>
                <w:sz w:val="24"/>
              </w:rPr>
              <w:t>学员对学校教学服务工作平均满意率达</w:t>
            </w:r>
            <w:r>
              <w:rPr>
                <w:rFonts w:ascii="Times New Roman" w:eastAsia="Times New Roman"/>
                <w:sz w:val="24"/>
              </w:rPr>
              <w:t>90%</w:t>
            </w:r>
            <w:r>
              <w:rPr>
                <w:sz w:val="24"/>
              </w:rPr>
              <w:t>以上；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88"/>
              </w:tabs>
              <w:spacing w:before="1" w:after="0" w:line="292" w:lineRule="exact"/>
              <w:ind w:left="287" w:right="0" w:hanging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学员对任课教师平均满意率达 </w:t>
            </w:r>
            <w:r>
              <w:rPr>
                <w:rFonts w:ascii="Times New Roman" w:eastAsia="Times New Roman"/>
                <w:sz w:val="24"/>
              </w:rPr>
              <w:t>90%</w:t>
            </w:r>
            <w:r>
              <w:rPr>
                <w:sz w:val="24"/>
              </w:rPr>
              <w:t>以上。</w:t>
            </w:r>
          </w:p>
        </w:tc>
        <w:tc>
          <w:tcPr>
            <w:tcW w:w="2853" w:type="dxa"/>
          </w:tcPr>
          <w:p>
            <w:pPr>
              <w:pStyle w:val="9"/>
              <w:spacing w:before="48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分，①②③符合；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分，两项符合。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07"/>
              <w:ind w:left="381"/>
              <w:rPr>
                <w:sz w:val="24"/>
              </w:rPr>
            </w:pPr>
            <w:r>
              <w:rPr>
                <w:sz w:val="24"/>
              </w:rPr>
              <w:t>社会影响</w:t>
            </w:r>
          </w:p>
          <w:p>
            <w:pPr>
              <w:pStyle w:val="9"/>
              <w:spacing w:before="53"/>
              <w:ind w:left="352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分）</w:t>
            </w:r>
          </w:p>
        </w:tc>
        <w:tc>
          <w:tcPr>
            <w:tcW w:w="4927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88"/>
              </w:tabs>
              <w:spacing w:before="50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近三年获得县级以上党委、政府和有关部门</w:t>
            </w:r>
            <w:r>
              <w:rPr>
                <w:sz w:val="24"/>
              </w:rPr>
              <w:t>的表彰奖励；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99"/>
              </w:tabs>
              <w:spacing w:before="0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近三年获县级及以上主流媒体的专题宣传</w:t>
            </w:r>
            <w:r>
              <w:rPr>
                <w:spacing w:val="-5"/>
                <w:sz w:val="24"/>
              </w:rPr>
              <w:t xml:space="preserve">报道或先进经验介绍等不少于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篇；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88"/>
              </w:tabs>
              <w:spacing w:before="1" w:after="0" w:line="280" w:lineRule="auto"/>
              <w:ind w:left="106" w:right="9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近三年获评县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4"/>
                <w:sz w:val="24"/>
              </w:rPr>
              <w:t>市、区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2"/>
                <w:sz w:val="24"/>
              </w:rPr>
              <w:t>级以上老年学习型</w:t>
            </w:r>
            <w:r>
              <w:rPr>
                <w:sz w:val="24"/>
              </w:rPr>
              <w:t>社团或百姓学习之星。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88"/>
              </w:tabs>
              <w:spacing w:before="0" w:after="0" w:line="240" w:lineRule="auto"/>
              <w:ind w:left="287" w:right="0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积极参与老年教育模式改革和创新，形成具</w:t>
            </w:r>
          </w:p>
          <w:p>
            <w:pPr>
              <w:pStyle w:val="9"/>
              <w:spacing w:before="5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有区域特色的典型案例或办学品牌。</w:t>
            </w:r>
          </w:p>
        </w:tc>
        <w:tc>
          <w:tcPr>
            <w:tcW w:w="2853" w:type="dxa"/>
          </w:tcPr>
          <w:p>
            <w:pPr>
              <w:pStyle w:val="9"/>
              <w:spacing w:before="50"/>
              <w:ind w:left="10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分，①②③④符合；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分，三项符合；</w:t>
            </w:r>
          </w:p>
          <w:p>
            <w:pPr>
              <w:pStyle w:val="9"/>
              <w:spacing w:before="53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分，两项符合；</w:t>
            </w:r>
          </w:p>
          <w:p>
            <w:pPr>
              <w:pStyle w:val="9"/>
              <w:spacing w:before="52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分，一项符合。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260" w:bottom="1500" w:left="260" w:header="0" w:footer="1316" w:gutter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9665335</wp:posOffset>
              </wp:positionV>
              <wp:extent cx="5981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61.05pt;height:16.05pt;width:47.1pt;mso-position-horizontal-relative:page;mso-position-vertical-relative:page;z-index:-16483328;mso-width-relative:page;mso-height-relative:page;" filled="f" stroked="f" coordsize="21600,21600" o:gfxdata="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d5jPYtkAAAANAQAA&#10;DwAAAAAAAAABACAAAAAiAAAAZHJzL2Rvd25yZXYueG1sUEsBAhQAFAAAAAgAh07iQIFfMRy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106" w:hanging="19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9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9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9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9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9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9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9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92"/>
      </w:pPr>
      <w:rPr>
        <w:rFonts w:hint="default"/>
        <w:lang w:val="en-US" w:eastAsia="zh-CN" w:bidi="ar-SA"/>
      </w:rPr>
    </w:lvl>
  </w:abstractNum>
  <w:abstractNum w:abstractNumId="1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7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3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9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62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25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89" w:hanging="181"/>
      </w:pPr>
      <w:rPr>
        <w:rFonts w:hint="default"/>
        <w:lang w:val="en-US" w:eastAsia="zh-CN" w:bidi="ar-SA"/>
      </w:rPr>
    </w:lvl>
  </w:abstractNum>
  <w:abstractNum w:abstractNumId="2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3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4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06" w:hanging="19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9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9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9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9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9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9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9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92"/>
      </w:pPr>
      <w:rPr>
        <w:rFonts w:hint="default"/>
        <w:lang w:val="en-US" w:eastAsia="zh-CN" w:bidi="ar-SA"/>
      </w:rPr>
    </w:lvl>
  </w:abstractNum>
  <w:abstractNum w:abstractNumId="5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6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7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7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3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9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62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25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89" w:hanging="181"/>
      </w:pPr>
      <w:rPr>
        <w:rFonts w:hint="default"/>
        <w:lang w:val="en-US" w:eastAsia="zh-CN" w:bidi="ar-SA"/>
      </w:rPr>
    </w:lvl>
  </w:abstractNum>
  <w:abstractNum w:abstractNumId="8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10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abstractNum w:abstractNumId="11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1271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90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01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311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322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3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43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354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364" w:hanging="242"/>
      </w:pPr>
      <w:rPr>
        <w:rFonts w:hint="default"/>
        <w:lang w:val="en-US" w:eastAsia="zh-CN" w:bidi="ar-SA"/>
      </w:rPr>
    </w:lvl>
  </w:abstractNum>
  <w:abstractNum w:abstractNumId="12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8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6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2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0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990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53" w:hanging="181"/>
      </w:pPr>
      <w:rPr>
        <w:rFonts w:hint="default"/>
        <w:lang w:val="en-US" w:eastAsia="zh-CN" w:bidi="ar-SA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1BB0"/>
    <w:rsid w:val="22BC6E91"/>
    <w:rsid w:val="585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36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271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2021-08-30T05:34:00Z</dcterms:created>
  <dc:creator>Administrator</dc:creator>
  <cp:lastModifiedBy>Administrator</cp:lastModifiedBy>
  <dcterms:modified xsi:type="dcterms:W3CDTF">2021-08-30T05:40:12Z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