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eastAsia" w:ascii="方正小标宋_GBK" w:hAnsi="方正小标宋_GBK" w:eastAsia="方正小标宋_GBK" w:cs="方正小标宋_GBK"/>
          <w:b w:val="0"/>
          <w:bCs/>
          <w:kern w:val="0"/>
          <w:sz w:val="52"/>
          <w:szCs w:val="52"/>
        </w:rPr>
      </w:pPr>
    </w:p>
    <w:p>
      <w:pPr>
        <w:autoSpaceDE w:val="0"/>
        <w:autoSpaceDN w:val="0"/>
        <w:adjustRightInd w:val="0"/>
        <w:jc w:val="center"/>
        <w:rPr>
          <w:rFonts w:hint="eastAsia" w:ascii="方正小标宋_GBK" w:hAnsi="方正小标宋_GBK" w:eastAsia="方正小标宋_GBK" w:cs="方正小标宋_GBK"/>
          <w:b w:val="0"/>
          <w:bCs/>
          <w:kern w:val="0"/>
          <w:sz w:val="52"/>
          <w:szCs w:val="52"/>
        </w:rPr>
      </w:pPr>
    </w:p>
    <w:p>
      <w:pPr>
        <w:autoSpaceDE w:val="0"/>
        <w:autoSpaceDN w:val="0"/>
        <w:adjustRightInd w:val="0"/>
        <w:jc w:val="center"/>
        <w:rPr>
          <w:rFonts w:hint="eastAsia" w:ascii="方正小标宋简体" w:hAnsi="方正小标宋简体" w:eastAsia="方正小标宋简体" w:cs="方正小标宋简体"/>
          <w:b w:val="0"/>
          <w:bCs/>
          <w:kern w:val="0"/>
          <w:sz w:val="52"/>
          <w:szCs w:val="52"/>
        </w:rPr>
      </w:pPr>
      <w:r>
        <w:rPr>
          <w:rFonts w:hint="eastAsia" w:ascii="方正小标宋简体" w:hAnsi="方正小标宋简体" w:eastAsia="方正小标宋简体" w:cs="方正小标宋简体"/>
          <w:b w:val="0"/>
          <w:bCs/>
          <w:kern w:val="0"/>
          <w:sz w:val="52"/>
          <w:szCs w:val="52"/>
        </w:rPr>
        <w:t>杭州市中等职业教育</w:t>
      </w:r>
    </w:p>
    <w:p>
      <w:pPr>
        <w:jc w:val="center"/>
        <w:rPr>
          <w:rFonts w:hint="eastAsia" w:ascii="方正小标宋简体" w:hAnsi="方正小标宋简体" w:eastAsia="方正小标宋简体" w:cs="方正小标宋简体"/>
          <w:b/>
          <w:bCs/>
          <w:kern w:val="0"/>
          <w:sz w:val="52"/>
          <w:szCs w:val="52"/>
          <w:lang w:eastAsia="zh-CN"/>
        </w:rPr>
      </w:pPr>
      <w:r>
        <w:rPr>
          <w:rFonts w:hint="eastAsia" w:ascii="方正小标宋简体" w:hAnsi="方正小标宋简体" w:eastAsia="方正小标宋简体" w:cs="方正小标宋简体"/>
          <w:b w:val="0"/>
          <w:bCs/>
          <w:kern w:val="0"/>
          <w:sz w:val="52"/>
          <w:szCs w:val="52"/>
        </w:rPr>
        <w:t>质量年度报告（20</w:t>
      </w:r>
      <w:r>
        <w:rPr>
          <w:rFonts w:hint="eastAsia" w:ascii="方正小标宋简体" w:hAnsi="方正小标宋简体" w:eastAsia="方正小标宋简体" w:cs="方正小标宋简体"/>
          <w:b w:val="0"/>
          <w:bCs/>
          <w:kern w:val="0"/>
          <w:sz w:val="52"/>
          <w:szCs w:val="52"/>
          <w:lang w:val="en-US" w:eastAsia="zh-CN"/>
        </w:rPr>
        <w:t>20</w:t>
      </w:r>
      <w:r>
        <w:rPr>
          <w:rFonts w:hint="eastAsia" w:ascii="方正小标宋简体" w:hAnsi="方正小标宋简体" w:eastAsia="方正小标宋简体" w:cs="方正小标宋简体"/>
          <w:b w:val="0"/>
          <w:bCs/>
          <w:kern w:val="0"/>
          <w:sz w:val="52"/>
          <w:szCs w:val="52"/>
        </w:rPr>
        <w:t>年）</w:t>
      </w:r>
    </w:p>
    <w:p>
      <w:pPr>
        <w:autoSpaceDE w:val="0"/>
        <w:autoSpaceDN w:val="0"/>
        <w:adjustRightInd w:val="0"/>
        <w:jc w:val="center"/>
        <w:rPr>
          <w:rFonts w:hint="eastAsia" w:ascii="黑体" w:hAnsi="黑体" w:eastAsia="黑体" w:cs="黑体"/>
          <w:kern w:val="0"/>
          <w:sz w:val="32"/>
          <w:szCs w:val="40"/>
        </w:rPr>
      </w:pPr>
    </w:p>
    <w:p>
      <w:pPr>
        <w:autoSpaceDE w:val="0"/>
        <w:autoSpaceDN w:val="0"/>
        <w:adjustRightInd w:val="0"/>
        <w:jc w:val="center"/>
        <w:rPr>
          <w:rFonts w:hint="eastAsia" w:ascii="黑体" w:hAnsi="黑体" w:eastAsia="黑体" w:cs="黑体"/>
          <w:kern w:val="0"/>
          <w:sz w:val="32"/>
          <w:szCs w:val="40"/>
        </w:rPr>
      </w:pPr>
    </w:p>
    <w:p>
      <w:pPr>
        <w:autoSpaceDE w:val="0"/>
        <w:autoSpaceDN w:val="0"/>
        <w:adjustRightInd w:val="0"/>
        <w:jc w:val="center"/>
        <w:rPr>
          <w:rFonts w:hint="eastAsia" w:ascii="黑体" w:hAnsi="黑体" w:eastAsia="黑体" w:cs="黑体"/>
          <w:kern w:val="0"/>
          <w:sz w:val="32"/>
          <w:szCs w:val="40"/>
        </w:rPr>
      </w:pPr>
    </w:p>
    <w:p>
      <w:pPr>
        <w:autoSpaceDE w:val="0"/>
        <w:autoSpaceDN w:val="0"/>
        <w:adjustRightInd w:val="0"/>
        <w:jc w:val="center"/>
        <w:rPr>
          <w:rFonts w:hint="eastAsia" w:ascii="黑体" w:hAnsi="黑体" w:eastAsia="黑体" w:cs="黑体"/>
          <w:kern w:val="0"/>
          <w:sz w:val="32"/>
          <w:szCs w:val="40"/>
        </w:rPr>
      </w:pPr>
    </w:p>
    <w:p>
      <w:pPr>
        <w:autoSpaceDE w:val="0"/>
        <w:autoSpaceDN w:val="0"/>
        <w:adjustRightInd w:val="0"/>
        <w:jc w:val="center"/>
        <w:rPr>
          <w:rFonts w:hint="eastAsia" w:ascii="黑体" w:hAnsi="黑体" w:eastAsia="黑体" w:cs="黑体"/>
          <w:kern w:val="0"/>
          <w:sz w:val="32"/>
          <w:szCs w:val="40"/>
        </w:rPr>
      </w:pPr>
    </w:p>
    <w:p>
      <w:pPr>
        <w:autoSpaceDE w:val="0"/>
        <w:autoSpaceDN w:val="0"/>
        <w:adjustRightInd w:val="0"/>
        <w:jc w:val="center"/>
        <w:rPr>
          <w:rFonts w:hint="eastAsia" w:ascii="黑体" w:hAnsi="黑体" w:eastAsia="黑体" w:cs="黑体"/>
          <w:kern w:val="0"/>
          <w:sz w:val="32"/>
          <w:szCs w:val="40"/>
        </w:rPr>
      </w:pPr>
    </w:p>
    <w:p>
      <w:pPr>
        <w:autoSpaceDE w:val="0"/>
        <w:autoSpaceDN w:val="0"/>
        <w:adjustRightInd w:val="0"/>
        <w:jc w:val="center"/>
        <w:rPr>
          <w:rFonts w:hint="eastAsia" w:ascii="黑体" w:hAnsi="黑体" w:eastAsia="黑体" w:cs="黑体"/>
          <w:kern w:val="0"/>
          <w:sz w:val="32"/>
          <w:szCs w:val="40"/>
        </w:rPr>
      </w:pPr>
    </w:p>
    <w:p>
      <w:pPr>
        <w:autoSpaceDE w:val="0"/>
        <w:autoSpaceDN w:val="0"/>
        <w:adjustRightInd w:val="0"/>
        <w:jc w:val="center"/>
        <w:rPr>
          <w:rFonts w:hint="eastAsia" w:ascii="黑体" w:hAnsi="黑体" w:eastAsia="黑体" w:cs="黑体"/>
          <w:kern w:val="0"/>
          <w:sz w:val="32"/>
          <w:szCs w:val="40"/>
        </w:rPr>
      </w:pPr>
    </w:p>
    <w:p>
      <w:pPr>
        <w:autoSpaceDE w:val="0"/>
        <w:autoSpaceDN w:val="0"/>
        <w:adjustRightInd w:val="0"/>
        <w:jc w:val="center"/>
        <w:rPr>
          <w:rFonts w:hint="eastAsia" w:ascii="黑体" w:hAnsi="黑体" w:eastAsia="黑体" w:cs="黑体"/>
          <w:kern w:val="0"/>
          <w:sz w:val="32"/>
          <w:szCs w:val="40"/>
        </w:rPr>
      </w:pPr>
    </w:p>
    <w:p>
      <w:pPr>
        <w:autoSpaceDE w:val="0"/>
        <w:autoSpaceDN w:val="0"/>
        <w:adjustRightInd w:val="0"/>
        <w:jc w:val="center"/>
        <w:rPr>
          <w:rFonts w:hint="eastAsia" w:ascii="黑体" w:hAnsi="黑体" w:eastAsia="黑体" w:cs="黑体"/>
          <w:kern w:val="0"/>
          <w:sz w:val="32"/>
          <w:szCs w:val="40"/>
        </w:rPr>
      </w:pPr>
    </w:p>
    <w:p>
      <w:pPr>
        <w:autoSpaceDE w:val="0"/>
        <w:autoSpaceDN w:val="0"/>
        <w:adjustRightInd w:val="0"/>
        <w:jc w:val="center"/>
        <w:rPr>
          <w:rFonts w:hint="eastAsia" w:ascii="黑体" w:hAnsi="黑体" w:eastAsia="黑体" w:cs="黑体"/>
          <w:kern w:val="0"/>
          <w:sz w:val="32"/>
          <w:szCs w:val="40"/>
        </w:rPr>
      </w:pPr>
    </w:p>
    <w:p>
      <w:pPr>
        <w:autoSpaceDE w:val="0"/>
        <w:autoSpaceDN w:val="0"/>
        <w:adjustRightInd w:val="0"/>
        <w:jc w:val="center"/>
        <w:rPr>
          <w:rFonts w:hint="eastAsia" w:ascii="黑体" w:hAnsi="黑体" w:eastAsia="黑体" w:cs="黑体"/>
          <w:kern w:val="0"/>
          <w:sz w:val="32"/>
          <w:szCs w:val="40"/>
        </w:rPr>
      </w:pPr>
    </w:p>
    <w:p>
      <w:pPr>
        <w:autoSpaceDE w:val="0"/>
        <w:autoSpaceDN w:val="0"/>
        <w:adjustRightInd w:val="0"/>
        <w:jc w:val="center"/>
        <w:rPr>
          <w:rFonts w:hint="eastAsia" w:ascii="楷体_GB2312" w:hAnsi="楷体_GB2312" w:eastAsia="楷体_GB2312" w:cs="楷体_GB2312"/>
          <w:kern w:val="0"/>
          <w:sz w:val="32"/>
          <w:szCs w:val="40"/>
        </w:rPr>
      </w:pPr>
      <w:r>
        <w:rPr>
          <w:rFonts w:hint="eastAsia" w:ascii="楷体_GB2312" w:hAnsi="楷体_GB2312" w:eastAsia="楷体_GB2312" w:cs="楷体_GB2312"/>
          <w:kern w:val="0"/>
          <w:sz w:val="32"/>
          <w:szCs w:val="40"/>
        </w:rPr>
        <w:t>杭</w:t>
      </w:r>
      <w:r>
        <w:rPr>
          <w:rFonts w:hint="eastAsia" w:ascii="楷体_GB2312" w:hAnsi="楷体_GB2312" w:eastAsia="楷体_GB2312" w:cs="楷体_GB2312"/>
          <w:kern w:val="0"/>
          <w:sz w:val="32"/>
          <w:szCs w:val="40"/>
          <w:lang w:val="en-US" w:eastAsia="zh-CN"/>
        </w:rPr>
        <w:t xml:space="preserve"> </w:t>
      </w:r>
      <w:r>
        <w:rPr>
          <w:rFonts w:hint="eastAsia" w:ascii="楷体_GB2312" w:hAnsi="楷体_GB2312" w:eastAsia="楷体_GB2312" w:cs="楷体_GB2312"/>
          <w:kern w:val="0"/>
          <w:sz w:val="32"/>
          <w:szCs w:val="40"/>
        </w:rPr>
        <w:t>州</w:t>
      </w:r>
      <w:r>
        <w:rPr>
          <w:rFonts w:hint="eastAsia" w:ascii="楷体_GB2312" w:hAnsi="楷体_GB2312" w:eastAsia="楷体_GB2312" w:cs="楷体_GB2312"/>
          <w:kern w:val="0"/>
          <w:sz w:val="32"/>
          <w:szCs w:val="40"/>
          <w:lang w:val="en-US" w:eastAsia="zh-CN"/>
        </w:rPr>
        <w:t xml:space="preserve"> </w:t>
      </w:r>
      <w:r>
        <w:rPr>
          <w:rFonts w:hint="eastAsia" w:ascii="楷体_GB2312" w:hAnsi="楷体_GB2312" w:eastAsia="楷体_GB2312" w:cs="楷体_GB2312"/>
          <w:kern w:val="0"/>
          <w:sz w:val="32"/>
          <w:szCs w:val="40"/>
        </w:rPr>
        <w:t>市</w:t>
      </w:r>
      <w:r>
        <w:rPr>
          <w:rFonts w:hint="eastAsia" w:ascii="楷体_GB2312" w:hAnsi="楷体_GB2312" w:eastAsia="楷体_GB2312" w:cs="楷体_GB2312"/>
          <w:kern w:val="0"/>
          <w:sz w:val="32"/>
          <w:szCs w:val="40"/>
          <w:lang w:val="en-US" w:eastAsia="zh-CN"/>
        </w:rPr>
        <w:t xml:space="preserve"> </w:t>
      </w:r>
      <w:r>
        <w:rPr>
          <w:rFonts w:hint="eastAsia" w:ascii="楷体_GB2312" w:hAnsi="楷体_GB2312" w:eastAsia="楷体_GB2312" w:cs="楷体_GB2312"/>
          <w:kern w:val="0"/>
          <w:sz w:val="32"/>
          <w:szCs w:val="40"/>
        </w:rPr>
        <w:t>教</w:t>
      </w:r>
      <w:r>
        <w:rPr>
          <w:rFonts w:hint="eastAsia" w:ascii="楷体_GB2312" w:hAnsi="楷体_GB2312" w:eastAsia="楷体_GB2312" w:cs="楷体_GB2312"/>
          <w:kern w:val="0"/>
          <w:sz w:val="32"/>
          <w:szCs w:val="40"/>
          <w:lang w:val="en-US" w:eastAsia="zh-CN"/>
        </w:rPr>
        <w:t xml:space="preserve"> </w:t>
      </w:r>
      <w:r>
        <w:rPr>
          <w:rFonts w:hint="eastAsia" w:ascii="楷体_GB2312" w:hAnsi="楷体_GB2312" w:eastAsia="楷体_GB2312" w:cs="楷体_GB2312"/>
          <w:kern w:val="0"/>
          <w:sz w:val="32"/>
          <w:szCs w:val="40"/>
        </w:rPr>
        <w:t>育</w:t>
      </w:r>
      <w:r>
        <w:rPr>
          <w:rFonts w:hint="eastAsia" w:ascii="楷体_GB2312" w:hAnsi="楷体_GB2312" w:eastAsia="楷体_GB2312" w:cs="楷体_GB2312"/>
          <w:kern w:val="0"/>
          <w:sz w:val="32"/>
          <w:szCs w:val="40"/>
          <w:lang w:val="en-US" w:eastAsia="zh-CN"/>
        </w:rPr>
        <w:t xml:space="preserve"> </w:t>
      </w:r>
      <w:r>
        <w:rPr>
          <w:rFonts w:hint="eastAsia" w:ascii="楷体_GB2312" w:hAnsi="楷体_GB2312" w:eastAsia="楷体_GB2312" w:cs="楷体_GB2312"/>
          <w:kern w:val="0"/>
          <w:sz w:val="32"/>
          <w:szCs w:val="40"/>
        </w:rPr>
        <w:t>局</w:t>
      </w:r>
    </w:p>
    <w:p>
      <w:pPr>
        <w:keepNext w:val="0"/>
        <w:keepLines w:val="0"/>
        <w:pageBreakBefore w:val="0"/>
        <w:widowControl w:val="0"/>
        <w:tabs>
          <w:tab w:val="right" w:leader="middleDot" w:pos="420"/>
        </w:tabs>
        <w:kinsoku/>
        <w:wordWrap/>
        <w:overflowPunct/>
        <w:topLinePunct w:val="0"/>
        <w:autoSpaceDE/>
        <w:autoSpaceDN/>
        <w:bidi w:val="0"/>
        <w:adjustRightInd/>
        <w:snapToGrid/>
        <w:ind w:firstLine="0"/>
        <w:jc w:val="center"/>
        <w:textAlignment w:val="auto"/>
        <w:rPr>
          <w:rFonts w:hint="eastAsia" w:ascii="楷体_GB2312" w:hAnsi="楷体_GB2312" w:eastAsia="楷体_GB2312" w:cs="楷体_GB2312"/>
          <w:kern w:val="0"/>
          <w:sz w:val="32"/>
          <w:szCs w:val="40"/>
        </w:rPr>
        <w:sectPr>
          <w:pgSz w:w="11906" w:h="16838"/>
          <w:pgMar w:top="1440" w:right="1800" w:bottom="1440" w:left="1800" w:header="851" w:footer="992" w:gutter="0"/>
          <w:pgNumType w:fmt="decimal" w:start="1"/>
          <w:cols w:space="720" w:num="1"/>
          <w:docGrid w:type="lines" w:linePitch="312" w:charSpace="0"/>
        </w:sectPr>
      </w:pPr>
      <w:r>
        <w:rPr>
          <w:rFonts w:hint="eastAsia" w:ascii="楷体_GB2312" w:hAnsi="楷体_GB2312" w:eastAsia="楷体_GB2312" w:cs="楷体_GB2312"/>
          <w:kern w:val="0"/>
          <w:sz w:val="32"/>
          <w:szCs w:val="40"/>
        </w:rPr>
        <w:t>20</w:t>
      </w:r>
      <w:r>
        <w:rPr>
          <w:rFonts w:hint="eastAsia" w:ascii="楷体_GB2312" w:hAnsi="楷体_GB2312" w:eastAsia="楷体_GB2312" w:cs="楷体_GB2312"/>
          <w:kern w:val="0"/>
          <w:sz w:val="32"/>
          <w:szCs w:val="40"/>
          <w:lang w:eastAsia="zh-CN"/>
        </w:rPr>
        <w:t>2</w:t>
      </w:r>
      <w:r>
        <w:rPr>
          <w:rFonts w:hint="eastAsia" w:ascii="楷体_GB2312" w:hAnsi="楷体_GB2312" w:eastAsia="楷体_GB2312" w:cs="楷体_GB2312"/>
          <w:kern w:val="0"/>
          <w:sz w:val="32"/>
          <w:szCs w:val="40"/>
          <w:lang w:val="en-US" w:eastAsia="zh-CN"/>
        </w:rPr>
        <w:t>1</w:t>
      </w:r>
      <w:r>
        <w:rPr>
          <w:rFonts w:hint="eastAsia" w:ascii="楷体_GB2312" w:hAnsi="楷体_GB2312" w:eastAsia="楷体_GB2312" w:cs="楷体_GB2312"/>
          <w:kern w:val="0"/>
          <w:sz w:val="32"/>
          <w:szCs w:val="40"/>
        </w:rPr>
        <w:t>年2月</w:t>
      </w:r>
    </w:p>
    <w:p>
      <w:pPr>
        <w:ind w:firstLine="0"/>
        <w:jc w:val="center"/>
        <w:rPr>
          <w:rFonts w:hint="eastAsia" w:ascii="黑体" w:hAnsi="黑体" w:eastAsia="黑体" w:cs="黑体"/>
          <w:kern w:val="0"/>
          <w:sz w:val="32"/>
          <w:szCs w:val="40"/>
          <w:lang w:eastAsia="zh-CN"/>
        </w:rPr>
      </w:pPr>
    </w:p>
    <w:p>
      <w:pPr>
        <w:pStyle w:val="38"/>
        <w:spacing w:before="0" w:beforeLines="0" w:afterLines="0" w:line="360" w:lineRule="auto"/>
        <w:jc w:val="center"/>
        <w:rPr>
          <w:rFonts w:hint="default" w:ascii="仿宋_GB2312" w:hAnsi="仿宋_GB2312" w:eastAsia="仿宋_GB2312" w:cs="仿宋_GB2312"/>
          <w:color w:val="auto"/>
          <w:kern w:val="2"/>
          <w:sz w:val="24"/>
          <w:szCs w:val="24"/>
          <w:lang w:val="en-US" w:eastAsia="zh-CN" w:bidi="ar-SA"/>
        </w:rPr>
      </w:pPr>
      <w:r>
        <w:rPr>
          <w:rFonts w:hint="eastAsia" w:ascii="方正小标宋简体" w:hAnsi="方正小标宋简体" w:eastAsia="方正小标宋简体" w:cs="方正小标宋简体"/>
          <w:b w:val="0"/>
          <w:color w:val="auto"/>
          <w:sz w:val="36"/>
          <w:szCs w:val="36"/>
          <w:lang w:val="zh-CN"/>
        </w:rPr>
        <w:t>目  录</w:t>
      </w:r>
      <w:bookmarkStart w:id="0" w:name="_Toc32840359"/>
      <w:bookmarkStart w:id="1" w:name="_Toc34559979"/>
    </w:p>
    <w:sdt>
      <w:sdtPr>
        <w:rPr>
          <w:rFonts w:ascii="宋体" w:hAnsi="宋体" w:eastAsia="宋体" w:cs="Times New Roman"/>
          <w:kern w:val="0"/>
          <w:sz w:val="21"/>
          <w:szCs w:val="20"/>
          <w:lang w:val="en-US" w:eastAsia="zh-CN" w:bidi="ar-SA"/>
        </w:rPr>
        <w:id w:val="987453776"/>
        <w:docPartObj>
          <w:docPartGallery w:val="Table of Contents"/>
          <w:docPartUnique/>
        </w:docPartObj>
      </w:sdtPr>
      <w:sdtEndPr>
        <w:rPr>
          <w:rFonts w:hint="default" w:ascii="宋体" w:hAnsi="宋体" w:eastAsia="宋体" w:cs="宋体"/>
          <w:kern w:val="0"/>
          <w:sz w:val="21"/>
          <w:szCs w:val="20"/>
          <w:lang w:val="en-US" w:eastAsia="zh-CN" w:bidi="ar-SA"/>
        </w:rPr>
      </w:sdtEndPr>
      <w:sdtContent>
        <w:p>
          <w:pPr>
            <w:spacing w:before="0" w:beforeLines="0" w:after="0" w:afterLines="0" w:line="240" w:lineRule="auto"/>
            <w:ind w:left="0" w:leftChars="0" w:right="0" w:rightChars="0" w:firstLine="0" w:firstLineChars="0"/>
            <w:jc w:val="center"/>
          </w:pPr>
          <w:bookmarkStart w:id="2" w:name="_Toc1720205061_WPSOffice_Type2"/>
        </w:p>
        <w:p>
          <w:pPr>
            <w:pStyle w:val="85"/>
            <w:keepNext w:val="0"/>
            <w:keepLines w:val="0"/>
            <w:pageBreakBefore w:val="0"/>
            <w:widowControl/>
            <w:tabs>
              <w:tab w:val="right" w:leader="dot" w:pos="8306"/>
            </w:tabs>
            <w:kinsoku/>
            <w:wordWrap/>
            <w:overflowPunct/>
            <w:topLinePunct w:val="0"/>
            <w:autoSpaceDE/>
            <w:autoSpaceDN/>
            <w:bidi w:val="0"/>
            <w:adjustRightInd/>
            <w:snapToGrid/>
            <w:spacing w:before="0" w:beforeLines="0"/>
            <w:textAlignment w:val="auto"/>
            <w:rPr>
              <w:rFonts w:hint="eastAsia" w:ascii="宋体" w:hAnsi="宋体" w:cs="宋体"/>
              <w:b w:val="0"/>
              <w:bCs w:val="0"/>
            </w:rPr>
          </w:pPr>
        </w:p>
        <w:p>
          <w:pPr>
            <w:pStyle w:val="85"/>
            <w:keepNext w:val="0"/>
            <w:keepLines w:val="0"/>
            <w:pageBreakBefore w:val="0"/>
            <w:widowControl/>
            <w:tabs>
              <w:tab w:val="right" w:leader="dot" w:pos="8306"/>
            </w:tabs>
            <w:kinsoku/>
            <w:wordWrap/>
            <w:overflowPunct/>
            <w:topLinePunct w:val="0"/>
            <w:autoSpaceDE/>
            <w:autoSpaceDN/>
            <w:bidi w:val="0"/>
            <w:adjustRightInd/>
            <w:snapToGrid/>
            <w:spacing w:before="0" w:beforeLines="0"/>
            <w:textAlignment w:val="auto"/>
            <w:rPr>
              <w:rFonts w:hint="eastAsia" w:ascii="宋体" w:hAnsi="宋体" w:cs="宋体"/>
              <w:b w:val="0"/>
              <w:bCs w:val="0"/>
            </w:rPr>
          </w:pPr>
          <w:r>
            <w:rPr>
              <w:rFonts w:hint="eastAsia" w:ascii="宋体" w:hAnsi="宋体" w:cs="宋体"/>
              <w:b w:val="0"/>
              <w:bCs w:val="0"/>
            </w:rPr>
            <w:fldChar w:fldCharType="begin"/>
          </w:r>
          <w:r>
            <w:rPr>
              <w:rFonts w:hint="eastAsia" w:ascii="宋体" w:hAnsi="宋体" w:cs="宋体"/>
              <w:b w:val="0"/>
              <w:bCs w:val="0"/>
            </w:rPr>
            <w:instrText xml:space="preserve"> HYPERLINK \l _Toc1790769541_WPSOffice_Level1 </w:instrText>
          </w:r>
          <w:r>
            <w:rPr>
              <w:rFonts w:hint="eastAsia" w:ascii="宋体" w:hAnsi="宋体" w:cs="宋体"/>
              <w:b w:val="0"/>
              <w:bCs w:val="0"/>
            </w:rPr>
            <w:fldChar w:fldCharType="separate"/>
          </w:r>
          <w:sdt>
            <w:sdtPr>
              <w:rPr>
                <w:rFonts w:hint="eastAsia" w:ascii="宋体" w:hAnsi="宋体" w:eastAsia="宋体" w:cs="宋体"/>
                <w:b w:val="0"/>
                <w:bCs w:val="0"/>
                <w:kern w:val="0"/>
                <w:sz w:val="24"/>
                <w:szCs w:val="24"/>
                <w:lang w:val="en-US" w:eastAsia="zh-CN" w:bidi="ar-SA"/>
              </w:rPr>
              <w:id w:val="987453776"/>
              <w:placeholder>
                <w:docPart w:val="{700a7988-84fb-4eed-8070-dc06513d744c}"/>
              </w:placeholder>
            </w:sdtPr>
            <w:sdtEndPr>
              <w:rPr>
                <w:rFonts w:hint="eastAsia" w:ascii="宋体" w:hAnsi="宋体" w:eastAsia="宋体" w:cs="宋体"/>
                <w:b w:val="0"/>
                <w:bCs w:val="0"/>
                <w:kern w:val="0"/>
                <w:sz w:val="24"/>
                <w:szCs w:val="24"/>
                <w:lang w:val="en-US" w:eastAsia="zh-CN" w:bidi="ar-SA"/>
              </w:rPr>
            </w:sdtEndPr>
            <w:sdtContent>
              <w:r>
                <w:rPr>
                  <w:rFonts w:hint="eastAsia" w:ascii="黑体" w:hAnsi="黑体" w:eastAsia="黑体" w:cs="黑体"/>
                  <w:b w:val="0"/>
                  <w:bCs w:val="0"/>
                  <w:sz w:val="24"/>
                  <w:szCs w:val="24"/>
                </w:rPr>
                <w:t>1.基本情况</w:t>
              </w:r>
            </w:sdtContent>
          </w:sdt>
          <w:r>
            <w:rPr>
              <w:rFonts w:hint="eastAsia" w:ascii="宋体" w:hAnsi="宋体" w:cs="宋体"/>
              <w:b w:val="0"/>
              <w:bCs w:val="0"/>
            </w:rPr>
            <w:fldChar w:fldCharType="end"/>
          </w:r>
        </w:p>
        <w:p>
          <w:pPr>
            <w:pStyle w:val="86"/>
            <w:keepNext w:val="0"/>
            <w:keepLines w:val="0"/>
            <w:pageBreakBefore w:val="0"/>
            <w:widowControl/>
            <w:tabs>
              <w:tab w:val="right" w:leader="dot" w:pos="8306"/>
            </w:tabs>
            <w:kinsoku/>
            <w:wordWrap/>
            <w:overflowPunct/>
            <w:topLinePunct w:val="0"/>
            <w:autoSpaceDE/>
            <w:autoSpaceDN/>
            <w:bidi w:val="0"/>
            <w:adjustRightInd/>
            <w:snapToGrid/>
            <w:spacing w:beforeLines="0" w:line="44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_Toc1720205061_WPSOffice_Level2 </w:instrText>
          </w:r>
          <w:r>
            <w:rPr>
              <w:rFonts w:hint="eastAsia" w:ascii="宋体" w:hAnsi="宋体" w:eastAsia="宋体" w:cs="宋体"/>
              <w:b w:val="0"/>
              <w:bCs w:val="0"/>
              <w:sz w:val="21"/>
              <w:szCs w:val="21"/>
            </w:rPr>
            <w:fldChar w:fldCharType="separate"/>
          </w:r>
          <w:sdt>
            <w:sdtPr>
              <w:rPr>
                <w:rFonts w:hint="eastAsia" w:ascii="宋体" w:hAnsi="宋体" w:eastAsia="宋体" w:cs="宋体"/>
                <w:b w:val="0"/>
                <w:bCs w:val="0"/>
                <w:kern w:val="0"/>
                <w:sz w:val="21"/>
                <w:szCs w:val="21"/>
                <w:lang w:val="en-US" w:eastAsia="zh-CN" w:bidi="ar-SA"/>
              </w:rPr>
              <w:id w:val="987453776"/>
              <w:placeholder>
                <w:docPart w:val="{aba17d0f-4604-4d78-abf7-1f77e8c809ee}"/>
              </w:placeholder>
            </w:sdtPr>
            <w:sdtEndPr>
              <w:rPr>
                <w:rFonts w:hint="eastAsia" w:ascii="宋体" w:hAnsi="宋体" w:eastAsia="宋体" w:cs="宋体"/>
                <w:b w:val="0"/>
                <w:bCs w:val="0"/>
                <w:kern w:val="0"/>
                <w:sz w:val="21"/>
                <w:szCs w:val="21"/>
                <w:lang w:val="en-US" w:eastAsia="zh-CN" w:bidi="ar-SA"/>
              </w:rPr>
            </w:sdtEndPr>
            <w:sdtContent>
              <w:r>
                <w:rPr>
                  <w:rFonts w:hint="eastAsia" w:ascii="宋体" w:hAnsi="宋体" w:eastAsia="宋体" w:cs="宋体"/>
                  <w:b w:val="0"/>
                  <w:bCs w:val="0"/>
                  <w:sz w:val="21"/>
                  <w:szCs w:val="21"/>
                </w:rPr>
                <w:t>1.1</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规模结构</w:t>
              </w:r>
            </w:sdtContent>
          </w:sdt>
          <w:r>
            <w:rPr>
              <w:rFonts w:hint="eastAsia" w:ascii="宋体" w:hAnsi="宋体" w:eastAsia="宋体" w:cs="宋体"/>
              <w:b w:val="0"/>
              <w:bCs w:val="0"/>
              <w:sz w:val="21"/>
              <w:szCs w:val="21"/>
            </w:rPr>
            <w:tab/>
          </w:r>
          <w:bookmarkStart w:id="3" w:name="_Toc1720205061_WPSOffice_Level2Page"/>
          <w:r>
            <w:rPr>
              <w:rFonts w:hint="eastAsia" w:ascii="宋体" w:hAnsi="宋体" w:eastAsia="宋体" w:cs="宋体"/>
              <w:b w:val="0"/>
              <w:bCs w:val="0"/>
              <w:sz w:val="24"/>
              <w:szCs w:val="24"/>
            </w:rPr>
            <w:t>1</w:t>
          </w:r>
          <w:bookmarkEnd w:id="3"/>
          <w:r>
            <w:rPr>
              <w:rFonts w:hint="eastAsia" w:ascii="宋体" w:hAnsi="宋体" w:eastAsia="宋体" w:cs="宋体"/>
              <w:b w:val="0"/>
              <w:bCs w:val="0"/>
              <w:sz w:val="21"/>
              <w:szCs w:val="21"/>
            </w:rPr>
            <w:fldChar w:fldCharType="end"/>
          </w:r>
        </w:p>
        <w:p>
          <w:pPr>
            <w:pStyle w:val="86"/>
            <w:keepNext w:val="0"/>
            <w:keepLines w:val="0"/>
            <w:pageBreakBefore w:val="0"/>
            <w:widowControl/>
            <w:tabs>
              <w:tab w:val="right" w:leader="dot" w:pos="8306"/>
            </w:tabs>
            <w:kinsoku/>
            <w:wordWrap/>
            <w:overflowPunct/>
            <w:topLinePunct w:val="0"/>
            <w:autoSpaceDE/>
            <w:autoSpaceDN/>
            <w:bidi w:val="0"/>
            <w:adjustRightInd/>
            <w:snapToGrid/>
            <w:spacing w:beforeLines="0" w:line="44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_Toc1309110217_WPSOffice_Level2 </w:instrText>
          </w:r>
          <w:r>
            <w:rPr>
              <w:rFonts w:hint="eastAsia" w:ascii="宋体" w:hAnsi="宋体" w:eastAsia="宋体" w:cs="宋体"/>
              <w:b w:val="0"/>
              <w:bCs w:val="0"/>
              <w:sz w:val="21"/>
              <w:szCs w:val="21"/>
            </w:rPr>
            <w:fldChar w:fldCharType="separate"/>
          </w:r>
          <w:sdt>
            <w:sdtPr>
              <w:rPr>
                <w:rFonts w:hint="eastAsia" w:ascii="宋体" w:hAnsi="宋体" w:eastAsia="宋体" w:cs="宋体"/>
                <w:b w:val="0"/>
                <w:bCs w:val="0"/>
                <w:kern w:val="0"/>
                <w:sz w:val="21"/>
                <w:szCs w:val="21"/>
                <w:lang w:val="en-US" w:eastAsia="zh-CN" w:bidi="ar-SA"/>
              </w:rPr>
              <w:id w:val="987453776"/>
              <w:placeholder>
                <w:docPart w:val="{c2984d17-e9b4-4570-ab6c-ff9b87d3ad71}"/>
              </w:placeholder>
            </w:sdtPr>
            <w:sdtEndPr>
              <w:rPr>
                <w:rFonts w:hint="eastAsia" w:ascii="宋体" w:hAnsi="宋体" w:eastAsia="宋体" w:cs="宋体"/>
                <w:b w:val="0"/>
                <w:bCs w:val="0"/>
                <w:kern w:val="0"/>
                <w:sz w:val="21"/>
                <w:szCs w:val="21"/>
                <w:lang w:val="en-US" w:eastAsia="zh-CN" w:bidi="ar-SA"/>
              </w:rPr>
            </w:sdtEndPr>
            <w:sdtContent>
              <w:r>
                <w:rPr>
                  <w:rFonts w:hint="eastAsia" w:ascii="宋体" w:hAnsi="宋体" w:eastAsia="宋体" w:cs="宋体"/>
                  <w:b w:val="0"/>
                  <w:bCs w:val="0"/>
                  <w:sz w:val="21"/>
                  <w:szCs w:val="21"/>
                </w:rPr>
                <w:t>1.2</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设施设备</w:t>
              </w:r>
            </w:sdtContent>
          </w:sdt>
          <w:r>
            <w:rPr>
              <w:rFonts w:hint="eastAsia" w:ascii="宋体" w:hAnsi="宋体" w:eastAsia="宋体" w:cs="宋体"/>
              <w:b w:val="0"/>
              <w:bCs w:val="0"/>
              <w:sz w:val="21"/>
              <w:szCs w:val="21"/>
            </w:rPr>
            <w:tab/>
          </w:r>
          <w:bookmarkStart w:id="4" w:name="_Toc1309110217_WPSOffice_Level2Page"/>
          <w:r>
            <w:rPr>
              <w:rFonts w:hint="eastAsia" w:ascii="宋体" w:hAnsi="宋体" w:eastAsia="宋体" w:cs="宋体"/>
              <w:b w:val="0"/>
              <w:bCs w:val="0"/>
              <w:sz w:val="24"/>
              <w:szCs w:val="24"/>
            </w:rPr>
            <w:t>2</w:t>
          </w:r>
          <w:bookmarkEnd w:id="4"/>
          <w:r>
            <w:rPr>
              <w:rFonts w:hint="eastAsia" w:ascii="宋体" w:hAnsi="宋体" w:eastAsia="宋体" w:cs="宋体"/>
              <w:b w:val="0"/>
              <w:bCs w:val="0"/>
              <w:sz w:val="21"/>
              <w:szCs w:val="21"/>
            </w:rPr>
            <w:fldChar w:fldCharType="end"/>
          </w:r>
        </w:p>
        <w:p>
          <w:pPr>
            <w:pStyle w:val="86"/>
            <w:keepNext w:val="0"/>
            <w:keepLines w:val="0"/>
            <w:pageBreakBefore w:val="0"/>
            <w:widowControl/>
            <w:tabs>
              <w:tab w:val="right" w:leader="dot" w:pos="8306"/>
            </w:tabs>
            <w:kinsoku/>
            <w:wordWrap/>
            <w:overflowPunct/>
            <w:topLinePunct w:val="0"/>
            <w:autoSpaceDE/>
            <w:autoSpaceDN/>
            <w:bidi w:val="0"/>
            <w:adjustRightInd/>
            <w:snapToGrid/>
            <w:spacing w:beforeLines="0" w:line="44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_Toc1136307964_WPSOffice_Level2 </w:instrText>
          </w:r>
          <w:r>
            <w:rPr>
              <w:rFonts w:hint="eastAsia" w:ascii="宋体" w:hAnsi="宋体" w:eastAsia="宋体" w:cs="宋体"/>
              <w:b w:val="0"/>
              <w:bCs w:val="0"/>
              <w:sz w:val="21"/>
              <w:szCs w:val="21"/>
            </w:rPr>
            <w:fldChar w:fldCharType="separate"/>
          </w:r>
          <w:sdt>
            <w:sdtPr>
              <w:rPr>
                <w:rFonts w:hint="eastAsia" w:ascii="宋体" w:hAnsi="宋体" w:eastAsia="宋体" w:cs="宋体"/>
                <w:b w:val="0"/>
                <w:bCs w:val="0"/>
                <w:kern w:val="0"/>
                <w:sz w:val="21"/>
                <w:szCs w:val="21"/>
                <w:lang w:val="en-US" w:eastAsia="zh-CN" w:bidi="ar-SA"/>
              </w:rPr>
              <w:id w:val="987453776"/>
              <w:placeholder>
                <w:docPart w:val="{ab2a3586-a1bd-4303-bc40-55cfbd3f7eaa}"/>
              </w:placeholder>
            </w:sdtPr>
            <w:sdtEndPr>
              <w:rPr>
                <w:rFonts w:hint="eastAsia" w:ascii="宋体" w:hAnsi="宋体" w:eastAsia="宋体" w:cs="宋体"/>
                <w:b w:val="0"/>
                <w:bCs w:val="0"/>
                <w:kern w:val="0"/>
                <w:sz w:val="21"/>
                <w:szCs w:val="21"/>
                <w:lang w:val="en-US" w:eastAsia="zh-CN" w:bidi="ar-SA"/>
              </w:rPr>
            </w:sdtEndPr>
            <w:sdtContent>
              <w:r>
                <w:rPr>
                  <w:rFonts w:hint="eastAsia" w:ascii="宋体" w:hAnsi="宋体" w:eastAsia="宋体" w:cs="宋体"/>
                  <w:b w:val="0"/>
                  <w:bCs w:val="0"/>
                  <w:sz w:val="21"/>
                  <w:szCs w:val="21"/>
                </w:rPr>
                <w:t>1.3</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教师队伍</w:t>
              </w:r>
            </w:sdtContent>
          </w:sdt>
          <w:r>
            <w:rPr>
              <w:rFonts w:hint="eastAsia" w:ascii="宋体" w:hAnsi="宋体" w:eastAsia="宋体" w:cs="宋体"/>
              <w:b w:val="0"/>
              <w:bCs w:val="0"/>
              <w:sz w:val="21"/>
              <w:szCs w:val="21"/>
            </w:rPr>
            <w:tab/>
          </w:r>
          <w:bookmarkStart w:id="5" w:name="_Toc1136307964_WPSOffice_Level2Page"/>
          <w:r>
            <w:rPr>
              <w:rFonts w:hint="eastAsia" w:ascii="宋体" w:hAnsi="宋体" w:eastAsia="宋体" w:cs="宋体"/>
              <w:b w:val="0"/>
              <w:bCs w:val="0"/>
              <w:sz w:val="24"/>
              <w:szCs w:val="24"/>
            </w:rPr>
            <w:t>3</w:t>
          </w:r>
          <w:bookmarkEnd w:id="5"/>
          <w:r>
            <w:rPr>
              <w:rFonts w:hint="eastAsia" w:ascii="宋体" w:hAnsi="宋体" w:eastAsia="宋体" w:cs="宋体"/>
              <w:b w:val="0"/>
              <w:bCs w:val="0"/>
              <w:sz w:val="21"/>
              <w:szCs w:val="21"/>
            </w:rPr>
            <w:fldChar w:fldCharType="end"/>
          </w:r>
        </w:p>
        <w:p>
          <w:pPr>
            <w:pStyle w:val="85"/>
            <w:keepNext w:val="0"/>
            <w:keepLines w:val="0"/>
            <w:pageBreakBefore w:val="0"/>
            <w:widowControl/>
            <w:tabs>
              <w:tab w:val="right" w:leader="dot" w:pos="8306"/>
            </w:tabs>
            <w:kinsoku/>
            <w:wordWrap/>
            <w:overflowPunct/>
            <w:topLinePunct w:val="0"/>
            <w:autoSpaceDE/>
            <w:autoSpaceDN/>
            <w:bidi w:val="0"/>
            <w:adjustRightInd/>
            <w:snapToGrid/>
            <w:spacing w:before="63" w:beforeLines="2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_Toc1720205061_WPSOffice_Level1 </w:instrText>
          </w:r>
          <w:r>
            <w:rPr>
              <w:rFonts w:hint="eastAsia" w:ascii="宋体" w:hAnsi="宋体" w:eastAsia="宋体" w:cs="宋体"/>
              <w:b w:val="0"/>
              <w:bCs w:val="0"/>
              <w:sz w:val="21"/>
              <w:szCs w:val="21"/>
            </w:rPr>
            <w:fldChar w:fldCharType="separate"/>
          </w:r>
          <w:sdt>
            <w:sdtPr>
              <w:rPr>
                <w:rFonts w:hint="eastAsia" w:ascii="黑体" w:hAnsi="黑体" w:eastAsia="黑体" w:cs="黑体"/>
                <w:b w:val="0"/>
                <w:bCs w:val="0"/>
                <w:kern w:val="0"/>
                <w:sz w:val="24"/>
                <w:szCs w:val="24"/>
                <w:lang w:val="en-US" w:eastAsia="zh-CN" w:bidi="ar-SA"/>
              </w:rPr>
              <w:id w:val="987453776"/>
              <w:placeholder>
                <w:docPart w:val="{0cbb55fa-7698-4565-9b7f-8b77706b4595}"/>
              </w:placeholder>
            </w:sdtPr>
            <w:sdtEndPr>
              <w:rPr>
                <w:rFonts w:hint="eastAsia" w:ascii="宋体" w:hAnsi="宋体" w:eastAsia="宋体" w:cs="宋体"/>
                <w:b w:val="0"/>
                <w:bCs w:val="0"/>
                <w:kern w:val="0"/>
                <w:sz w:val="24"/>
                <w:szCs w:val="24"/>
                <w:lang w:val="en-US" w:eastAsia="zh-CN" w:bidi="ar-SA"/>
              </w:rPr>
            </w:sdtEndPr>
            <w:sdtContent>
              <w:r>
                <w:rPr>
                  <w:rFonts w:hint="eastAsia" w:ascii="黑体" w:hAnsi="黑体" w:eastAsia="黑体" w:cs="黑体"/>
                  <w:b w:val="0"/>
                  <w:bCs w:val="0"/>
                  <w:sz w:val="24"/>
                  <w:szCs w:val="24"/>
                </w:rPr>
                <w:t>2.学生发展</w:t>
              </w:r>
            </w:sdtContent>
          </w:sdt>
          <w:r>
            <w:rPr>
              <w:rFonts w:hint="eastAsia" w:ascii="宋体" w:hAnsi="宋体" w:eastAsia="宋体" w:cs="宋体"/>
              <w:b w:val="0"/>
              <w:bCs w:val="0"/>
              <w:sz w:val="21"/>
              <w:szCs w:val="21"/>
            </w:rPr>
            <w:fldChar w:fldCharType="end"/>
          </w:r>
        </w:p>
        <w:p>
          <w:pPr>
            <w:pStyle w:val="86"/>
            <w:keepNext w:val="0"/>
            <w:keepLines w:val="0"/>
            <w:pageBreakBefore w:val="0"/>
            <w:widowControl/>
            <w:tabs>
              <w:tab w:val="right" w:leader="dot" w:pos="8306"/>
            </w:tabs>
            <w:kinsoku/>
            <w:wordWrap/>
            <w:overflowPunct/>
            <w:topLinePunct w:val="0"/>
            <w:autoSpaceDE/>
            <w:autoSpaceDN/>
            <w:bidi w:val="0"/>
            <w:adjustRightInd/>
            <w:snapToGrid/>
            <w:spacing w:beforeLines="0" w:line="44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_Toc942022431_WPSOffice_Level2 </w:instrText>
          </w:r>
          <w:r>
            <w:rPr>
              <w:rFonts w:hint="eastAsia" w:ascii="宋体" w:hAnsi="宋体" w:eastAsia="宋体" w:cs="宋体"/>
              <w:b w:val="0"/>
              <w:bCs w:val="0"/>
              <w:sz w:val="21"/>
              <w:szCs w:val="21"/>
            </w:rPr>
            <w:fldChar w:fldCharType="separate"/>
          </w:r>
          <w:sdt>
            <w:sdtPr>
              <w:rPr>
                <w:rFonts w:hint="eastAsia" w:ascii="宋体" w:hAnsi="宋体" w:eastAsia="宋体" w:cs="宋体"/>
                <w:b w:val="0"/>
                <w:bCs w:val="0"/>
                <w:kern w:val="0"/>
                <w:sz w:val="21"/>
                <w:szCs w:val="21"/>
                <w:lang w:val="en-US" w:eastAsia="zh-CN" w:bidi="ar-SA"/>
              </w:rPr>
              <w:id w:val="987453776"/>
              <w:placeholder>
                <w:docPart w:val="{8d3a2937-2b67-4ca6-8f43-d3c8754a1c9f}"/>
              </w:placeholder>
            </w:sdtPr>
            <w:sdtEndPr>
              <w:rPr>
                <w:rFonts w:hint="eastAsia" w:ascii="宋体" w:hAnsi="宋体" w:eastAsia="宋体" w:cs="宋体"/>
                <w:b w:val="0"/>
                <w:bCs w:val="0"/>
                <w:kern w:val="0"/>
                <w:sz w:val="21"/>
                <w:szCs w:val="21"/>
                <w:lang w:val="en-US" w:eastAsia="zh-CN" w:bidi="ar-SA"/>
              </w:rPr>
            </w:sdtEndPr>
            <w:sdtContent>
              <w:r>
                <w:rPr>
                  <w:rFonts w:hint="eastAsia" w:ascii="宋体" w:hAnsi="宋体" w:eastAsia="宋体" w:cs="宋体"/>
                  <w:b w:val="0"/>
                  <w:bCs w:val="0"/>
                  <w:sz w:val="21"/>
                  <w:szCs w:val="21"/>
                </w:rPr>
                <w:t>2.1</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学生素质</w:t>
              </w:r>
            </w:sdtContent>
          </w:sdt>
          <w:r>
            <w:rPr>
              <w:rFonts w:hint="eastAsia" w:ascii="宋体" w:hAnsi="宋体" w:eastAsia="宋体" w:cs="宋体"/>
              <w:b w:val="0"/>
              <w:bCs w:val="0"/>
              <w:sz w:val="21"/>
              <w:szCs w:val="21"/>
            </w:rPr>
            <w:tab/>
          </w:r>
          <w:bookmarkStart w:id="6" w:name="_Toc942022431_WPSOffice_Level2Page"/>
          <w:r>
            <w:rPr>
              <w:rFonts w:hint="eastAsia" w:ascii="宋体" w:hAnsi="宋体" w:eastAsia="宋体" w:cs="宋体"/>
              <w:b w:val="0"/>
              <w:bCs w:val="0"/>
              <w:sz w:val="24"/>
              <w:szCs w:val="24"/>
            </w:rPr>
            <w:t>5</w:t>
          </w:r>
          <w:bookmarkEnd w:id="6"/>
          <w:r>
            <w:rPr>
              <w:rFonts w:hint="eastAsia" w:ascii="宋体" w:hAnsi="宋体" w:eastAsia="宋体" w:cs="宋体"/>
              <w:b w:val="0"/>
              <w:bCs w:val="0"/>
              <w:sz w:val="21"/>
              <w:szCs w:val="21"/>
            </w:rPr>
            <w:fldChar w:fldCharType="end"/>
          </w:r>
        </w:p>
        <w:p>
          <w:pPr>
            <w:pStyle w:val="86"/>
            <w:keepNext w:val="0"/>
            <w:keepLines w:val="0"/>
            <w:pageBreakBefore w:val="0"/>
            <w:widowControl/>
            <w:tabs>
              <w:tab w:val="right" w:leader="dot" w:pos="8306"/>
            </w:tabs>
            <w:kinsoku/>
            <w:wordWrap/>
            <w:overflowPunct/>
            <w:topLinePunct w:val="0"/>
            <w:autoSpaceDE/>
            <w:autoSpaceDN/>
            <w:bidi w:val="0"/>
            <w:adjustRightInd/>
            <w:snapToGrid/>
            <w:spacing w:beforeLines="0" w:line="44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_Toc2028943518_WPSOffice_Level2 </w:instrText>
          </w:r>
          <w:r>
            <w:rPr>
              <w:rFonts w:hint="eastAsia" w:ascii="宋体" w:hAnsi="宋体" w:eastAsia="宋体" w:cs="宋体"/>
              <w:b w:val="0"/>
              <w:bCs w:val="0"/>
              <w:sz w:val="21"/>
              <w:szCs w:val="21"/>
            </w:rPr>
            <w:fldChar w:fldCharType="separate"/>
          </w:r>
          <w:sdt>
            <w:sdtPr>
              <w:rPr>
                <w:rFonts w:hint="eastAsia" w:ascii="宋体" w:hAnsi="宋体" w:eastAsia="宋体" w:cs="宋体"/>
                <w:b w:val="0"/>
                <w:bCs w:val="0"/>
                <w:kern w:val="0"/>
                <w:sz w:val="21"/>
                <w:szCs w:val="21"/>
                <w:lang w:val="en-US" w:eastAsia="zh-CN" w:bidi="ar-SA"/>
              </w:rPr>
              <w:id w:val="987453776"/>
              <w:placeholder>
                <w:docPart w:val="{928ce5d4-7daa-46e4-87cd-c32155b42c74}"/>
              </w:placeholder>
            </w:sdtPr>
            <w:sdtEndPr>
              <w:rPr>
                <w:rFonts w:hint="eastAsia" w:ascii="宋体" w:hAnsi="宋体" w:eastAsia="宋体" w:cs="宋体"/>
                <w:b w:val="0"/>
                <w:bCs w:val="0"/>
                <w:kern w:val="0"/>
                <w:sz w:val="21"/>
                <w:szCs w:val="21"/>
                <w:lang w:val="en-US" w:eastAsia="zh-CN" w:bidi="ar-SA"/>
              </w:rPr>
            </w:sdtEndPr>
            <w:sdtContent>
              <w:r>
                <w:rPr>
                  <w:rFonts w:hint="eastAsia" w:ascii="宋体" w:hAnsi="宋体" w:eastAsia="宋体" w:cs="宋体"/>
                  <w:b w:val="0"/>
                  <w:bCs w:val="0"/>
                  <w:sz w:val="21"/>
                  <w:szCs w:val="21"/>
                </w:rPr>
                <w:t>2.2</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出口质量</w:t>
              </w:r>
            </w:sdtContent>
          </w:sdt>
          <w:r>
            <w:rPr>
              <w:rFonts w:hint="eastAsia" w:ascii="宋体" w:hAnsi="宋体" w:eastAsia="宋体" w:cs="宋体"/>
              <w:b w:val="0"/>
              <w:bCs w:val="0"/>
              <w:sz w:val="21"/>
              <w:szCs w:val="21"/>
            </w:rPr>
            <w:tab/>
          </w:r>
          <w:bookmarkStart w:id="7" w:name="_Toc2028943518_WPSOffice_Level2Page"/>
          <w:r>
            <w:rPr>
              <w:rFonts w:hint="eastAsia" w:ascii="宋体" w:hAnsi="宋体" w:eastAsia="宋体" w:cs="宋体"/>
              <w:b w:val="0"/>
              <w:bCs w:val="0"/>
              <w:sz w:val="24"/>
              <w:szCs w:val="24"/>
            </w:rPr>
            <w:t>8</w:t>
          </w:r>
          <w:bookmarkEnd w:id="7"/>
          <w:r>
            <w:rPr>
              <w:rFonts w:hint="eastAsia" w:ascii="宋体" w:hAnsi="宋体" w:eastAsia="宋体" w:cs="宋体"/>
              <w:b w:val="0"/>
              <w:bCs w:val="0"/>
              <w:sz w:val="21"/>
              <w:szCs w:val="21"/>
            </w:rPr>
            <w:fldChar w:fldCharType="end"/>
          </w:r>
        </w:p>
        <w:p>
          <w:pPr>
            <w:pStyle w:val="85"/>
            <w:keepNext w:val="0"/>
            <w:keepLines w:val="0"/>
            <w:pageBreakBefore w:val="0"/>
            <w:widowControl/>
            <w:tabs>
              <w:tab w:val="right" w:leader="dot" w:pos="8306"/>
            </w:tabs>
            <w:kinsoku/>
            <w:wordWrap/>
            <w:overflowPunct/>
            <w:topLinePunct w:val="0"/>
            <w:autoSpaceDE/>
            <w:autoSpaceDN/>
            <w:bidi w:val="0"/>
            <w:adjustRightInd/>
            <w:snapToGrid/>
            <w:spacing w:before="63" w:beforeLines="20" w:line="240" w:lineRule="auto"/>
            <w:textAlignment w:val="auto"/>
            <w:rPr>
              <w:rFonts w:hint="eastAsia" w:ascii="宋体" w:hAnsi="宋体" w:eastAsia="宋体" w:cs="宋体"/>
              <w:b w:val="0"/>
              <w:bCs w:val="0"/>
              <w:sz w:val="21"/>
              <w:szCs w:val="21"/>
              <w:lang w:eastAsia="zh-CN"/>
            </w:rPr>
          </w:pPr>
          <w:r>
            <w:rPr>
              <w:rFonts w:hint="eastAsia" w:ascii="黑体" w:hAnsi="黑体" w:eastAsia="黑体" w:cs="黑体"/>
              <w:b w:val="0"/>
              <w:bCs w:val="0"/>
              <w:sz w:val="24"/>
              <w:szCs w:val="24"/>
            </w:rPr>
            <w:fldChar w:fldCharType="begin"/>
          </w:r>
          <w:r>
            <w:rPr>
              <w:rFonts w:hint="eastAsia" w:ascii="黑体" w:hAnsi="黑体" w:eastAsia="黑体" w:cs="黑体"/>
              <w:b w:val="0"/>
              <w:bCs w:val="0"/>
              <w:sz w:val="24"/>
              <w:szCs w:val="24"/>
            </w:rPr>
            <w:instrText xml:space="preserve"> HYPERLINK \l _Toc1309110217_WPSOffice_Level1 </w:instrText>
          </w:r>
          <w:r>
            <w:rPr>
              <w:rFonts w:hint="eastAsia" w:ascii="黑体" w:hAnsi="黑体" w:eastAsia="黑体" w:cs="黑体"/>
              <w:b w:val="0"/>
              <w:bCs w:val="0"/>
              <w:sz w:val="24"/>
              <w:szCs w:val="24"/>
            </w:rPr>
            <w:fldChar w:fldCharType="separate"/>
          </w:r>
          <w:sdt>
            <w:sdtPr>
              <w:rPr>
                <w:rFonts w:hint="eastAsia" w:ascii="黑体" w:hAnsi="黑体" w:eastAsia="黑体" w:cs="黑体"/>
                <w:b w:val="0"/>
                <w:bCs w:val="0"/>
                <w:kern w:val="0"/>
                <w:sz w:val="24"/>
                <w:szCs w:val="24"/>
                <w:lang w:val="en-US" w:eastAsia="zh-CN" w:bidi="ar-SA"/>
              </w:rPr>
              <w:id w:val="987453776"/>
              <w:placeholder>
                <w:docPart w:val="{026b74f3-78f6-41f5-9ecd-deca7a8360bf}"/>
              </w:placeholder>
            </w:sdtPr>
            <w:sdtEndPr>
              <w:rPr>
                <w:rFonts w:hint="eastAsia" w:ascii="黑体" w:hAnsi="黑体" w:eastAsia="黑体" w:cs="黑体"/>
                <w:b w:val="0"/>
                <w:bCs w:val="0"/>
                <w:kern w:val="0"/>
                <w:sz w:val="24"/>
                <w:szCs w:val="24"/>
                <w:lang w:val="en-US" w:eastAsia="zh-CN" w:bidi="ar-SA"/>
              </w:rPr>
            </w:sdtEndPr>
            <w:sdtContent>
              <w:r>
                <w:rPr>
                  <w:rFonts w:hint="eastAsia" w:ascii="黑体" w:hAnsi="黑体" w:eastAsia="黑体" w:cs="黑体"/>
                  <w:b w:val="0"/>
                  <w:bCs w:val="0"/>
                  <w:sz w:val="24"/>
                  <w:szCs w:val="24"/>
                </w:rPr>
                <w:t>3.质量保障</w:t>
              </w:r>
            </w:sdtContent>
          </w:sdt>
          <w:r>
            <w:rPr>
              <w:rFonts w:hint="eastAsia" w:ascii="黑体" w:hAnsi="黑体" w:eastAsia="黑体" w:cs="黑体"/>
              <w:b w:val="0"/>
              <w:bCs w:val="0"/>
              <w:sz w:val="24"/>
              <w:szCs w:val="24"/>
            </w:rPr>
            <w:fldChar w:fldCharType="end"/>
          </w:r>
          <w:r>
            <w:rPr>
              <w:rFonts w:hint="eastAsia" w:ascii="黑体" w:hAnsi="黑体" w:eastAsia="黑体" w:cs="黑体"/>
              <w:b w:val="0"/>
              <w:bCs w:val="0"/>
              <w:sz w:val="24"/>
              <w:szCs w:val="24"/>
              <w:lang w:eastAsia="zh-CN"/>
            </w:rPr>
            <w:t>措施</w:t>
          </w:r>
        </w:p>
        <w:p>
          <w:pPr>
            <w:pStyle w:val="86"/>
            <w:keepNext w:val="0"/>
            <w:keepLines w:val="0"/>
            <w:pageBreakBefore w:val="0"/>
            <w:widowControl/>
            <w:tabs>
              <w:tab w:val="right" w:leader="dot" w:pos="8306"/>
            </w:tabs>
            <w:kinsoku/>
            <w:wordWrap/>
            <w:overflowPunct/>
            <w:topLinePunct w:val="0"/>
            <w:autoSpaceDE/>
            <w:autoSpaceDN/>
            <w:bidi w:val="0"/>
            <w:adjustRightInd/>
            <w:snapToGrid/>
            <w:spacing w:beforeLines="0" w:line="44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_Toc664300722_WPSOffice_Level2 </w:instrText>
          </w:r>
          <w:r>
            <w:rPr>
              <w:rFonts w:hint="eastAsia" w:ascii="宋体" w:hAnsi="宋体" w:eastAsia="宋体" w:cs="宋体"/>
              <w:b w:val="0"/>
              <w:bCs w:val="0"/>
              <w:sz w:val="21"/>
              <w:szCs w:val="21"/>
            </w:rPr>
            <w:fldChar w:fldCharType="separate"/>
          </w:r>
          <w:sdt>
            <w:sdtPr>
              <w:rPr>
                <w:rFonts w:hint="eastAsia" w:ascii="宋体" w:hAnsi="宋体" w:eastAsia="宋体" w:cs="宋体"/>
                <w:b w:val="0"/>
                <w:bCs w:val="0"/>
                <w:kern w:val="0"/>
                <w:sz w:val="21"/>
                <w:szCs w:val="21"/>
                <w:lang w:val="en-US" w:eastAsia="zh-CN" w:bidi="ar-SA"/>
              </w:rPr>
              <w:id w:val="987453776"/>
              <w:placeholder>
                <w:docPart w:val="{10453c6f-7e53-4f63-8638-3825d5197316}"/>
              </w:placeholder>
            </w:sdtPr>
            <w:sdtEndPr>
              <w:rPr>
                <w:rFonts w:hint="eastAsia" w:ascii="宋体" w:hAnsi="宋体" w:eastAsia="宋体" w:cs="宋体"/>
                <w:b w:val="0"/>
                <w:bCs w:val="0"/>
                <w:kern w:val="0"/>
                <w:sz w:val="21"/>
                <w:szCs w:val="21"/>
                <w:lang w:val="en-US" w:eastAsia="zh-CN" w:bidi="ar-SA"/>
              </w:rPr>
            </w:sdtEndPr>
            <w:sdtContent>
              <w:r>
                <w:rPr>
                  <w:rFonts w:hint="eastAsia" w:ascii="宋体" w:hAnsi="宋体" w:eastAsia="宋体" w:cs="宋体"/>
                  <w:b w:val="0"/>
                  <w:bCs w:val="0"/>
                  <w:sz w:val="21"/>
                  <w:szCs w:val="21"/>
                </w:rPr>
                <w:t>3.1 专业布局</w:t>
              </w:r>
            </w:sdtContent>
          </w:sdt>
          <w:r>
            <w:rPr>
              <w:rFonts w:hint="eastAsia" w:ascii="宋体" w:hAnsi="宋体" w:eastAsia="宋体" w:cs="宋体"/>
              <w:b w:val="0"/>
              <w:bCs w:val="0"/>
              <w:sz w:val="21"/>
              <w:szCs w:val="21"/>
            </w:rPr>
            <w:tab/>
          </w:r>
          <w:bookmarkStart w:id="8" w:name="_Toc664300722_WPSOffice_Level2Page"/>
          <w:r>
            <w:rPr>
              <w:rFonts w:hint="eastAsia" w:ascii="宋体" w:hAnsi="宋体" w:eastAsia="宋体" w:cs="宋体"/>
              <w:b w:val="0"/>
              <w:bCs w:val="0"/>
              <w:sz w:val="24"/>
              <w:szCs w:val="24"/>
            </w:rPr>
            <w:t>9</w:t>
          </w:r>
          <w:bookmarkEnd w:id="8"/>
          <w:r>
            <w:rPr>
              <w:rFonts w:hint="eastAsia" w:ascii="宋体" w:hAnsi="宋体" w:eastAsia="宋体" w:cs="宋体"/>
              <w:b w:val="0"/>
              <w:bCs w:val="0"/>
              <w:sz w:val="21"/>
              <w:szCs w:val="21"/>
            </w:rPr>
            <w:fldChar w:fldCharType="end"/>
          </w:r>
        </w:p>
        <w:p>
          <w:pPr>
            <w:pStyle w:val="86"/>
            <w:keepNext w:val="0"/>
            <w:keepLines w:val="0"/>
            <w:pageBreakBefore w:val="0"/>
            <w:widowControl/>
            <w:tabs>
              <w:tab w:val="right" w:leader="dot" w:pos="8306"/>
            </w:tabs>
            <w:kinsoku/>
            <w:wordWrap/>
            <w:overflowPunct/>
            <w:topLinePunct w:val="0"/>
            <w:autoSpaceDE/>
            <w:autoSpaceDN/>
            <w:bidi w:val="0"/>
            <w:adjustRightInd/>
            <w:snapToGrid/>
            <w:spacing w:beforeLines="0" w:line="440" w:lineRule="exac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_Toc242367033_WPSOffice_Level2 </w:instrText>
          </w:r>
          <w:r>
            <w:rPr>
              <w:rFonts w:hint="eastAsia" w:ascii="宋体" w:hAnsi="宋体" w:eastAsia="宋体" w:cs="宋体"/>
              <w:b w:val="0"/>
              <w:bCs w:val="0"/>
              <w:sz w:val="21"/>
              <w:szCs w:val="21"/>
            </w:rPr>
            <w:fldChar w:fldCharType="separate"/>
          </w:r>
          <w:sdt>
            <w:sdtPr>
              <w:rPr>
                <w:rFonts w:hint="eastAsia" w:ascii="宋体" w:hAnsi="宋体" w:eastAsia="宋体" w:cs="宋体"/>
                <w:b w:val="0"/>
                <w:bCs w:val="0"/>
                <w:kern w:val="0"/>
                <w:sz w:val="21"/>
                <w:szCs w:val="21"/>
                <w:lang w:val="en-US" w:eastAsia="zh-CN" w:bidi="ar-SA"/>
              </w:rPr>
              <w:id w:val="987453776"/>
              <w:placeholder>
                <w:docPart w:val="{63e121b5-6ac5-45da-a3f9-e4c38853be84}"/>
              </w:placeholder>
            </w:sdtPr>
            <w:sdtEndPr>
              <w:rPr>
                <w:rFonts w:hint="eastAsia" w:ascii="宋体" w:hAnsi="宋体" w:eastAsia="宋体" w:cs="宋体"/>
                <w:b w:val="0"/>
                <w:bCs w:val="0"/>
                <w:kern w:val="0"/>
                <w:sz w:val="21"/>
                <w:szCs w:val="21"/>
                <w:lang w:val="en-US" w:eastAsia="zh-CN" w:bidi="ar-SA"/>
              </w:rPr>
            </w:sdtEndPr>
            <w:sdtContent>
              <w:r>
                <w:rPr>
                  <w:rFonts w:hint="eastAsia" w:ascii="宋体" w:hAnsi="宋体" w:eastAsia="宋体" w:cs="宋体"/>
                  <w:b w:val="0"/>
                  <w:bCs w:val="0"/>
                  <w:sz w:val="21"/>
                  <w:szCs w:val="21"/>
                </w:rPr>
                <w:t>3.2 质量保障</w:t>
              </w:r>
            </w:sdtContent>
          </w:sdt>
          <w:r>
            <w:rPr>
              <w:rFonts w:hint="eastAsia" w:ascii="宋体" w:hAnsi="宋体" w:eastAsia="宋体" w:cs="宋体"/>
              <w:b w:val="0"/>
              <w:bCs w:val="0"/>
              <w:sz w:val="21"/>
              <w:szCs w:val="21"/>
            </w:rPr>
            <w:tab/>
          </w:r>
          <w:bookmarkStart w:id="9" w:name="_Toc242367033_WPSOffice_Level2Page"/>
          <w:r>
            <w:rPr>
              <w:rFonts w:hint="eastAsia" w:ascii="宋体" w:hAnsi="宋体" w:eastAsia="宋体" w:cs="宋体"/>
              <w:b w:val="0"/>
              <w:bCs w:val="0"/>
              <w:sz w:val="24"/>
              <w:szCs w:val="24"/>
            </w:rPr>
            <w:t>1</w:t>
          </w:r>
          <w:bookmarkEnd w:id="9"/>
          <w:r>
            <w:rPr>
              <w:rFonts w:hint="eastAsia" w:ascii="宋体" w:hAnsi="宋体" w:eastAsia="宋体" w:cs="宋体"/>
              <w:b w:val="0"/>
              <w:bCs w:val="0"/>
              <w:sz w:val="21"/>
              <w:szCs w:val="21"/>
            </w:rPr>
            <w:fldChar w:fldCharType="end"/>
          </w:r>
          <w:r>
            <w:rPr>
              <w:rFonts w:hint="eastAsia" w:ascii="宋体" w:hAnsi="宋体" w:cs="宋体"/>
              <w:b w:val="0"/>
              <w:bCs w:val="0"/>
              <w:sz w:val="24"/>
              <w:szCs w:val="24"/>
              <w:lang w:val="en-US" w:eastAsia="zh-CN"/>
            </w:rPr>
            <w:t>0</w:t>
          </w:r>
        </w:p>
        <w:p>
          <w:pPr>
            <w:pStyle w:val="86"/>
            <w:keepNext w:val="0"/>
            <w:keepLines w:val="0"/>
            <w:pageBreakBefore w:val="0"/>
            <w:widowControl/>
            <w:tabs>
              <w:tab w:val="right" w:leader="dot" w:pos="8306"/>
            </w:tabs>
            <w:kinsoku/>
            <w:wordWrap/>
            <w:overflowPunct/>
            <w:topLinePunct w:val="0"/>
            <w:autoSpaceDE/>
            <w:autoSpaceDN/>
            <w:bidi w:val="0"/>
            <w:adjustRightInd/>
            <w:snapToGrid/>
            <w:spacing w:beforeLines="0" w:line="440" w:lineRule="exac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_Toc247496736_WPSOffice_Level2 </w:instrText>
          </w:r>
          <w:r>
            <w:rPr>
              <w:rFonts w:hint="eastAsia" w:ascii="宋体" w:hAnsi="宋体" w:eastAsia="宋体" w:cs="宋体"/>
              <w:b w:val="0"/>
              <w:bCs w:val="0"/>
              <w:sz w:val="21"/>
              <w:szCs w:val="21"/>
            </w:rPr>
            <w:fldChar w:fldCharType="separate"/>
          </w:r>
          <w:sdt>
            <w:sdtPr>
              <w:rPr>
                <w:rFonts w:hint="eastAsia" w:ascii="宋体" w:hAnsi="宋体" w:eastAsia="宋体" w:cs="宋体"/>
                <w:b w:val="0"/>
                <w:bCs w:val="0"/>
                <w:kern w:val="0"/>
                <w:sz w:val="21"/>
                <w:szCs w:val="21"/>
                <w:lang w:val="en-US" w:eastAsia="zh-CN" w:bidi="ar-SA"/>
              </w:rPr>
              <w:id w:val="987453776"/>
              <w:placeholder>
                <w:docPart w:val="{6f02738b-f8e0-486f-a275-1894f67d6f70}"/>
              </w:placeholder>
            </w:sdtPr>
            <w:sdtEndPr>
              <w:rPr>
                <w:rFonts w:hint="eastAsia" w:ascii="宋体" w:hAnsi="宋体" w:eastAsia="宋体" w:cs="宋体"/>
                <w:b w:val="0"/>
                <w:bCs w:val="0"/>
                <w:kern w:val="0"/>
                <w:sz w:val="21"/>
                <w:szCs w:val="21"/>
                <w:lang w:val="en-US" w:eastAsia="zh-CN" w:bidi="ar-SA"/>
              </w:rPr>
            </w:sdtEndPr>
            <w:sdtContent>
              <w:r>
                <w:rPr>
                  <w:rFonts w:hint="eastAsia" w:ascii="宋体" w:hAnsi="宋体" w:eastAsia="宋体" w:cs="宋体"/>
                  <w:b w:val="0"/>
                  <w:bCs w:val="0"/>
                  <w:sz w:val="21"/>
                  <w:szCs w:val="21"/>
                </w:rPr>
                <w:t>3.3 教师培养</w:t>
              </w:r>
            </w:sdtContent>
          </w:sdt>
          <w:r>
            <w:rPr>
              <w:rFonts w:hint="eastAsia" w:ascii="宋体" w:hAnsi="宋体" w:eastAsia="宋体" w:cs="宋体"/>
              <w:b w:val="0"/>
              <w:bCs w:val="0"/>
              <w:sz w:val="21"/>
              <w:szCs w:val="21"/>
            </w:rPr>
            <w:tab/>
          </w:r>
          <w:bookmarkStart w:id="10" w:name="_Toc247496736_WPSOffice_Level2Page"/>
          <w:r>
            <w:rPr>
              <w:rFonts w:hint="eastAsia" w:ascii="宋体" w:hAnsi="宋体" w:eastAsia="宋体" w:cs="宋体"/>
              <w:b w:val="0"/>
              <w:bCs w:val="0"/>
              <w:sz w:val="24"/>
              <w:szCs w:val="24"/>
            </w:rPr>
            <w:t>1</w:t>
          </w:r>
          <w:bookmarkEnd w:id="10"/>
          <w:r>
            <w:rPr>
              <w:rFonts w:hint="eastAsia" w:ascii="宋体" w:hAnsi="宋体" w:eastAsia="宋体" w:cs="宋体"/>
              <w:b w:val="0"/>
              <w:bCs w:val="0"/>
              <w:sz w:val="21"/>
              <w:szCs w:val="21"/>
            </w:rPr>
            <w:fldChar w:fldCharType="end"/>
          </w:r>
          <w:r>
            <w:rPr>
              <w:rFonts w:hint="eastAsia" w:ascii="宋体" w:hAnsi="宋体" w:eastAsia="宋体" w:cs="宋体"/>
              <w:b w:val="0"/>
              <w:bCs w:val="0"/>
              <w:sz w:val="24"/>
              <w:szCs w:val="24"/>
              <w:lang w:val="en-US" w:eastAsia="zh-CN"/>
            </w:rPr>
            <w:t>2</w:t>
          </w:r>
        </w:p>
        <w:p>
          <w:pPr>
            <w:pStyle w:val="85"/>
            <w:keepNext w:val="0"/>
            <w:keepLines w:val="0"/>
            <w:pageBreakBefore w:val="0"/>
            <w:widowControl/>
            <w:tabs>
              <w:tab w:val="right" w:leader="dot" w:pos="8306"/>
            </w:tabs>
            <w:kinsoku/>
            <w:wordWrap/>
            <w:overflowPunct/>
            <w:topLinePunct w:val="0"/>
            <w:autoSpaceDE/>
            <w:autoSpaceDN/>
            <w:bidi w:val="0"/>
            <w:adjustRightInd/>
            <w:snapToGrid/>
            <w:spacing w:before="63" w:beforeLines="2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_Toc1136307964_WPSOffice_Level1 </w:instrText>
          </w:r>
          <w:r>
            <w:rPr>
              <w:rFonts w:hint="eastAsia" w:ascii="宋体" w:hAnsi="宋体" w:eastAsia="宋体" w:cs="宋体"/>
              <w:b w:val="0"/>
              <w:bCs w:val="0"/>
              <w:sz w:val="21"/>
              <w:szCs w:val="21"/>
            </w:rPr>
            <w:fldChar w:fldCharType="separate"/>
          </w:r>
          <w:sdt>
            <w:sdtPr>
              <w:rPr>
                <w:rFonts w:hint="eastAsia" w:ascii="宋体" w:hAnsi="宋体" w:eastAsia="宋体" w:cs="宋体"/>
                <w:b w:val="0"/>
                <w:bCs w:val="0"/>
                <w:kern w:val="0"/>
                <w:sz w:val="21"/>
                <w:szCs w:val="21"/>
                <w:lang w:val="en-US" w:eastAsia="zh-CN" w:bidi="ar-SA"/>
              </w:rPr>
              <w:id w:val="987453776"/>
              <w:placeholder>
                <w:docPart w:val="{178a9805-37f1-431f-baed-96350ac1ca8e}"/>
              </w:placeholder>
            </w:sdtPr>
            <w:sdtEndPr>
              <w:rPr>
                <w:rFonts w:hint="eastAsia" w:ascii="宋体" w:hAnsi="宋体" w:eastAsia="宋体" w:cs="宋体"/>
                <w:b w:val="0"/>
                <w:bCs w:val="0"/>
                <w:kern w:val="0"/>
                <w:sz w:val="21"/>
                <w:szCs w:val="21"/>
                <w:lang w:val="en-US" w:eastAsia="zh-CN" w:bidi="ar-SA"/>
              </w:rPr>
            </w:sdtEndPr>
            <w:sdtContent>
              <w:r>
                <w:rPr>
                  <w:rFonts w:hint="eastAsia" w:ascii="黑体" w:hAnsi="黑体" w:eastAsia="黑体" w:cs="黑体"/>
                  <w:b w:val="0"/>
                  <w:bCs w:val="0"/>
                  <w:sz w:val="24"/>
                  <w:szCs w:val="24"/>
                </w:rPr>
                <w:t>4.校企合作</w:t>
              </w:r>
            </w:sdtContent>
          </w:sdt>
          <w:r>
            <w:rPr>
              <w:rFonts w:hint="eastAsia" w:ascii="宋体" w:hAnsi="宋体" w:eastAsia="宋体" w:cs="宋体"/>
              <w:b w:val="0"/>
              <w:bCs w:val="0"/>
              <w:sz w:val="21"/>
              <w:szCs w:val="21"/>
            </w:rPr>
            <w:fldChar w:fldCharType="end"/>
          </w:r>
        </w:p>
        <w:p>
          <w:pPr>
            <w:pStyle w:val="86"/>
            <w:keepNext w:val="0"/>
            <w:keepLines w:val="0"/>
            <w:pageBreakBefore w:val="0"/>
            <w:widowControl/>
            <w:tabs>
              <w:tab w:val="right" w:leader="dot" w:pos="8306"/>
            </w:tabs>
            <w:kinsoku/>
            <w:wordWrap/>
            <w:overflowPunct/>
            <w:topLinePunct w:val="0"/>
            <w:autoSpaceDE/>
            <w:autoSpaceDN/>
            <w:bidi w:val="0"/>
            <w:adjustRightInd/>
            <w:snapToGrid/>
            <w:spacing w:beforeLines="0" w:line="440" w:lineRule="exac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_Toc2101170889_WPSOffice_Level2 </w:instrText>
          </w:r>
          <w:r>
            <w:rPr>
              <w:rFonts w:hint="eastAsia" w:ascii="宋体" w:hAnsi="宋体" w:eastAsia="宋体" w:cs="宋体"/>
              <w:b w:val="0"/>
              <w:bCs w:val="0"/>
              <w:sz w:val="21"/>
              <w:szCs w:val="21"/>
            </w:rPr>
            <w:fldChar w:fldCharType="separate"/>
          </w:r>
          <w:sdt>
            <w:sdtPr>
              <w:rPr>
                <w:rFonts w:hint="eastAsia" w:ascii="宋体" w:hAnsi="宋体" w:eastAsia="宋体" w:cs="宋体"/>
                <w:b w:val="0"/>
                <w:bCs w:val="0"/>
                <w:kern w:val="0"/>
                <w:sz w:val="21"/>
                <w:szCs w:val="21"/>
                <w:lang w:val="en-US" w:eastAsia="zh-CN" w:bidi="ar-SA"/>
              </w:rPr>
              <w:id w:val="987453776"/>
              <w:placeholder>
                <w:docPart w:val="{5f36ff61-87fe-4daa-90e9-3025a81d8765}"/>
              </w:placeholder>
            </w:sdtPr>
            <w:sdtEndPr>
              <w:rPr>
                <w:rFonts w:hint="eastAsia" w:ascii="宋体" w:hAnsi="宋体" w:eastAsia="宋体" w:cs="宋体"/>
                <w:b w:val="0"/>
                <w:bCs w:val="0"/>
                <w:kern w:val="0"/>
                <w:sz w:val="21"/>
                <w:szCs w:val="21"/>
                <w:lang w:val="en-US" w:eastAsia="zh-CN" w:bidi="ar-SA"/>
              </w:rPr>
            </w:sdtEndPr>
            <w:sdtContent>
              <w:r>
                <w:rPr>
                  <w:rFonts w:hint="eastAsia" w:ascii="宋体" w:hAnsi="宋体" w:eastAsia="宋体" w:cs="宋体"/>
                  <w:b w:val="0"/>
                  <w:bCs w:val="0"/>
                  <w:sz w:val="21"/>
                  <w:szCs w:val="21"/>
                </w:rPr>
                <w:t>4.1</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校企合作开展情况和效果</w:t>
              </w:r>
            </w:sdtContent>
          </w:sdt>
          <w:r>
            <w:rPr>
              <w:rFonts w:hint="eastAsia" w:ascii="宋体" w:hAnsi="宋体" w:eastAsia="宋体" w:cs="宋体"/>
              <w:b w:val="0"/>
              <w:bCs w:val="0"/>
              <w:sz w:val="21"/>
              <w:szCs w:val="21"/>
            </w:rPr>
            <w:tab/>
          </w:r>
          <w:bookmarkStart w:id="11" w:name="_Toc2101170889_WPSOffice_Level2Page"/>
          <w:r>
            <w:rPr>
              <w:rFonts w:hint="eastAsia" w:ascii="宋体" w:hAnsi="宋体" w:eastAsia="宋体" w:cs="宋体"/>
              <w:b w:val="0"/>
              <w:bCs w:val="0"/>
              <w:sz w:val="24"/>
              <w:szCs w:val="24"/>
            </w:rPr>
            <w:t>1</w:t>
          </w:r>
          <w:bookmarkEnd w:id="11"/>
          <w:r>
            <w:rPr>
              <w:rFonts w:hint="eastAsia" w:ascii="宋体" w:hAnsi="宋体" w:eastAsia="宋体" w:cs="宋体"/>
              <w:b w:val="0"/>
              <w:bCs w:val="0"/>
              <w:sz w:val="21"/>
              <w:szCs w:val="21"/>
            </w:rPr>
            <w:fldChar w:fldCharType="end"/>
          </w:r>
          <w:r>
            <w:rPr>
              <w:rFonts w:hint="eastAsia" w:ascii="宋体" w:hAnsi="宋体" w:cs="宋体"/>
              <w:b w:val="0"/>
              <w:bCs w:val="0"/>
              <w:sz w:val="24"/>
              <w:szCs w:val="24"/>
              <w:lang w:val="en-US" w:eastAsia="zh-CN"/>
            </w:rPr>
            <w:t>3</w:t>
          </w:r>
        </w:p>
        <w:p>
          <w:pPr>
            <w:pStyle w:val="86"/>
            <w:keepNext w:val="0"/>
            <w:keepLines w:val="0"/>
            <w:pageBreakBefore w:val="0"/>
            <w:widowControl/>
            <w:tabs>
              <w:tab w:val="right" w:leader="dot" w:pos="8306"/>
            </w:tabs>
            <w:kinsoku/>
            <w:wordWrap/>
            <w:overflowPunct/>
            <w:topLinePunct w:val="0"/>
            <w:autoSpaceDE/>
            <w:autoSpaceDN/>
            <w:bidi w:val="0"/>
            <w:adjustRightInd/>
            <w:snapToGrid/>
            <w:spacing w:beforeLines="0" w:line="44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_Toc1382680507_WPSOffice_Level2 </w:instrText>
          </w:r>
          <w:r>
            <w:rPr>
              <w:rFonts w:hint="eastAsia" w:ascii="宋体" w:hAnsi="宋体" w:eastAsia="宋体" w:cs="宋体"/>
              <w:b w:val="0"/>
              <w:bCs w:val="0"/>
              <w:sz w:val="21"/>
              <w:szCs w:val="21"/>
            </w:rPr>
            <w:fldChar w:fldCharType="separate"/>
          </w:r>
          <w:sdt>
            <w:sdtPr>
              <w:rPr>
                <w:rFonts w:hint="eastAsia" w:ascii="宋体" w:hAnsi="宋体" w:eastAsia="宋体" w:cs="宋体"/>
                <w:b w:val="0"/>
                <w:bCs w:val="0"/>
                <w:kern w:val="0"/>
                <w:sz w:val="21"/>
                <w:szCs w:val="21"/>
                <w:lang w:val="en-US" w:eastAsia="zh-CN" w:bidi="ar-SA"/>
              </w:rPr>
              <w:id w:val="987453776"/>
              <w:placeholder>
                <w:docPart w:val="{99f7da7b-2278-4a6e-979e-9faccc47905a}"/>
              </w:placeholder>
            </w:sdtPr>
            <w:sdtEndPr>
              <w:rPr>
                <w:rFonts w:hint="eastAsia" w:ascii="宋体" w:hAnsi="宋体" w:eastAsia="宋体" w:cs="宋体"/>
                <w:b w:val="0"/>
                <w:bCs w:val="0"/>
                <w:kern w:val="0"/>
                <w:sz w:val="21"/>
                <w:szCs w:val="21"/>
                <w:lang w:val="en-US" w:eastAsia="zh-CN" w:bidi="ar-SA"/>
              </w:rPr>
            </w:sdtEndPr>
            <w:sdtContent>
              <w:r>
                <w:rPr>
                  <w:rFonts w:hint="eastAsia" w:ascii="宋体" w:hAnsi="宋体" w:eastAsia="宋体" w:cs="宋体"/>
                  <w:b w:val="0"/>
                  <w:bCs w:val="0"/>
                  <w:sz w:val="21"/>
                  <w:szCs w:val="21"/>
                </w:rPr>
                <w:t>4.2 学生实习情况</w:t>
              </w:r>
            </w:sdtContent>
          </w:sdt>
          <w:r>
            <w:rPr>
              <w:rFonts w:hint="eastAsia" w:ascii="宋体" w:hAnsi="宋体" w:eastAsia="宋体" w:cs="宋体"/>
              <w:b w:val="0"/>
              <w:bCs w:val="0"/>
              <w:sz w:val="21"/>
              <w:szCs w:val="21"/>
            </w:rPr>
            <w:tab/>
          </w:r>
          <w:bookmarkStart w:id="12" w:name="_Toc1382680507_WPSOffice_Level2Page"/>
          <w:r>
            <w:rPr>
              <w:rFonts w:hint="eastAsia" w:ascii="宋体" w:hAnsi="宋体" w:eastAsia="宋体" w:cs="宋体"/>
              <w:b w:val="0"/>
              <w:bCs w:val="0"/>
              <w:sz w:val="24"/>
              <w:szCs w:val="24"/>
            </w:rPr>
            <w:t>16</w:t>
          </w:r>
          <w:bookmarkEnd w:id="12"/>
          <w:r>
            <w:rPr>
              <w:rFonts w:hint="eastAsia" w:ascii="宋体" w:hAnsi="宋体" w:eastAsia="宋体" w:cs="宋体"/>
              <w:b w:val="0"/>
              <w:bCs w:val="0"/>
              <w:sz w:val="21"/>
              <w:szCs w:val="21"/>
            </w:rPr>
            <w:fldChar w:fldCharType="end"/>
          </w:r>
        </w:p>
        <w:p>
          <w:pPr>
            <w:pStyle w:val="86"/>
            <w:keepNext w:val="0"/>
            <w:keepLines w:val="0"/>
            <w:pageBreakBefore w:val="0"/>
            <w:widowControl/>
            <w:tabs>
              <w:tab w:val="right" w:leader="dot" w:pos="8306"/>
            </w:tabs>
            <w:kinsoku/>
            <w:wordWrap/>
            <w:overflowPunct/>
            <w:topLinePunct w:val="0"/>
            <w:autoSpaceDE/>
            <w:autoSpaceDN/>
            <w:bidi w:val="0"/>
            <w:adjustRightInd/>
            <w:snapToGrid/>
            <w:spacing w:beforeLines="0" w:line="440" w:lineRule="exac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_Toc2016078606_WPSOffice_Level2 </w:instrText>
          </w:r>
          <w:r>
            <w:rPr>
              <w:rFonts w:hint="eastAsia" w:ascii="宋体" w:hAnsi="宋体" w:eastAsia="宋体" w:cs="宋体"/>
              <w:b w:val="0"/>
              <w:bCs w:val="0"/>
              <w:sz w:val="21"/>
              <w:szCs w:val="21"/>
            </w:rPr>
            <w:fldChar w:fldCharType="separate"/>
          </w:r>
          <w:sdt>
            <w:sdtPr>
              <w:rPr>
                <w:rFonts w:hint="eastAsia" w:ascii="宋体" w:hAnsi="宋体" w:eastAsia="宋体" w:cs="宋体"/>
                <w:b w:val="0"/>
                <w:bCs w:val="0"/>
                <w:kern w:val="0"/>
                <w:sz w:val="21"/>
                <w:szCs w:val="21"/>
                <w:lang w:val="en-US" w:eastAsia="zh-CN" w:bidi="ar-SA"/>
              </w:rPr>
              <w:id w:val="987453776"/>
              <w:placeholder>
                <w:docPart w:val="{199ea4ac-e455-41cf-b871-d22f45cbae9b}"/>
              </w:placeholder>
            </w:sdtPr>
            <w:sdtEndPr>
              <w:rPr>
                <w:rFonts w:hint="eastAsia" w:ascii="宋体" w:hAnsi="宋体" w:eastAsia="宋体" w:cs="宋体"/>
                <w:b w:val="0"/>
                <w:bCs w:val="0"/>
                <w:kern w:val="0"/>
                <w:sz w:val="21"/>
                <w:szCs w:val="21"/>
                <w:lang w:val="en-US" w:eastAsia="zh-CN" w:bidi="ar-SA"/>
              </w:rPr>
            </w:sdtEndPr>
            <w:sdtContent>
              <w:r>
                <w:rPr>
                  <w:rFonts w:hint="eastAsia" w:ascii="宋体" w:hAnsi="宋体" w:eastAsia="宋体" w:cs="宋体"/>
                  <w:b w:val="0"/>
                  <w:bCs w:val="0"/>
                  <w:sz w:val="21"/>
                  <w:szCs w:val="21"/>
                </w:rPr>
                <w:t>4.3 集团化办学情况</w:t>
              </w:r>
            </w:sdtContent>
          </w:sdt>
          <w:r>
            <w:rPr>
              <w:rFonts w:hint="eastAsia" w:ascii="宋体" w:hAnsi="宋体" w:eastAsia="宋体" w:cs="宋体"/>
              <w:b w:val="0"/>
              <w:bCs w:val="0"/>
              <w:sz w:val="21"/>
              <w:szCs w:val="21"/>
            </w:rPr>
            <w:tab/>
          </w:r>
          <w:bookmarkStart w:id="13" w:name="_Toc2016078606_WPSOffice_Level2Page"/>
          <w:r>
            <w:rPr>
              <w:rFonts w:hint="eastAsia" w:ascii="宋体" w:hAnsi="宋体" w:eastAsia="宋体" w:cs="宋体"/>
              <w:b w:val="0"/>
              <w:bCs w:val="0"/>
              <w:sz w:val="24"/>
              <w:szCs w:val="24"/>
            </w:rPr>
            <w:t>1</w:t>
          </w:r>
          <w:bookmarkEnd w:id="13"/>
          <w:r>
            <w:rPr>
              <w:rFonts w:hint="eastAsia" w:ascii="宋体" w:hAnsi="宋体" w:eastAsia="宋体" w:cs="宋体"/>
              <w:b w:val="0"/>
              <w:bCs w:val="0"/>
              <w:sz w:val="21"/>
              <w:szCs w:val="21"/>
            </w:rPr>
            <w:fldChar w:fldCharType="end"/>
          </w:r>
          <w:r>
            <w:rPr>
              <w:rFonts w:hint="eastAsia" w:ascii="宋体" w:hAnsi="宋体" w:cs="宋体"/>
              <w:b w:val="0"/>
              <w:bCs w:val="0"/>
              <w:sz w:val="24"/>
              <w:szCs w:val="24"/>
              <w:lang w:val="en-US" w:eastAsia="zh-CN"/>
            </w:rPr>
            <w:t>7</w:t>
          </w:r>
        </w:p>
        <w:p>
          <w:pPr>
            <w:pStyle w:val="85"/>
            <w:keepNext w:val="0"/>
            <w:keepLines w:val="0"/>
            <w:pageBreakBefore w:val="0"/>
            <w:widowControl/>
            <w:tabs>
              <w:tab w:val="right" w:leader="dot" w:pos="8306"/>
            </w:tabs>
            <w:kinsoku/>
            <w:wordWrap/>
            <w:overflowPunct/>
            <w:topLinePunct w:val="0"/>
            <w:autoSpaceDE/>
            <w:autoSpaceDN/>
            <w:bidi w:val="0"/>
            <w:adjustRightInd/>
            <w:snapToGrid/>
            <w:spacing w:before="63" w:beforeLines="2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_Toc942022431_WPSOffice_Level1 </w:instrText>
          </w:r>
          <w:r>
            <w:rPr>
              <w:rFonts w:hint="eastAsia" w:ascii="宋体" w:hAnsi="宋体" w:eastAsia="宋体" w:cs="宋体"/>
              <w:b w:val="0"/>
              <w:bCs w:val="0"/>
              <w:sz w:val="21"/>
              <w:szCs w:val="21"/>
            </w:rPr>
            <w:fldChar w:fldCharType="separate"/>
          </w:r>
          <w:sdt>
            <w:sdtPr>
              <w:rPr>
                <w:rFonts w:hint="eastAsia" w:ascii="黑体" w:hAnsi="黑体" w:eastAsia="黑体" w:cs="黑体"/>
                <w:b w:val="0"/>
                <w:bCs w:val="0"/>
                <w:kern w:val="0"/>
                <w:sz w:val="24"/>
                <w:szCs w:val="24"/>
                <w:lang w:val="en-US" w:eastAsia="zh-CN" w:bidi="ar-SA"/>
              </w:rPr>
              <w:id w:val="987453776"/>
              <w:placeholder>
                <w:docPart w:val="{2758b25d-c6e3-445a-a5e3-0d7f91fe9cc4}"/>
              </w:placeholder>
            </w:sdtPr>
            <w:sdtEndPr>
              <w:rPr>
                <w:rFonts w:hint="eastAsia" w:ascii="宋体" w:hAnsi="宋体" w:eastAsia="宋体" w:cs="宋体"/>
                <w:b w:val="0"/>
                <w:bCs w:val="0"/>
                <w:kern w:val="0"/>
                <w:sz w:val="24"/>
                <w:szCs w:val="24"/>
                <w:lang w:val="en-US" w:eastAsia="zh-CN" w:bidi="ar-SA"/>
              </w:rPr>
            </w:sdtEndPr>
            <w:sdtContent>
              <w:r>
                <w:rPr>
                  <w:rFonts w:hint="eastAsia" w:ascii="黑体" w:hAnsi="黑体" w:eastAsia="黑体" w:cs="黑体"/>
                  <w:b w:val="0"/>
                  <w:bCs w:val="0"/>
                  <w:sz w:val="24"/>
                  <w:szCs w:val="24"/>
                </w:rPr>
                <w:t>5.社会贡献</w:t>
              </w:r>
            </w:sdtContent>
          </w:sdt>
          <w:r>
            <w:rPr>
              <w:rFonts w:hint="eastAsia" w:ascii="宋体" w:hAnsi="宋体" w:eastAsia="宋体" w:cs="宋体"/>
              <w:b w:val="0"/>
              <w:bCs w:val="0"/>
              <w:sz w:val="21"/>
              <w:szCs w:val="21"/>
            </w:rPr>
            <w:fldChar w:fldCharType="end"/>
          </w:r>
        </w:p>
        <w:p>
          <w:pPr>
            <w:pStyle w:val="86"/>
            <w:keepNext w:val="0"/>
            <w:keepLines w:val="0"/>
            <w:pageBreakBefore w:val="0"/>
            <w:widowControl/>
            <w:tabs>
              <w:tab w:val="right" w:leader="dot" w:pos="8306"/>
            </w:tabs>
            <w:kinsoku/>
            <w:wordWrap/>
            <w:overflowPunct/>
            <w:topLinePunct w:val="0"/>
            <w:autoSpaceDE/>
            <w:autoSpaceDN/>
            <w:bidi w:val="0"/>
            <w:adjustRightInd/>
            <w:snapToGrid/>
            <w:spacing w:beforeLines="0" w:line="44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_Toc1577992939_WPSOffice_Level2 </w:instrText>
          </w:r>
          <w:r>
            <w:rPr>
              <w:rFonts w:hint="eastAsia" w:ascii="宋体" w:hAnsi="宋体" w:eastAsia="宋体" w:cs="宋体"/>
              <w:b w:val="0"/>
              <w:bCs w:val="0"/>
              <w:sz w:val="21"/>
              <w:szCs w:val="21"/>
            </w:rPr>
            <w:fldChar w:fldCharType="separate"/>
          </w:r>
          <w:sdt>
            <w:sdtPr>
              <w:rPr>
                <w:rFonts w:hint="eastAsia" w:ascii="宋体" w:hAnsi="宋体" w:eastAsia="宋体" w:cs="宋体"/>
                <w:b w:val="0"/>
                <w:bCs w:val="0"/>
                <w:kern w:val="0"/>
                <w:sz w:val="21"/>
                <w:szCs w:val="21"/>
                <w:lang w:val="en-US" w:eastAsia="zh-CN" w:bidi="ar-SA"/>
              </w:rPr>
              <w:id w:val="987453776"/>
              <w:placeholder>
                <w:docPart w:val="{3cba854b-c17f-4476-8527-e2b50e4fb761}"/>
              </w:placeholder>
            </w:sdtPr>
            <w:sdtEndPr>
              <w:rPr>
                <w:rFonts w:hint="eastAsia" w:ascii="宋体" w:hAnsi="宋体" w:eastAsia="宋体" w:cs="宋体"/>
                <w:b w:val="0"/>
                <w:bCs w:val="0"/>
                <w:kern w:val="0"/>
                <w:sz w:val="21"/>
                <w:szCs w:val="21"/>
                <w:lang w:val="en-US" w:eastAsia="zh-CN" w:bidi="ar-SA"/>
              </w:rPr>
            </w:sdtEndPr>
            <w:sdtContent>
              <w:r>
                <w:rPr>
                  <w:rFonts w:hint="eastAsia" w:ascii="宋体" w:hAnsi="宋体" w:eastAsia="宋体" w:cs="宋体"/>
                  <w:b w:val="0"/>
                  <w:bCs w:val="0"/>
                  <w:sz w:val="21"/>
                  <w:szCs w:val="21"/>
                </w:rPr>
                <w:t>5.1 技术技能人才培养</w:t>
              </w:r>
            </w:sdtContent>
          </w:sdt>
          <w:r>
            <w:rPr>
              <w:rFonts w:hint="eastAsia" w:ascii="宋体" w:hAnsi="宋体" w:eastAsia="宋体" w:cs="宋体"/>
              <w:b w:val="0"/>
              <w:bCs w:val="0"/>
              <w:sz w:val="21"/>
              <w:szCs w:val="21"/>
            </w:rPr>
            <w:tab/>
          </w:r>
          <w:bookmarkStart w:id="14" w:name="_Toc1577992939_WPSOffice_Level2Page"/>
          <w:r>
            <w:rPr>
              <w:rFonts w:hint="eastAsia" w:ascii="宋体" w:hAnsi="宋体" w:eastAsia="宋体" w:cs="宋体"/>
              <w:b w:val="0"/>
              <w:bCs w:val="0"/>
              <w:sz w:val="24"/>
              <w:szCs w:val="24"/>
            </w:rPr>
            <w:t>19</w:t>
          </w:r>
          <w:bookmarkEnd w:id="14"/>
          <w:r>
            <w:rPr>
              <w:rFonts w:hint="eastAsia" w:ascii="宋体" w:hAnsi="宋体" w:eastAsia="宋体" w:cs="宋体"/>
              <w:b w:val="0"/>
              <w:bCs w:val="0"/>
              <w:sz w:val="21"/>
              <w:szCs w:val="21"/>
            </w:rPr>
            <w:fldChar w:fldCharType="end"/>
          </w:r>
        </w:p>
        <w:p>
          <w:pPr>
            <w:pStyle w:val="86"/>
            <w:keepNext w:val="0"/>
            <w:keepLines w:val="0"/>
            <w:pageBreakBefore w:val="0"/>
            <w:widowControl/>
            <w:tabs>
              <w:tab w:val="right" w:leader="dot" w:pos="8306"/>
            </w:tabs>
            <w:kinsoku/>
            <w:wordWrap/>
            <w:overflowPunct/>
            <w:topLinePunct w:val="0"/>
            <w:autoSpaceDE/>
            <w:autoSpaceDN/>
            <w:bidi w:val="0"/>
            <w:adjustRightInd/>
            <w:snapToGrid/>
            <w:spacing w:beforeLines="0" w:line="44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_Toc217880459_WPSOffice_Level2 </w:instrText>
          </w:r>
          <w:r>
            <w:rPr>
              <w:rFonts w:hint="eastAsia" w:ascii="宋体" w:hAnsi="宋体" w:eastAsia="宋体" w:cs="宋体"/>
              <w:b w:val="0"/>
              <w:bCs w:val="0"/>
              <w:sz w:val="21"/>
              <w:szCs w:val="21"/>
            </w:rPr>
            <w:fldChar w:fldCharType="separate"/>
          </w:r>
          <w:sdt>
            <w:sdtPr>
              <w:rPr>
                <w:rFonts w:hint="eastAsia" w:ascii="宋体" w:hAnsi="宋体" w:eastAsia="宋体" w:cs="宋体"/>
                <w:b w:val="0"/>
                <w:bCs w:val="0"/>
                <w:kern w:val="0"/>
                <w:sz w:val="21"/>
                <w:szCs w:val="21"/>
                <w:lang w:val="en-US" w:eastAsia="zh-CN" w:bidi="ar-SA"/>
              </w:rPr>
              <w:id w:val="987453776"/>
              <w:placeholder>
                <w:docPart w:val="{53c07a74-d3e2-4389-adac-c169306bb845}"/>
              </w:placeholder>
            </w:sdtPr>
            <w:sdtEndPr>
              <w:rPr>
                <w:rFonts w:hint="eastAsia" w:ascii="宋体" w:hAnsi="宋体" w:eastAsia="宋体" w:cs="宋体"/>
                <w:b w:val="0"/>
                <w:bCs w:val="0"/>
                <w:kern w:val="0"/>
                <w:sz w:val="21"/>
                <w:szCs w:val="21"/>
                <w:lang w:val="en-US" w:eastAsia="zh-CN" w:bidi="ar-SA"/>
              </w:rPr>
            </w:sdtEndPr>
            <w:sdtContent>
              <w:r>
                <w:rPr>
                  <w:rFonts w:hint="eastAsia" w:ascii="宋体" w:hAnsi="宋体" w:eastAsia="宋体" w:cs="宋体"/>
                  <w:b w:val="0"/>
                  <w:bCs w:val="0"/>
                  <w:sz w:val="21"/>
                  <w:szCs w:val="21"/>
                </w:rPr>
                <w:t>5.2 社会服务</w:t>
              </w:r>
            </w:sdtContent>
          </w:sdt>
          <w:r>
            <w:rPr>
              <w:rFonts w:hint="eastAsia" w:ascii="宋体" w:hAnsi="宋体" w:eastAsia="宋体" w:cs="宋体"/>
              <w:b w:val="0"/>
              <w:bCs w:val="0"/>
              <w:sz w:val="21"/>
              <w:szCs w:val="21"/>
            </w:rPr>
            <w:tab/>
          </w:r>
          <w:bookmarkStart w:id="15" w:name="_Toc217880459_WPSOffice_Level2Page"/>
          <w:r>
            <w:rPr>
              <w:rFonts w:hint="eastAsia" w:ascii="宋体" w:hAnsi="宋体" w:eastAsia="宋体" w:cs="宋体"/>
              <w:b w:val="0"/>
              <w:bCs w:val="0"/>
              <w:sz w:val="24"/>
              <w:szCs w:val="24"/>
            </w:rPr>
            <w:t>20</w:t>
          </w:r>
          <w:bookmarkEnd w:id="15"/>
          <w:r>
            <w:rPr>
              <w:rFonts w:hint="eastAsia" w:ascii="宋体" w:hAnsi="宋体" w:eastAsia="宋体" w:cs="宋体"/>
              <w:b w:val="0"/>
              <w:bCs w:val="0"/>
              <w:sz w:val="21"/>
              <w:szCs w:val="21"/>
            </w:rPr>
            <w:fldChar w:fldCharType="end"/>
          </w:r>
        </w:p>
        <w:p>
          <w:pPr>
            <w:pStyle w:val="86"/>
            <w:keepNext w:val="0"/>
            <w:keepLines w:val="0"/>
            <w:pageBreakBefore w:val="0"/>
            <w:widowControl/>
            <w:tabs>
              <w:tab w:val="right" w:leader="dot" w:pos="8306"/>
            </w:tabs>
            <w:kinsoku/>
            <w:wordWrap/>
            <w:overflowPunct/>
            <w:topLinePunct w:val="0"/>
            <w:autoSpaceDE/>
            <w:autoSpaceDN/>
            <w:bidi w:val="0"/>
            <w:adjustRightInd/>
            <w:snapToGrid/>
            <w:spacing w:beforeLines="0" w:line="440" w:lineRule="exac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_Toc1673566062_WPSOffice_Level2 </w:instrText>
          </w:r>
          <w:r>
            <w:rPr>
              <w:rFonts w:hint="eastAsia" w:ascii="宋体" w:hAnsi="宋体" w:eastAsia="宋体" w:cs="宋体"/>
              <w:b w:val="0"/>
              <w:bCs w:val="0"/>
              <w:sz w:val="21"/>
              <w:szCs w:val="21"/>
            </w:rPr>
            <w:fldChar w:fldCharType="separate"/>
          </w:r>
          <w:sdt>
            <w:sdtPr>
              <w:rPr>
                <w:rFonts w:hint="eastAsia" w:ascii="宋体" w:hAnsi="宋体" w:eastAsia="宋体" w:cs="宋体"/>
                <w:b w:val="0"/>
                <w:bCs w:val="0"/>
                <w:kern w:val="0"/>
                <w:sz w:val="21"/>
                <w:szCs w:val="21"/>
                <w:lang w:val="en-US" w:eastAsia="zh-CN" w:bidi="ar-SA"/>
              </w:rPr>
              <w:id w:val="987453776"/>
              <w:placeholder>
                <w:docPart w:val="{9386c82f-506e-4241-aa94-589e6df9c535}"/>
              </w:placeholder>
            </w:sdtPr>
            <w:sdtEndPr>
              <w:rPr>
                <w:rFonts w:hint="eastAsia" w:ascii="宋体" w:hAnsi="宋体" w:eastAsia="宋体" w:cs="宋体"/>
                <w:b w:val="0"/>
                <w:bCs w:val="0"/>
                <w:kern w:val="0"/>
                <w:sz w:val="21"/>
                <w:szCs w:val="21"/>
                <w:lang w:val="en-US" w:eastAsia="zh-CN" w:bidi="ar-SA"/>
              </w:rPr>
            </w:sdtEndPr>
            <w:sdtContent>
              <w:r>
                <w:rPr>
                  <w:rFonts w:hint="eastAsia" w:ascii="宋体" w:hAnsi="宋体" w:eastAsia="宋体" w:cs="宋体"/>
                  <w:b w:val="0"/>
                  <w:bCs w:val="0"/>
                  <w:sz w:val="21"/>
                  <w:szCs w:val="21"/>
                </w:rPr>
                <w:t>5.3 对口</w:t>
              </w:r>
              <w:r>
                <w:rPr>
                  <w:rFonts w:hint="eastAsia" w:ascii="宋体" w:hAnsi="宋体" w:cs="宋体"/>
                  <w:b w:val="0"/>
                  <w:bCs w:val="0"/>
                  <w:sz w:val="21"/>
                  <w:szCs w:val="21"/>
                  <w:lang w:eastAsia="zh-CN"/>
                </w:rPr>
                <w:t>帮扶</w:t>
              </w:r>
            </w:sdtContent>
          </w:sdt>
          <w:r>
            <w:rPr>
              <w:rFonts w:hint="eastAsia" w:ascii="宋体" w:hAnsi="宋体" w:eastAsia="宋体" w:cs="宋体"/>
              <w:b w:val="0"/>
              <w:bCs w:val="0"/>
              <w:sz w:val="21"/>
              <w:szCs w:val="21"/>
            </w:rPr>
            <w:tab/>
          </w:r>
          <w:bookmarkStart w:id="16" w:name="_Toc1673566062_WPSOffice_Level2Page"/>
          <w:r>
            <w:rPr>
              <w:rFonts w:hint="eastAsia" w:ascii="宋体" w:hAnsi="宋体" w:eastAsia="宋体" w:cs="宋体"/>
              <w:b w:val="0"/>
              <w:bCs w:val="0"/>
              <w:sz w:val="24"/>
              <w:szCs w:val="24"/>
            </w:rPr>
            <w:t>2</w:t>
          </w:r>
          <w:bookmarkEnd w:id="16"/>
          <w:r>
            <w:rPr>
              <w:rFonts w:hint="eastAsia" w:ascii="宋体" w:hAnsi="宋体" w:eastAsia="宋体" w:cs="宋体"/>
              <w:b w:val="0"/>
              <w:bCs w:val="0"/>
              <w:sz w:val="21"/>
              <w:szCs w:val="21"/>
            </w:rPr>
            <w:fldChar w:fldCharType="end"/>
          </w:r>
          <w:r>
            <w:rPr>
              <w:rFonts w:hint="eastAsia" w:ascii="宋体" w:hAnsi="宋体" w:eastAsia="宋体" w:cs="宋体"/>
              <w:b w:val="0"/>
              <w:bCs w:val="0"/>
              <w:sz w:val="24"/>
              <w:szCs w:val="24"/>
              <w:lang w:val="en-US" w:eastAsia="zh-CN"/>
            </w:rPr>
            <w:t>2</w:t>
          </w:r>
        </w:p>
        <w:p>
          <w:pPr>
            <w:pStyle w:val="86"/>
            <w:keepNext w:val="0"/>
            <w:keepLines w:val="0"/>
            <w:pageBreakBefore w:val="0"/>
            <w:widowControl/>
            <w:tabs>
              <w:tab w:val="right" w:leader="dot" w:pos="8306"/>
            </w:tabs>
            <w:kinsoku/>
            <w:wordWrap/>
            <w:overflowPunct/>
            <w:topLinePunct w:val="0"/>
            <w:autoSpaceDE/>
            <w:autoSpaceDN/>
            <w:bidi w:val="0"/>
            <w:adjustRightInd/>
            <w:snapToGrid/>
            <w:spacing w:beforeLines="0" w:line="44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_Toc1673566062_WPSOffice_Level2 </w:instrText>
          </w:r>
          <w:r>
            <w:rPr>
              <w:rFonts w:hint="eastAsia" w:ascii="宋体" w:hAnsi="宋体" w:eastAsia="宋体" w:cs="宋体"/>
              <w:b w:val="0"/>
              <w:bCs w:val="0"/>
              <w:sz w:val="21"/>
              <w:szCs w:val="21"/>
            </w:rPr>
            <w:fldChar w:fldCharType="separate"/>
          </w:r>
          <w:sdt>
            <w:sdtPr>
              <w:rPr>
                <w:rFonts w:hint="eastAsia" w:ascii="宋体" w:hAnsi="宋体" w:eastAsia="宋体" w:cs="宋体"/>
                <w:b w:val="0"/>
                <w:bCs w:val="0"/>
                <w:kern w:val="0"/>
                <w:sz w:val="21"/>
                <w:szCs w:val="21"/>
                <w:lang w:val="en-US" w:eastAsia="zh-CN" w:bidi="ar-SA"/>
              </w:rPr>
              <w:id w:val="987453776"/>
              <w:placeholder>
                <w:docPart w:val="{f13a4368-9087-4c2e-b45e-a40d67904859}"/>
              </w:placeholder>
            </w:sdtPr>
            <w:sdtEndPr>
              <w:rPr>
                <w:rFonts w:hint="eastAsia" w:ascii="宋体" w:hAnsi="宋体" w:eastAsia="宋体" w:cs="宋体"/>
                <w:b w:val="0"/>
                <w:bCs w:val="0"/>
                <w:kern w:val="0"/>
                <w:sz w:val="21"/>
                <w:szCs w:val="21"/>
                <w:lang w:val="en-US" w:eastAsia="zh-CN" w:bidi="ar-SA"/>
              </w:rPr>
            </w:sdtEndPr>
            <w:sdtContent>
              <w:r>
                <w:rPr>
                  <w:rFonts w:hint="eastAsia" w:ascii="宋体" w:hAnsi="宋体" w:eastAsia="宋体" w:cs="宋体"/>
                  <w:b w:val="0"/>
                  <w:bCs w:val="0"/>
                  <w:sz w:val="21"/>
                  <w:szCs w:val="21"/>
                </w:rPr>
                <w:t>5.</w:t>
              </w:r>
              <w:r>
                <w:rPr>
                  <w:rFonts w:hint="eastAsia" w:ascii="宋体" w:hAnsi="宋体" w:eastAsia="宋体" w:cs="宋体"/>
                  <w:b w:val="0"/>
                  <w:bCs w:val="0"/>
                  <w:sz w:val="21"/>
                  <w:szCs w:val="21"/>
                  <w:lang w:val="en-US" w:eastAsia="zh-CN"/>
                </w:rPr>
                <w:t>4</w:t>
              </w:r>
              <w:r>
                <w:rPr>
                  <w:rFonts w:hint="eastAsia" w:ascii="宋体" w:hAnsi="宋体" w:eastAsia="宋体" w:cs="宋体"/>
                  <w:b w:val="0"/>
                  <w:bCs w:val="0"/>
                  <w:sz w:val="21"/>
                  <w:szCs w:val="21"/>
                </w:rPr>
                <w:t xml:space="preserve"> </w:t>
              </w:r>
              <w:r>
                <w:rPr>
                  <w:rFonts w:hint="eastAsia" w:ascii="宋体" w:hAnsi="宋体" w:eastAsia="宋体" w:cs="宋体"/>
                  <w:b w:val="0"/>
                  <w:bCs w:val="0"/>
                  <w:sz w:val="21"/>
                  <w:szCs w:val="21"/>
                  <w:lang w:eastAsia="zh-CN"/>
                </w:rPr>
                <w:t>服务抗疫</w:t>
              </w:r>
            </w:sdtContent>
          </w:sdt>
          <w:r>
            <w:rPr>
              <w:rFonts w:hint="eastAsia" w:ascii="宋体" w:hAnsi="宋体" w:eastAsia="宋体" w:cs="宋体"/>
              <w:b w:val="0"/>
              <w:bCs w:val="0"/>
              <w:sz w:val="21"/>
              <w:szCs w:val="21"/>
            </w:rPr>
            <w:tab/>
          </w:r>
          <w:r>
            <w:rPr>
              <w:rFonts w:hint="eastAsia" w:ascii="宋体" w:hAnsi="宋体" w:eastAsia="宋体" w:cs="宋体"/>
              <w:b w:val="0"/>
              <w:bCs w:val="0"/>
              <w:sz w:val="24"/>
              <w:szCs w:val="24"/>
            </w:rPr>
            <w:t>2</w:t>
          </w:r>
          <w:r>
            <w:rPr>
              <w:rFonts w:hint="eastAsia" w:ascii="宋体" w:hAnsi="宋体" w:eastAsia="宋体" w:cs="宋体"/>
              <w:b w:val="0"/>
              <w:bCs w:val="0"/>
              <w:sz w:val="21"/>
              <w:szCs w:val="21"/>
            </w:rPr>
            <w:fldChar w:fldCharType="end"/>
          </w:r>
          <w:r>
            <w:rPr>
              <w:rFonts w:hint="eastAsia" w:ascii="宋体" w:hAnsi="宋体" w:cs="宋体"/>
              <w:b w:val="0"/>
              <w:bCs w:val="0"/>
              <w:sz w:val="24"/>
              <w:szCs w:val="24"/>
              <w:lang w:val="en-US" w:eastAsia="zh-CN"/>
            </w:rPr>
            <w:t>5</w:t>
          </w:r>
        </w:p>
        <w:p>
          <w:pPr>
            <w:pStyle w:val="85"/>
            <w:keepNext w:val="0"/>
            <w:keepLines w:val="0"/>
            <w:pageBreakBefore w:val="0"/>
            <w:widowControl/>
            <w:tabs>
              <w:tab w:val="right" w:leader="dot" w:pos="8306"/>
            </w:tabs>
            <w:kinsoku/>
            <w:wordWrap/>
            <w:overflowPunct/>
            <w:topLinePunct w:val="0"/>
            <w:autoSpaceDE/>
            <w:autoSpaceDN/>
            <w:bidi w:val="0"/>
            <w:adjustRightInd/>
            <w:snapToGrid/>
            <w:spacing w:before="63" w:beforeLines="20" w:line="240" w:lineRule="auto"/>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_Toc2028943518_WPSOffice_Level1 </w:instrText>
          </w:r>
          <w:r>
            <w:rPr>
              <w:rFonts w:hint="eastAsia" w:ascii="宋体" w:hAnsi="宋体" w:eastAsia="宋体" w:cs="宋体"/>
              <w:b w:val="0"/>
              <w:bCs w:val="0"/>
              <w:sz w:val="28"/>
              <w:szCs w:val="28"/>
            </w:rPr>
            <w:fldChar w:fldCharType="separate"/>
          </w:r>
          <w:sdt>
            <w:sdtPr>
              <w:rPr>
                <w:rFonts w:hint="eastAsia" w:ascii="黑体" w:hAnsi="黑体" w:eastAsia="黑体" w:cs="黑体"/>
                <w:b w:val="0"/>
                <w:bCs w:val="0"/>
                <w:kern w:val="0"/>
                <w:sz w:val="24"/>
                <w:szCs w:val="24"/>
                <w:lang w:val="en-US" w:eastAsia="zh-CN" w:bidi="ar-SA"/>
              </w:rPr>
              <w:id w:val="987453776"/>
              <w:placeholder>
                <w:docPart w:val="{07f5c9b3-2bb8-4696-88a9-e2f1e49cf529}"/>
              </w:placeholder>
            </w:sdtPr>
            <w:sdtEndPr>
              <w:rPr>
                <w:rFonts w:hint="eastAsia" w:ascii="宋体" w:hAnsi="宋体" w:eastAsia="宋体" w:cs="宋体"/>
                <w:b w:val="0"/>
                <w:bCs w:val="0"/>
                <w:kern w:val="0"/>
                <w:sz w:val="24"/>
                <w:szCs w:val="24"/>
                <w:lang w:val="en-US" w:eastAsia="zh-CN" w:bidi="ar-SA"/>
              </w:rPr>
            </w:sdtEndPr>
            <w:sdtContent>
              <w:r>
                <w:rPr>
                  <w:rFonts w:hint="eastAsia" w:ascii="黑体" w:hAnsi="黑体" w:eastAsia="黑体" w:cs="黑体"/>
                  <w:b w:val="0"/>
                  <w:bCs w:val="0"/>
                  <w:sz w:val="24"/>
                  <w:szCs w:val="24"/>
                </w:rPr>
                <w:t>6.政府履责</w:t>
              </w:r>
            </w:sdtContent>
          </w:sdt>
          <w:r>
            <w:rPr>
              <w:rFonts w:hint="eastAsia" w:ascii="宋体" w:hAnsi="宋体" w:eastAsia="宋体" w:cs="宋体"/>
              <w:b w:val="0"/>
              <w:bCs w:val="0"/>
              <w:sz w:val="28"/>
              <w:szCs w:val="28"/>
            </w:rPr>
            <w:fldChar w:fldCharType="end"/>
          </w:r>
        </w:p>
        <w:p>
          <w:pPr>
            <w:pStyle w:val="86"/>
            <w:keepNext w:val="0"/>
            <w:keepLines w:val="0"/>
            <w:pageBreakBefore w:val="0"/>
            <w:widowControl/>
            <w:tabs>
              <w:tab w:val="right" w:leader="dot" w:pos="8306"/>
            </w:tabs>
            <w:kinsoku/>
            <w:wordWrap/>
            <w:overflowPunct/>
            <w:topLinePunct w:val="0"/>
            <w:autoSpaceDE/>
            <w:autoSpaceDN/>
            <w:bidi w:val="0"/>
            <w:adjustRightInd/>
            <w:snapToGrid/>
            <w:spacing w:beforeLines="0" w:line="44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_Toc1131093752_WPSOffice_Level2 </w:instrText>
          </w:r>
          <w:r>
            <w:rPr>
              <w:rFonts w:hint="eastAsia" w:ascii="宋体" w:hAnsi="宋体" w:eastAsia="宋体" w:cs="宋体"/>
              <w:b w:val="0"/>
              <w:bCs w:val="0"/>
              <w:sz w:val="21"/>
              <w:szCs w:val="21"/>
            </w:rPr>
            <w:fldChar w:fldCharType="separate"/>
          </w:r>
          <w:sdt>
            <w:sdtPr>
              <w:rPr>
                <w:rFonts w:hint="eastAsia" w:ascii="宋体" w:hAnsi="宋体" w:eastAsia="宋体" w:cs="宋体"/>
                <w:b w:val="0"/>
                <w:bCs w:val="0"/>
                <w:kern w:val="0"/>
                <w:sz w:val="21"/>
                <w:szCs w:val="21"/>
                <w:lang w:val="en-US" w:eastAsia="zh-CN" w:bidi="ar-SA"/>
              </w:rPr>
              <w:id w:val="987453776"/>
              <w:placeholder>
                <w:docPart w:val="{358a34eb-ec74-47b2-8bc7-d4f1448f0808}"/>
              </w:placeholder>
            </w:sdtPr>
            <w:sdtEndPr>
              <w:rPr>
                <w:rFonts w:hint="eastAsia" w:ascii="宋体" w:hAnsi="宋体" w:eastAsia="宋体" w:cs="宋体"/>
                <w:b w:val="0"/>
                <w:bCs w:val="0"/>
                <w:kern w:val="0"/>
                <w:sz w:val="21"/>
                <w:szCs w:val="21"/>
                <w:lang w:val="en-US" w:eastAsia="zh-CN" w:bidi="ar-SA"/>
              </w:rPr>
            </w:sdtEndPr>
            <w:sdtContent>
              <w:r>
                <w:rPr>
                  <w:rFonts w:hint="eastAsia" w:ascii="宋体" w:hAnsi="宋体" w:eastAsia="宋体" w:cs="宋体"/>
                  <w:b w:val="0"/>
                  <w:bCs w:val="0"/>
                  <w:sz w:val="21"/>
                  <w:szCs w:val="21"/>
                </w:rPr>
                <w:t>6.1</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经费投入</w:t>
              </w:r>
            </w:sdtContent>
          </w:sdt>
          <w:r>
            <w:rPr>
              <w:rFonts w:hint="eastAsia" w:ascii="宋体" w:hAnsi="宋体" w:eastAsia="宋体" w:cs="宋体"/>
              <w:b w:val="0"/>
              <w:bCs w:val="0"/>
              <w:sz w:val="21"/>
              <w:szCs w:val="21"/>
            </w:rPr>
            <w:tab/>
          </w:r>
          <w:bookmarkStart w:id="17" w:name="_Toc1131093752_WPSOffice_Level2Page"/>
          <w:r>
            <w:rPr>
              <w:rFonts w:hint="eastAsia" w:ascii="宋体" w:hAnsi="宋体" w:eastAsia="宋体" w:cs="宋体"/>
              <w:b w:val="0"/>
              <w:bCs w:val="0"/>
              <w:sz w:val="24"/>
              <w:szCs w:val="24"/>
            </w:rPr>
            <w:t>27</w:t>
          </w:r>
          <w:bookmarkEnd w:id="17"/>
          <w:r>
            <w:rPr>
              <w:rFonts w:hint="eastAsia" w:ascii="宋体" w:hAnsi="宋体" w:eastAsia="宋体" w:cs="宋体"/>
              <w:b w:val="0"/>
              <w:bCs w:val="0"/>
              <w:sz w:val="21"/>
              <w:szCs w:val="21"/>
            </w:rPr>
            <w:fldChar w:fldCharType="end"/>
          </w:r>
        </w:p>
        <w:p>
          <w:pPr>
            <w:pStyle w:val="86"/>
            <w:keepNext w:val="0"/>
            <w:keepLines w:val="0"/>
            <w:pageBreakBefore w:val="0"/>
            <w:widowControl/>
            <w:tabs>
              <w:tab w:val="right" w:leader="dot" w:pos="8306"/>
            </w:tabs>
            <w:kinsoku/>
            <w:wordWrap/>
            <w:overflowPunct/>
            <w:topLinePunct w:val="0"/>
            <w:autoSpaceDE/>
            <w:autoSpaceDN/>
            <w:bidi w:val="0"/>
            <w:adjustRightInd/>
            <w:snapToGrid/>
            <w:spacing w:beforeLines="0" w:line="440" w:lineRule="exac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_Toc493259621_WPSOffice_Level2 </w:instrText>
          </w:r>
          <w:r>
            <w:rPr>
              <w:rFonts w:hint="eastAsia" w:ascii="宋体" w:hAnsi="宋体" w:eastAsia="宋体" w:cs="宋体"/>
              <w:b w:val="0"/>
              <w:bCs w:val="0"/>
              <w:sz w:val="21"/>
              <w:szCs w:val="21"/>
            </w:rPr>
            <w:fldChar w:fldCharType="separate"/>
          </w:r>
          <w:sdt>
            <w:sdtPr>
              <w:rPr>
                <w:rFonts w:hint="eastAsia" w:ascii="宋体" w:hAnsi="宋体" w:eastAsia="宋体" w:cs="宋体"/>
                <w:b w:val="0"/>
                <w:bCs w:val="0"/>
                <w:kern w:val="0"/>
                <w:sz w:val="21"/>
                <w:szCs w:val="21"/>
                <w:lang w:val="en-US" w:eastAsia="zh-CN" w:bidi="ar-SA"/>
              </w:rPr>
              <w:id w:val="987453776"/>
              <w:placeholder>
                <w:docPart w:val="{a0bb3532-c134-4d6d-817c-2dbdd5e71c8a}"/>
              </w:placeholder>
            </w:sdtPr>
            <w:sdtEndPr>
              <w:rPr>
                <w:rFonts w:hint="eastAsia" w:ascii="宋体" w:hAnsi="宋体" w:eastAsia="宋体" w:cs="宋体"/>
                <w:b w:val="0"/>
                <w:bCs w:val="0"/>
                <w:kern w:val="0"/>
                <w:sz w:val="21"/>
                <w:szCs w:val="21"/>
                <w:lang w:val="en-US" w:eastAsia="zh-CN" w:bidi="ar-SA"/>
              </w:rPr>
            </w:sdtEndPr>
            <w:sdtContent>
              <w:r>
                <w:rPr>
                  <w:rFonts w:hint="eastAsia" w:ascii="宋体" w:hAnsi="宋体" w:eastAsia="宋体" w:cs="宋体"/>
                  <w:b w:val="0"/>
                  <w:bCs w:val="0"/>
                  <w:sz w:val="21"/>
                  <w:szCs w:val="21"/>
                </w:rPr>
                <w:t>6.2 政策保障</w:t>
              </w:r>
            </w:sdtContent>
          </w:sdt>
          <w:r>
            <w:rPr>
              <w:rFonts w:hint="eastAsia" w:ascii="宋体" w:hAnsi="宋体" w:eastAsia="宋体" w:cs="宋体"/>
              <w:b w:val="0"/>
              <w:bCs w:val="0"/>
              <w:sz w:val="21"/>
              <w:szCs w:val="21"/>
            </w:rPr>
            <w:tab/>
          </w:r>
          <w:bookmarkStart w:id="18" w:name="_Toc493259621_WPSOffice_Level2Page"/>
          <w:r>
            <w:rPr>
              <w:rFonts w:hint="eastAsia" w:ascii="宋体" w:hAnsi="宋体" w:eastAsia="宋体" w:cs="宋体"/>
              <w:b w:val="0"/>
              <w:bCs w:val="0"/>
              <w:sz w:val="24"/>
              <w:szCs w:val="24"/>
            </w:rPr>
            <w:t>2</w:t>
          </w:r>
          <w:bookmarkEnd w:id="18"/>
          <w:r>
            <w:rPr>
              <w:rFonts w:hint="eastAsia" w:ascii="宋体" w:hAnsi="宋体" w:eastAsia="宋体" w:cs="宋体"/>
              <w:b w:val="0"/>
              <w:bCs w:val="0"/>
              <w:sz w:val="21"/>
              <w:szCs w:val="21"/>
            </w:rPr>
            <w:fldChar w:fldCharType="end"/>
          </w:r>
          <w:r>
            <w:rPr>
              <w:rFonts w:hint="eastAsia" w:ascii="宋体" w:hAnsi="宋体" w:cs="宋体"/>
              <w:b w:val="0"/>
              <w:bCs w:val="0"/>
              <w:sz w:val="24"/>
              <w:szCs w:val="24"/>
              <w:lang w:val="en-US" w:eastAsia="zh-CN"/>
            </w:rPr>
            <w:t>8</w:t>
          </w:r>
        </w:p>
        <w:p>
          <w:pPr>
            <w:pStyle w:val="85"/>
            <w:keepNext w:val="0"/>
            <w:keepLines w:val="0"/>
            <w:pageBreakBefore w:val="0"/>
            <w:widowControl/>
            <w:tabs>
              <w:tab w:val="right" w:leader="dot" w:pos="8306"/>
            </w:tabs>
            <w:kinsoku/>
            <w:wordWrap/>
            <w:overflowPunct/>
            <w:topLinePunct w:val="0"/>
            <w:autoSpaceDE/>
            <w:autoSpaceDN/>
            <w:bidi w:val="0"/>
            <w:adjustRightInd/>
            <w:snapToGrid/>
            <w:spacing w:before="63" w:beforeLines="20" w:line="240" w:lineRule="auto"/>
            <w:textAlignment w:val="auto"/>
            <w:rPr>
              <w:rFonts w:hint="eastAsia" w:ascii="宋体" w:hAnsi="宋体" w:eastAsia="宋体" w:cs="宋体"/>
              <w:b w:val="0"/>
              <w:bCs w:val="0"/>
              <w:sz w:val="21"/>
              <w:szCs w:val="21"/>
            </w:rPr>
          </w:pPr>
          <w:r>
            <w:rPr>
              <w:rFonts w:hint="eastAsia" w:ascii="黑体" w:hAnsi="黑体" w:eastAsia="黑体" w:cs="黑体"/>
              <w:b w:val="0"/>
              <w:bCs w:val="0"/>
              <w:sz w:val="24"/>
              <w:szCs w:val="24"/>
            </w:rPr>
            <w:fldChar w:fldCharType="begin"/>
          </w:r>
          <w:r>
            <w:rPr>
              <w:rFonts w:hint="eastAsia" w:ascii="黑体" w:hAnsi="黑体" w:eastAsia="黑体" w:cs="黑体"/>
              <w:b w:val="0"/>
              <w:bCs w:val="0"/>
              <w:sz w:val="24"/>
              <w:szCs w:val="24"/>
            </w:rPr>
            <w:instrText xml:space="preserve"> HYPERLINK \l _Toc664300722_WPSOffice_Level1 </w:instrText>
          </w:r>
          <w:r>
            <w:rPr>
              <w:rFonts w:hint="eastAsia" w:ascii="黑体" w:hAnsi="黑体" w:eastAsia="黑体" w:cs="黑体"/>
              <w:b w:val="0"/>
              <w:bCs w:val="0"/>
              <w:sz w:val="24"/>
              <w:szCs w:val="24"/>
            </w:rPr>
            <w:fldChar w:fldCharType="separate"/>
          </w:r>
          <w:sdt>
            <w:sdtPr>
              <w:rPr>
                <w:rFonts w:hint="eastAsia" w:ascii="黑体" w:hAnsi="黑体" w:eastAsia="黑体" w:cs="黑体"/>
                <w:b w:val="0"/>
                <w:bCs w:val="0"/>
                <w:kern w:val="0"/>
                <w:sz w:val="24"/>
                <w:szCs w:val="24"/>
                <w:lang w:val="en-US" w:eastAsia="zh-CN" w:bidi="ar-SA"/>
              </w:rPr>
              <w:id w:val="987453776"/>
              <w:placeholder>
                <w:docPart w:val="{4f0dfea4-de29-45b5-9bcc-ba8a0c0b3cf9}"/>
              </w:placeholder>
            </w:sdtPr>
            <w:sdtEndPr>
              <w:rPr>
                <w:rFonts w:hint="eastAsia" w:ascii="黑体" w:hAnsi="黑体" w:eastAsia="黑体" w:cs="黑体"/>
                <w:b w:val="0"/>
                <w:bCs w:val="0"/>
                <w:kern w:val="0"/>
                <w:sz w:val="24"/>
                <w:szCs w:val="24"/>
                <w:lang w:val="en-US" w:eastAsia="zh-CN" w:bidi="ar-SA"/>
              </w:rPr>
            </w:sdtEndPr>
            <w:sdtContent>
              <w:r>
                <w:rPr>
                  <w:rFonts w:hint="eastAsia" w:ascii="黑体" w:hAnsi="黑体" w:eastAsia="黑体" w:cs="黑体"/>
                  <w:b w:val="0"/>
                  <w:bCs w:val="0"/>
                  <w:sz w:val="24"/>
                  <w:szCs w:val="24"/>
                </w:rPr>
                <w:t>7.特色创新</w:t>
              </w:r>
            </w:sdtContent>
          </w:sdt>
          <w:r>
            <w:rPr>
              <w:rFonts w:hint="eastAsia" w:ascii="黑体" w:hAnsi="黑体" w:eastAsia="黑体" w:cs="黑体"/>
              <w:b w:val="0"/>
              <w:bCs w:val="0"/>
              <w:sz w:val="24"/>
              <w:szCs w:val="24"/>
            </w:rPr>
            <w:fldChar w:fldCharType="end"/>
          </w:r>
        </w:p>
        <w:p>
          <w:pPr>
            <w:pStyle w:val="86"/>
            <w:keepNext w:val="0"/>
            <w:keepLines w:val="0"/>
            <w:pageBreakBefore w:val="0"/>
            <w:widowControl/>
            <w:tabs>
              <w:tab w:val="right" w:leader="dot" w:pos="8306"/>
            </w:tabs>
            <w:kinsoku/>
            <w:wordWrap/>
            <w:overflowPunct/>
            <w:topLinePunct w:val="0"/>
            <w:autoSpaceDE/>
            <w:autoSpaceDN/>
            <w:bidi w:val="0"/>
            <w:adjustRightInd/>
            <w:snapToGrid/>
            <w:spacing w:beforeLines="0" w:line="440" w:lineRule="exac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_Toc1606128278_WPSOffice_Level2 </w:instrText>
          </w:r>
          <w:r>
            <w:rPr>
              <w:rFonts w:hint="eastAsia" w:ascii="宋体" w:hAnsi="宋体" w:eastAsia="宋体" w:cs="宋体"/>
              <w:b w:val="0"/>
              <w:bCs w:val="0"/>
              <w:sz w:val="21"/>
              <w:szCs w:val="21"/>
            </w:rPr>
            <w:fldChar w:fldCharType="separate"/>
          </w:r>
          <w:sdt>
            <w:sdtPr>
              <w:rPr>
                <w:rFonts w:hint="eastAsia" w:ascii="宋体" w:hAnsi="宋体" w:eastAsia="宋体" w:cs="宋体"/>
                <w:b w:val="0"/>
                <w:bCs w:val="0"/>
                <w:kern w:val="0"/>
                <w:sz w:val="21"/>
                <w:szCs w:val="21"/>
                <w:lang w:val="en-US" w:eastAsia="zh-CN" w:bidi="ar-SA"/>
              </w:rPr>
              <w:id w:val="987453776"/>
              <w:placeholder>
                <w:docPart w:val="{1aa925be-e42c-4759-bfb7-1137e6fc7eca}"/>
              </w:placeholder>
            </w:sdtPr>
            <w:sdtEndPr>
              <w:rPr>
                <w:rFonts w:hint="eastAsia" w:ascii="宋体" w:hAnsi="宋体" w:eastAsia="宋体" w:cs="宋体"/>
                <w:b w:val="0"/>
                <w:bCs w:val="0"/>
                <w:kern w:val="0"/>
                <w:sz w:val="21"/>
                <w:szCs w:val="21"/>
                <w:lang w:val="en-US" w:eastAsia="zh-CN" w:bidi="ar-SA"/>
              </w:rPr>
            </w:sdtEndPr>
            <w:sdtContent>
              <w:r>
                <w:rPr>
                  <w:rFonts w:hint="eastAsia" w:ascii="宋体" w:hAnsi="宋体" w:eastAsia="宋体" w:cs="宋体"/>
                  <w:b w:val="0"/>
                  <w:bCs w:val="0"/>
                  <w:sz w:val="21"/>
                  <w:szCs w:val="21"/>
                </w:rPr>
                <w:t>7.1 多</w:t>
              </w:r>
              <w:r>
                <w:rPr>
                  <w:rFonts w:hint="eastAsia" w:ascii="宋体" w:hAnsi="宋体" w:cs="宋体"/>
                  <w:b w:val="0"/>
                  <w:bCs w:val="0"/>
                  <w:sz w:val="21"/>
                  <w:szCs w:val="21"/>
                  <w:lang w:eastAsia="zh-CN"/>
                </w:rPr>
                <w:t>措</w:t>
              </w:r>
              <w:r>
                <w:rPr>
                  <w:rFonts w:hint="eastAsia" w:ascii="宋体" w:hAnsi="宋体" w:eastAsia="宋体" w:cs="宋体"/>
                  <w:b w:val="0"/>
                  <w:bCs w:val="0"/>
                  <w:sz w:val="21"/>
                  <w:szCs w:val="21"/>
                </w:rPr>
                <w:t>并举，全力保障疫情期间教学工作</w:t>
              </w:r>
            </w:sdtContent>
          </w:sdt>
          <w:r>
            <w:rPr>
              <w:rFonts w:hint="eastAsia" w:ascii="宋体" w:hAnsi="宋体" w:eastAsia="宋体" w:cs="宋体"/>
              <w:b w:val="0"/>
              <w:bCs w:val="0"/>
              <w:sz w:val="21"/>
              <w:szCs w:val="21"/>
            </w:rPr>
            <w:tab/>
          </w:r>
          <w:r>
            <w:rPr>
              <w:rFonts w:hint="eastAsia" w:ascii="宋体" w:hAnsi="宋体" w:eastAsia="宋体" w:cs="宋体"/>
              <w:b w:val="0"/>
              <w:bCs w:val="0"/>
              <w:sz w:val="21"/>
              <w:szCs w:val="21"/>
            </w:rPr>
            <w:fldChar w:fldCharType="end"/>
          </w:r>
          <w:r>
            <w:rPr>
              <w:rFonts w:hint="eastAsia" w:ascii="宋体" w:hAnsi="宋体" w:cs="宋体"/>
              <w:b w:val="0"/>
              <w:bCs w:val="0"/>
              <w:sz w:val="24"/>
              <w:szCs w:val="24"/>
              <w:lang w:val="en-US" w:eastAsia="zh-CN"/>
            </w:rPr>
            <w:t>29</w:t>
          </w:r>
        </w:p>
        <w:p>
          <w:pPr>
            <w:pStyle w:val="86"/>
            <w:keepNext w:val="0"/>
            <w:keepLines w:val="0"/>
            <w:pageBreakBefore w:val="0"/>
            <w:widowControl/>
            <w:tabs>
              <w:tab w:val="right" w:leader="dot" w:pos="8306"/>
            </w:tabs>
            <w:kinsoku/>
            <w:wordWrap/>
            <w:overflowPunct/>
            <w:topLinePunct w:val="0"/>
            <w:autoSpaceDE/>
            <w:autoSpaceDN/>
            <w:bidi w:val="0"/>
            <w:adjustRightInd/>
            <w:snapToGrid/>
            <w:spacing w:beforeLines="0" w:line="440" w:lineRule="exac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_Toc717530092_WPSOffice_Level2 </w:instrText>
          </w:r>
          <w:r>
            <w:rPr>
              <w:rFonts w:hint="eastAsia" w:ascii="宋体" w:hAnsi="宋体" w:eastAsia="宋体" w:cs="宋体"/>
              <w:b w:val="0"/>
              <w:bCs w:val="0"/>
              <w:sz w:val="21"/>
              <w:szCs w:val="21"/>
            </w:rPr>
            <w:fldChar w:fldCharType="separate"/>
          </w:r>
          <w:sdt>
            <w:sdtPr>
              <w:rPr>
                <w:rFonts w:hint="eastAsia" w:ascii="宋体" w:hAnsi="宋体" w:eastAsia="宋体" w:cs="宋体"/>
                <w:b w:val="0"/>
                <w:bCs w:val="0"/>
                <w:kern w:val="0"/>
                <w:sz w:val="21"/>
                <w:szCs w:val="21"/>
                <w:lang w:val="en-US" w:eastAsia="zh-CN" w:bidi="ar-SA"/>
              </w:rPr>
              <w:id w:val="987453776"/>
              <w:placeholder>
                <w:docPart w:val="{68bbbeae-1487-45de-a40e-7c1592338577}"/>
              </w:placeholder>
            </w:sdtPr>
            <w:sdtEndPr>
              <w:rPr>
                <w:rFonts w:hint="eastAsia" w:ascii="宋体" w:hAnsi="宋体" w:eastAsia="宋体" w:cs="宋体"/>
                <w:b w:val="0"/>
                <w:bCs w:val="0"/>
                <w:kern w:val="0"/>
                <w:sz w:val="21"/>
                <w:szCs w:val="21"/>
                <w:lang w:val="en-US" w:eastAsia="zh-CN" w:bidi="ar-SA"/>
              </w:rPr>
            </w:sdtEndPr>
            <w:sdtContent>
              <w:r>
                <w:rPr>
                  <w:rFonts w:hint="eastAsia" w:ascii="宋体" w:hAnsi="宋体" w:eastAsia="宋体" w:cs="宋体"/>
                  <w:b w:val="0"/>
                  <w:bCs w:val="0"/>
                  <w:sz w:val="21"/>
                  <w:szCs w:val="21"/>
                </w:rPr>
                <w:t>7.2 持续推进，将教学改革落到实处</w:t>
              </w:r>
            </w:sdtContent>
          </w:sdt>
          <w:r>
            <w:rPr>
              <w:rFonts w:hint="eastAsia" w:ascii="宋体" w:hAnsi="宋体" w:eastAsia="宋体" w:cs="宋体"/>
              <w:b w:val="0"/>
              <w:bCs w:val="0"/>
              <w:sz w:val="21"/>
              <w:szCs w:val="21"/>
            </w:rPr>
            <w:tab/>
          </w:r>
          <w:bookmarkStart w:id="19" w:name="_Toc717530092_WPSOffice_Level2Page"/>
          <w:r>
            <w:rPr>
              <w:rFonts w:hint="eastAsia" w:ascii="宋体" w:hAnsi="宋体" w:eastAsia="宋体" w:cs="宋体"/>
              <w:b w:val="0"/>
              <w:bCs w:val="0"/>
              <w:sz w:val="24"/>
              <w:szCs w:val="24"/>
            </w:rPr>
            <w:t>3</w:t>
          </w:r>
          <w:r>
            <w:rPr>
              <w:rFonts w:hint="eastAsia" w:ascii="宋体" w:hAnsi="宋体" w:eastAsia="宋体" w:cs="宋体"/>
              <w:b w:val="0"/>
              <w:bCs w:val="0"/>
              <w:sz w:val="24"/>
              <w:szCs w:val="24"/>
              <w:lang w:val="en-US" w:eastAsia="zh-CN"/>
            </w:rPr>
            <w:t>1</w:t>
          </w:r>
          <w:bookmarkEnd w:id="19"/>
          <w:r>
            <w:rPr>
              <w:rFonts w:hint="eastAsia" w:ascii="宋体" w:hAnsi="宋体" w:eastAsia="宋体" w:cs="宋体"/>
              <w:b w:val="0"/>
              <w:bCs w:val="0"/>
              <w:sz w:val="21"/>
              <w:szCs w:val="21"/>
            </w:rPr>
            <w:fldChar w:fldCharType="end"/>
          </w:r>
        </w:p>
        <w:p>
          <w:pPr>
            <w:pStyle w:val="86"/>
            <w:keepNext w:val="0"/>
            <w:keepLines w:val="0"/>
            <w:pageBreakBefore w:val="0"/>
            <w:widowControl/>
            <w:tabs>
              <w:tab w:val="right" w:leader="dot" w:pos="8306"/>
            </w:tabs>
            <w:kinsoku/>
            <w:wordWrap/>
            <w:overflowPunct/>
            <w:topLinePunct w:val="0"/>
            <w:autoSpaceDE/>
            <w:autoSpaceDN/>
            <w:bidi w:val="0"/>
            <w:adjustRightInd/>
            <w:snapToGrid/>
            <w:spacing w:beforeLines="0" w:line="440" w:lineRule="exac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_Toc1526817662_WPSOffice_Level2 </w:instrText>
          </w:r>
          <w:r>
            <w:rPr>
              <w:rFonts w:hint="eastAsia" w:ascii="宋体" w:hAnsi="宋体" w:eastAsia="宋体" w:cs="宋体"/>
              <w:b w:val="0"/>
              <w:bCs w:val="0"/>
              <w:sz w:val="21"/>
              <w:szCs w:val="21"/>
            </w:rPr>
            <w:fldChar w:fldCharType="separate"/>
          </w:r>
          <w:sdt>
            <w:sdtPr>
              <w:rPr>
                <w:rFonts w:hint="eastAsia" w:ascii="宋体" w:hAnsi="宋体" w:eastAsia="宋体" w:cs="宋体"/>
                <w:b w:val="0"/>
                <w:bCs w:val="0"/>
                <w:kern w:val="0"/>
                <w:sz w:val="21"/>
                <w:szCs w:val="21"/>
                <w:lang w:val="en-US" w:eastAsia="zh-CN" w:bidi="ar-SA"/>
              </w:rPr>
              <w:id w:val="987453776"/>
              <w:placeholder>
                <w:docPart w:val="{e55ca8ee-3758-49e9-87e0-ab0f3abc4dd2}"/>
              </w:placeholder>
            </w:sdtPr>
            <w:sdtEndPr>
              <w:rPr>
                <w:rFonts w:hint="eastAsia" w:ascii="宋体" w:hAnsi="宋体" w:eastAsia="宋体" w:cs="宋体"/>
                <w:b w:val="0"/>
                <w:bCs w:val="0"/>
                <w:kern w:val="0"/>
                <w:sz w:val="21"/>
                <w:szCs w:val="21"/>
                <w:lang w:val="en-US" w:eastAsia="zh-CN" w:bidi="ar-SA"/>
              </w:rPr>
            </w:sdtEndPr>
            <w:sdtContent>
              <w:r>
                <w:rPr>
                  <w:rFonts w:hint="eastAsia" w:ascii="宋体" w:hAnsi="宋体" w:eastAsia="宋体" w:cs="宋体"/>
                  <w:b w:val="0"/>
                  <w:bCs w:val="0"/>
                  <w:sz w:val="21"/>
                  <w:szCs w:val="21"/>
                </w:rPr>
                <w:t>7.3 深入课堂一线，纵深推进教学诊改工作</w:t>
              </w:r>
            </w:sdtContent>
          </w:sdt>
          <w:r>
            <w:rPr>
              <w:rFonts w:hint="eastAsia" w:ascii="宋体" w:hAnsi="宋体" w:eastAsia="宋体" w:cs="宋体"/>
              <w:b w:val="0"/>
              <w:bCs w:val="0"/>
              <w:sz w:val="21"/>
              <w:szCs w:val="21"/>
            </w:rPr>
            <w:tab/>
          </w:r>
          <w:bookmarkStart w:id="20" w:name="_Toc1526817662_WPSOffice_Level2Page"/>
          <w:r>
            <w:rPr>
              <w:rFonts w:hint="eastAsia" w:ascii="宋体" w:hAnsi="宋体" w:eastAsia="宋体" w:cs="宋体"/>
              <w:b w:val="0"/>
              <w:bCs w:val="0"/>
              <w:sz w:val="24"/>
              <w:szCs w:val="24"/>
            </w:rPr>
            <w:t>3</w:t>
          </w:r>
          <w:r>
            <w:rPr>
              <w:rFonts w:hint="eastAsia" w:ascii="宋体" w:hAnsi="宋体" w:eastAsia="宋体" w:cs="宋体"/>
              <w:b w:val="0"/>
              <w:bCs w:val="0"/>
              <w:sz w:val="24"/>
              <w:szCs w:val="24"/>
              <w:lang w:val="en-US" w:eastAsia="zh-CN"/>
            </w:rPr>
            <w:t>5</w:t>
          </w:r>
          <w:bookmarkEnd w:id="20"/>
          <w:r>
            <w:rPr>
              <w:rFonts w:hint="eastAsia" w:ascii="宋体" w:hAnsi="宋体" w:eastAsia="宋体" w:cs="宋体"/>
              <w:b w:val="0"/>
              <w:bCs w:val="0"/>
              <w:sz w:val="21"/>
              <w:szCs w:val="21"/>
            </w:rPr>
            <w:fldChar w:fldCharType="end"/>
          </w:r>
        </w:p>
        <w:p>
          <w:pPr>
            <w:pStyle w:val="86"/>
            <w:keepNext w:val="0"/>
            <w:keepLines w:val="0"/>
            <w:pageBreakBefore w:val="0"/>
            <w:widowControl/>
            <w:tabs>
              <w:tab w:val="right" w:leader="dot" w:pos="8306"/>
            </w:tabs>
            <w:kinsoku/>
            <w:wordWrap/>
            <w:overflowPunct/>
            <w:topLinePunct w:val="0"/>
            <w:autoSpaceDE/>
            <w:autoSpaceDN/>
            <w:bidi w:val="0"/>
            <w:adjustRightInd/>
            <w:snapToGrid/>
            <w:spacing w:beforeLines="0" w:line="440" w:lineRule="exac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_Toc2094808370_WPSOffice_Level2 </w:instrText>
          </w:r>
          <w:r>
            <w:rPr>
              <w:rFonts w:hint="eastAsia" w:ascii="宋体" w:hAnsi="宋体" w:eastAsia="宋体" w:cs="宋体"/>
              <w:b w:val="0"/>
              <w:bCs w:val="0"/>
              <w:sz w:val="21"/>
              <w:szCs w:val="21"/>
            </w:rPr>
            <w:fldChar w:fldCharType="separate"/>
          </w:r>
          <w:sdt>
            <w:sdtPr>
              <w:rPr>
                <w:rFonts w:hint="eastAsia" w:ascii="宋体" w:hAnsi="宋体" w:eastAsia="宋体" w:cs="宋体"/>
                <w:b w:val="0"/>
                <w:bCs w:val="0"/>
                <w:kern w:val="0"/>
                <w:sz w:val="21"/>
                <w:szCs w:val="21"/>
                <w:lang w:val="en-US" w:eastAsia="zh-CN" w:bidi="ar-SA"/>
              </w:rPr>
              <w:id w:val="987453776"/>
              <w:placeholder>
                <w:docPart w:val="{2bfb342e-29b7-4377-b846-6589a471c810}"/>
              </w:placeholder>
            </w:sdtPr>
            <w:sdtEndPr>
              <w:rPr>
                <w:rFonts w:hint="eastAsia" w:ascii="宋体" w:hAnsi="宋体" w:eastAsia="宋体" w:cs="宋体"/>
                <w:b w:val="0"/>
                <w:bCs w:val="0"/>
                <w:kern w:val="0"/>
                <w:sz w:val="21"/>
                <w:szCs w:val="21"/>
                <w:lang w:val="en-US" w:eastAsia="zh-CN" w:bidi="ar-SA"/>
              </w:rPr>
            </w:sdtEndPr>
            <w:sdtContent>
              <w:r>
                <w:rPr>
                  <w:rFonts w:hint="eastAsia" w:ascii="宋体" w:hAnsi="宋体" w:eastAsia="宋体" w:cs="宋体"/>
                  <w:b w:val="0"/>
                  <w:bCs w:val="0"/>
                  <w:sz w:val="21"/>
                  <w:szCs w:val="21"/>
                </w:rPr>
                <w:t>7.4 全面展示杭州美好教育</w:t>
              </w:r>
            </w:sdtContent>
          </w:sdt>
          <w:r>
            <w:rPr>
              <w:rFonts w:hint="eastAsia" w:ascii="宋体" w:hAnsi="宋体" w:eastAsia="宋体" w:cs="宋体"/>
              <w:b w:val="0"/>
              <w:bCs w:val="0"/>
              <w:sz w:val="21"/>
              <w:szCs w:val="21"/>
            </w:rPr>
            <w:tab/>
          </w:r>
          <w:bookmarkStart w:id="21" w:name="_Toc2094808370_WPSOffice_Level2Page"/>
          <w:r>
            <w:rPr>
              <w:rFonts w:hint="eastAsia" w:ascii="宋体" w:hAnsi="宋体" w:eastAsia="宋体" w:cs="宋体"/>
              <w:b w:val="0"/>
              <w:bCs w:val="0"/>
              <w:sz w:val="24"/>
              <w:szCs w:val="24"/>
            </w:rPr>
            <w:t>3</w:t>
          </w:r>
          <w:bookmarkEnd w:id="21"/>
          <w:r>
            <w:rPr>
              <w:rFonts w:hint="eastAsia" w:ascii="宋体" w:hAnsi="宋体" w:eastAsia="宋体" w:cs="宋体"/>
              <w:b w:val="0"/>
              <w:bCs w:val="0"/>
              <w:sz w:val="21"/>
              <w:szCs w:val="21"/>
            </w:rPr>
            <w:fldChar w:fldCharType="end"/>
          </w:r>
          <w:r>
            <w:rPr>
              <w:rFonts w:hint="eastAsia" w:ascii="宋体" w:hAnsi="宋体" w:cs="宋体"/>
              <w:b w:val="0"/>
              <w:bCs w:val="0"/>
              <w:sz w:val="24"/>
              <w:szCs w:val="24"/>
              <w:lang w:val="en-US" w:eastAsia="zh-CN"/>
            </w:rPr>
            <w:t>6</w:t>
          </w:r>
        </w:p>
        <w:p>
          <w:pPr>
            <w:pStyle w:val="85"/>
            <w:keepNext w:val="0"/>
            <w:keepLines w:val="0"/>
            <w:pageBreakBefore w:val="0"/>
            <w:widowControl/>
            <w:tabs>
              <w:tab w:val="right" w:leader="dot" w:pos="8306"/>
            </w:tabs>
            <w:kinsoku/>
            <w:wordWrap/>
            <w:overflowPunct/>
            <w:topLinePunct w:val="0"/>
            <w:autoSpaceDE/>
            <w:autoSpaceDN/>
            <w:bidi w:val="0"/>
            <w:adjustRightInd/>
            <w:snapToGrid/>
            <w:spacing w:before="63" w:beforeLines="2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_Toc242367033_WPSOffice_Level1 </w:instrText>
          </w:r>
          <w:r>
            <w:rPr>
              <w:rFonts w:hint="eastAsia" w:ascii="宋体" w:hAnsi="宋体" w:eastAsia="宋体" w:cs="宋体"/>
              <w:b w:val="0"/>
              <w:bCs w:val="0"/>
              <w:sz w:val="21"/>
              <w:szCs w:val="21"/>
            </w:rPr>
            <w:fldChar w:fldCharType="separate"/>
          </w:r>
          <w:sdt>
            <w:sdtPr>
              <w:rPr>
                <w:rFonts w:hint="eastAsia" w:ascii="宋体" w:hAnsi="宋体" w:eastAsia="宋体" w:cs="宋体"/>
                <w:b w:val="0"/>
                <w:bCs w:val="0"/>
                <w:kern w:val="0"/>
                <w:sz w:val="28"/>
                <w:szCs w:val="28"/>
                <w:lang w:val="en-US" w:eastAsia="zh-CN" w:bidi="ar-SA"/>
              </w:rPr>
              <w:id w:val="987453776"/>
              <w:placeholder>
                <w:docPart w:val="{1dee2f24-9fdd-4440-ab82-04ffb679c369}"/>
              </w:placeholder>
            </w:sdtPr>
            <w:sdtEndPr>
              <w:rPr>
                <w:rFonts w:hint="eastAsia" w:ascii="宋体" w:hAnsi="宋体" w:eastAsia="宋体" w:cs="宋体"/>
                <w:b w:val="0"/>
                <w:bCs w:val="0"/>
                <w:kern w:val="0"/>
                <w:sz w:val="28"/>
                <w:szCs w:val="28"/>
                <w:lang w:val="en-US" w:eastAsia="zh-CN" w:bidi="ar-SA"/>
              </w:rPr>
            </w:sdtEndPr>
            <w:sdtContent>
              <w:r>
                <w:rPr>
                  <w:rFonts w:hint="eastAsia" w:ascii="黑体" w:hAnsi="黑体" w:eastAsia="黑体" w:cs="黑体"/>
                  <w:b w:val="0"/>
                  <w:bCs w:val="0"/>
                  <w:sz w:val="24"/>
                  <w:szCs w:val="24"/>
                </w:rPr>
                <w:t>8.党建工作</w:t>
              </w:r>
            </w:sdtContent>
          </w:sdt>
          <w:r>
            <w:rPr>
              <w:rFonts w:hint="eastAsia" w:ascii="宋体" w:hAnsi="宋体" w:eastAsia="宋体" w:cs="宋体"/>
              <w:b w:val="0"/>
              <w:bCs w:val="0"/>
              <w:sz w:val="21"/>
              <w:szCs w:val="21"/>
            </w:rPr>
            <w:fldChar w:fldCharType="end"/>
          </w:r>
        </w:p>
        <w:p>
          <w:pPr>
            <w:pStyle w:val="86"/>
            <w:keepNext w:val="0"/>
            <w:keepLines w:val="0"/>
            <w:pageBreakBefore w:val="0"/>
            <w:widowControl/>
            <w:tabs>
              <w:tab w:val="right" w:leader="dot" w:pos="8306"/>
            </w:tabs>
            <w:kinsoku/>
            <w:wordWrap/>
            <w:overflowPunct/>
            <w:topLinePunct w:val="0"/>
            <w:autoSpaceDE/>
            <w:autoSpaceDN/>
            <w:bidi w:val="0"/>
            <w:adjustRightInd/>
            <w:snapToGrid/>
            <w:spacing w:beforeLines="0" w:line="440" w:lineRule="exac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_Toc1717673607_WPSOffice_Level2 </w:instrText>
          </w:r>
          <w:r>
            <w:rPr>
              <w:rFonts w:hint="eastAsia" w:ascii="宋体" w:hAnsi="宋体" w:eastAsia="宋体" w:cs="宋体"/>
              <w:b w:val="0"/>
              <w:bCs w:val="0"/>
              <w:sz w:val="21"/>
              <w:szCs w:val="21"/>
            </w:rPr>
            <w:fldChar w:fldCharType="separate"/>
          </w:r>
          <w:sdt>
            <w:sdtPr>
              <w:rPr>
                <w:rFonts w:hint="eastAsia" w:ascii="宋体" w:hAnsi="宋体" w:eastAsia="宋体" w:cs="宋体"/>
                <w:b w:val="0"/>
                <w:bCs w:val="0"/>
                <w:kern w:val="0"/>
                <w:sz w:val="21"/>
                <w:szCs w:val="21"/>
                <w:lang w:val="en-US" w:eastAsia="zh-CN" w:bidi="ar-SA"/>
              </w:rPr>
              <w:id w:val="987453776"/>
              <w:placeholder>
                <w:docPart w:val="{764d7baf-ba39-492b-ae2a-c6ed453a5b1d}"/>
              </w:placeholder>
            </w:sdtPr>
            <w:sdtEndPr>
              <w:rPr>
                <w:rFonts w:hint="eastAsia" w:ascii="宋体" w:hAnsi="宋体" w:eastAsia="宋体" w:cs="宋体"/>
                <w:b w:val="0"/>
                <w:bCs w:val="0"/>
                <w:kern w:val="0"/>
                <w:sz w:val="21"/>
                <w:szCs w:val="21"/>
                <w:lang w:val="en-US" w:eastAsia="zh-CN" w:bidi="ar-SA"/>
              </w:rPr>
            </w:sdtEndPr>
            <w:sdtContent>
              <w:r>
                <w:rPr>
                  <w:rFonts w:hint="eastAsia" w:ascii="宋体" w:hAnsi="宋体" w:eastAsia="宋体" w:cs="宋体"/>
                  <w:b w:val="0"/>
                  <w:bCs w:val="0"/>
                  <w:sz w:val="21"/>
                  <w:szCs w:val="21"/>
                </w:rPr>
                <w:t>8.1</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进一步强化理论武装</w:t>
              </w:r>
            </w:sdtContent>
          </w:sdt>
          <w:r>
            <w:rPr>
              <w:rFonts w:hint="eastAsia" w:ascii="宋体" w:hAnsi="宋体" w:eastAsia="宋体" w:cs="宋体"/>
              <w:b w:val="0"/>
              <w:bCs w:val="0"/>
              <w:sz w:val="21"/>
              <w:szCs w:val="21"/>
            </w:rPr>
            <w:tab/>
          </w:r>
          <w:bookmarkStart w:id="22" w:name="_Toc1717673607_WPSOffice_Level2Page"/>
          <w:r>
            <w:rPr>
              <w:rFonts w:hint="eastAsia" w:ascii="宋体" w:hAnsi="宋体" w:eastAsia="宋体" w:cs="宋体"/>
              <w:b w:val="0"/>
              <w:bCs w:val="0"/>
              <w:sz w:val="24"/>
              <w:szCs w:val="24"/>
            </w:rPr>
            <w:t>3</w:t>
          </w:r>
          <w:r>
            <w:rPr>
              <w:rFonts w:hint="eastAsia" w:ascii="宋体" w:hAnsi="宋体" w:eastAsia="宋体" w:cs="宋体"/>
              <w:b w:val="0"/>
              <w:bCs w:val="0"/>
              <w:sz w:val="24"/>
              <w:szCs w:val="24"/>
              <w:lang w:val="en-US" w:eastAsia="zh-CN"/>
            </w:rPr>
            <w:t>8</w:t>
          </w:r>
          <w:bookmarkEnd w:id="22"/>
          <w:r>
            <w:rPr>
              <w:rFonts w:hint="eastAsia" w:ascii="宋体" w:hAnsi="宋体" w:eastAsia="宋体" w:cs="宋体"/>
              <w:b w:val="0"/>
              <w:bCs w:val="0"/>
              <w:sz w:val="21"/>
              <w:szCs w:val="21"/>
            </w:rPr>
            <w:fldChar w:fldCharType="end"/>
          </w:r>
        </w:p>
        <w:p>
          <w:pPr>
            <w:pStyle w:val="86"/>
            <w:keepNext w:val="0"/>
            <w:keepLines w:val="0"/>
            <w:pageBreakBefore w:val="0"/>
            <w:widowControl/>
            <w:tabs>
              <w:tab w:val="right" w:leader="dot" w:pos="8306"/>
            </w:tabs>
            <w:kinsoku/>
            <w:wordWrap/>
            <w:overflowPunct/>
            <w:topLinePunct w:val="0"/>
            <w:autoSpaceDE/>
            <w:autoSpaceDN/>
            <w:bidi w:val="0"/>
            <w:adjustRightInd/>
            <w:snapToGrid/>
            <w:spacing w:beforeLines="0" w:line="44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_Toc296972508_WPSOffice_Level2 </w:instrText>
          </w:r>
          <w:r>
            <w:rPr>
              <w:rFonts w:hint="eastAsia" w:ascii="宋体" w:hAnsi="宋体" w:eastAsia="宋体" w:cs="宋体"/>
              <w:b w:val="0"/>
              <w:bCs w:val="0"/>
              <w:sz w:val="21"/>
              <w:szCs w:val="21"/>
            </w:rPr>
            <w:fldChar w:fldCharType="separate"/>
          </w:r>
          <w:sdt>
            <w:sdtPr>
              <w:rPr>
                <w:rFonts w:hint="eastAsia" w:ascii="宋体" w:hAnsi="宋体" w:eastAsia="宋体" w:cs="宋体"/>
                <w:b w:val="0"/>
                <w:bCs w:val="0"/>
                <w:kern w:val="0"/>
                <w:sz w:val="21"/>
                <w:szCs w:val="21"/>
                <w:lang w:val="en-US" w:eastAsia="zh-CN" w:bidi="ar-SA"/>
              </w:rPr>
              <w:id w:val="987453776"/>
              <w:placeholder>
                <w:docPart w:val="{7faf1278-5e11-4f8b-81f7-14d3850d43b3}"/>
              </w:placeholder>
            </w:sdtPr>
            <w:sdtEndPr>
              <w:rPr>
                <w:rFonts w:hint="eastAsia" w:ascii="宋体" w:hAnsi="宋体" w:eastAsia="宋体" w:cs="宋体"/>
                <w:b w:val="0"/>
                <w:bCs w:val="0"/>
                <w:kern w:val="0"/>
                <w:sz w:val="21"/>
                <w:szCs w:val="21"/>
                <w:lang w:val="en-US" w:eastAsia="zh-CN" w:bidi="ar-SA"/>
              </w:rPr>
            </w:sdtEndPr>
            <w:sdtContent>
              <w:r>
                <w:rPr>
                  <w:rFonts w:hint="eastAsia" w:ascii="宋体" w:hAnsi="宋体" w:eastAsia="宋体" w:cs="宋体"/>
                  <w:b w:val="0"/>
                  <w:bCs w:val="0"/>
                  <w:sz w:val="21"/>
                  <w:szCs w:val="21"/>
                </w:rPr>
                <w:t>8.2 强化党组织的领导核心作用</w:t>
              </w:r>
            </w:sdtContent>
          </w:sdt>
          <w:r>
            <w:rPr>
              <w:rFonts w:hint="eastAsia" w:ascii="宋体" w:hAnsi="宋体" w:eastAsia="宋体" w:cs="宋体"/>
              <w:b w:val="0"/>
              <w:bCs w:val="0"/>
              <w:sz w:val="21"/>
              <w:szCs w:val="21"/>
            </w:rPr>
            <w:tab/>
          </w:r>
          <w:bookmarkStart w:id="23" w:name="_Toc296972508_WPSOffice_Level2Page"/>
          <w:r>
            <w:rPr>
              <w:rFonts w:hint="eastAsia" w:ascii="宋体" w:hAnsi="宋体" w:eastAsia="宋体" w:cs="宋体"/>
              <w:b w:val="0"/>
              <w:bCs w:val="0"/>
              <w:sz w:val="24"/>
              <w:szCs w:val="24"/>
            </w:rPr>
            <w:t>3</w:t>
          </w:r>
          <w:r>
            <w:rPr>
              <w:rFonts w:hint="eastAsia" w:ascii="宋体" w:hAnsi="宋体" w:eastAsia="宋体" w:cs="宋体"/>
              <w:b w:val="0"/>
              <w:bCs w:val="0"/>
              <w:sz w:val="24"/>
              <w:szCs w:val="24"/>
              <w:lang w:val="en-US" w:eastAsia="zh-CN"/>
            </w:rPr>
            <w:t>8</w:t>
          </w:r>
          <w:bookmarkEnd w:id="23"/>
          <w:r>
            <w:rPr>
              <w:rFonts w:hint="eastAsia" w:ascii="宋体" w:hAnsi="宋体" w:eastAsia="宋体" w:cs="宋体"/>
              <w:b w:val="0"/>
              <w:bCs w:val="0"/>
              <w:sz w:val="21"/>
              <w:szCs w:val="21"/>
            </w:rPr>
            <w:fldChar w:fldCharType="end"/>
          </w:r>
        </w:p>
        <w:p>
          <w:pPr>
            <w:pStyle w:val="86"/>
            <w:keepNext w:val="0"/>
            <w:keepLines w:val="0"/>
            <w:pageBreakBefore w:val="0"/>
            <w:widowControl/>
            <w:tabs>
              <w:tab w:val="right" w:leader="dot" w:pos="8306"/>
            </w:tabs>
            <w:kinsoku/>
            <w:wordWrap/>
            <w:overflowPunct/>
            <w:topLinePunct w:val="0"/>
            <w:autoSpaceDE/>
            <w:autoSpaceDN/>
            <w:bidi w:val="0"/>
            <w:adjustRightInd/>
            <w:snapToGrid/>
            <w:spacing w:beforeLines="0" w:line="440" w:lineRule="exac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_Toc1088845048_WPSOffice_Level2 </w:instrText>
          </w:r>
          <w:r>
            <w:rPr>
              <w:rFonts w:hint="eastAsia" w:ascii="宋体" w:hAnsi="宋体" w:eastAsia="宋体" w:cs="宋体"/>
              <w:b w:val="0"/>
              <w:bCs w:val="0"/>
              <w:sz w:val="21"/>
              <w:szCs w:val="21"/>
            </w:rPr>
            <w:fldChar w:fldCharType="separate"/>
          </w:r>
          <w:sdt>
            <w:sdtPr>
              <w:rPr>
                <w:rFonts w:hint="eastAsia" w:ascii="宋体" w:hAnsi="宋体" w:eastAsia="宋体" w:cs="宋体"/>
                <w:b w:val="0"/>
                <w:bCs w:val="0"/>
                <w:kern w:val="0"/>
                <w:sz w:val="21"/>
                <w:szCs w:val="21"/>
                <w:lang w:val="en-US" w:eastAsia="zh-CN" w:bidi="ar-SA"/>
              </w:rPr>
              <w:id w:val="987453776"/>
              <w:placeholder>
                <w:docPart w:val="{88ffeacd-b9ba-483e-94d3-d3f1cdeb7b8c}"/>
              </w:placeholder>
            </w:sdtPr>
            <w:sdtEndPr>
              <w:rPr>
                <w:rFonts w:hint="eastAsia" w:ascii="宋体" w:hAnsi="宋体" w:eastAsia="宋体" w:cs="宋体"/>
                <w:b w:val="0"/>
                <w:bCs w:val="0"/>
                <w:kern w:val="0"/>
                <w:sz w:val="21"/>
                <w:szCs w:val="21"/>
                <w:lang w:val="en-US" w:eastAsia="zh-CN" w:bidi="ar-SA"/>
              </w:rPr>
            </w:sdtEndPr>
            <w:sdtContent>
              <w:r>
                <w:rPr>
                  <w:rFonts w:hint="eastAsia" w:ascii="宋体" w:hAnsi="宋体" w:eastAsia="宋体" w:cs="宋体"/>
                  <w:b w:val="0"/>
                  <w:bCs w:val="0"/>
                  <w:sz w:val="21"/>
                  <w:szCs w:val="21"/>
                </w:rPr>
                <w:t>8.3 深入推进“清廉学校”建设</w:t>
              </w:r>
            </w:sdtContent>
          </w:sdt>
          <w:r>
            <w:rPr>
              <w:rFonts w:hint="eastAsia" w:ascii="宋体" w:hAnsi="宋体" w:eastAsia="宋体" w:cs="宋体"/>
              <w:b w:val="0"/>
              <w:bCs w:val="0"/>
              <w:sz w:val="21"/>
              <w:szCs w:val="21"/>
            </w:rPr>
            <w:tab/>
          </w:r>
          <w:bookmarkStart w:id="24" w:name="_Toc1088845048_WPSOffice_Level2Page"/>
          <w:r>
            <w:rPr>
              <w:rFonts w:hint="eastAsia" w:ascii="宋体" w:hAnsi="宋体" w:eastAsia="宋体" w:cs="宋体"/>
              <w:b w:val="0"/>
              <w:bCs w:val="0"/>
              <w:sz w:val="24"/>
              <w:szCs w:val="24"/>
            </w:rPr>
            <w:t>3</w:t>
          </w:r>
          <w:bookmarkEnd w:id="24"/>
          <w:r>
            <w:rPr>
              <w:rFonts w:hint="eastAsia" w:ascii="宋体" w:hAnsi="宋体" w:eastAsia="宋体" w:cs="宋体"/>
              <w:b w:val="0"/>
              <w:bCs w:val="0"/>
              <w:sz w:val="21"/>
              <w:szCs w:val="21"/>
            </w:rPr>
            <w:fldChar w:fldCharType="end"/>
          </w:r>
          <w:r>
            <w:rPr>
              <w:rFonts w:hint="eastAsia" w:ascii="宋体" w:hAnsi="宋体" w:cs="宋体"/>
              <w:b w:val="0"/>
              <w:bCs w:val="0"/>
              <w:sz w:val="24"/>
              <w:szCs w:val="24"/>
              <w:lang w:val="en-US" w:eastAsia="zh-CN"/>
            </w:rPr>
            <w:t>8</w:t>
          </w:r>
        </w:p>
        <w:p>
          <w:pPr>
            <w:pStyle w:val="86"/>
            <w:keepNext w:val="0"/>
            <w:keepLines w:val="0"/>
            <w:pageBreakBefore w:val="0"/>
            <w:widowControl/>
            <w:tabs>
              <w:tab w:val="right" w:leader="dot" w:pos="8306"/>
            </w:tabs>
            <w:kinsoku/>
            <w:wordWrap/>
            <w:overflowPunct/>
            <w:topLinePunct w:val="0"/>
            <w:autoSpaceDE/>
            <w:autoSpaceDN/>
            <w:bidi w:val="0"/>
            <w:adjustRightInd/>
            <w:snapToGrid/>
            <w:spacing w:beforeLines="0" w:line="440" w:lineRule="exac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_Toc1980275101_WPSOffice_Level2 </w:instrText>
          </w:r>
          <w:r>
            <w:rPr>
              <w:rFonts w:hint="eastAsia" w:ascii="宋体" w:hAnsi="宋体" w:eastAsia="宋体" w:cs="宋体"/>
              <w:b w:val="0"/>
              <w:bCs w:val="0"/>
              <w:sz w:val="21"/>
              <w:szCs w:val="21"/>
            </w:rPr>
            <w:fldChar w:fldCharType="separate"/>
          </w:r>
          <w:sdt>
            <w:sdtPr>
              <w:rPr>
                <w:rFonts w:hint="eastAsia" w:ascii="宋体" w:hAnsi="宋体" w:eastAsia="宋体" w:cs="宋体"/>
                <w:b w:val="0"/>
                <w:bCs w:val="0"/>
                <w:kern w:val="0"/>
                <w:sz w:val="21"/>
                <w:szCs w:val="21"/>
                <w:lang w:val="en-US" w:eastAsia="zh-CN" w:bidi="ar-SA"/>
              </w:rPr>
              <w:id w:val="987453776"/>
              <w:placeholder>
                <w:docPart w:val="{b91b36d6-5971-4279-ac2b-d083fa55156f}"/>
              </w:placeholder>
            </w:sdtPr>
            <w:sdtEndPr>
              <w:rPr>
                <w:rFonts w:hint="eastAsia" w:ascii="宋体" w:hAnsi="宋体" w:eastAsia="宋体" w:cs="宋体"/>
                <w:b w:val="0"/>
                <w:bCs w:val="0"/>
                <w:kern w:val="0"/>
                <w:sz w:val="21"/>
                <w:szCs w:val="21"/>
                <w:lang w:val="en-US" w:eastAsia="zh-CN" w:bidi="ar-SA"/>
              </w:rPr>
            </w:sdtEndPr>
            <w:sdtContent>
              <w:r>
                <w:rPr>
                  <w:rFonts w:hint="eastAsia" w:ascii="宋体" w:hAnsi="宋体" w:eastAsia="宋体" w:cs="宋体"/>
                  <w:b w:val="0"/>
                  <w:bCs w:val="0"/>
                  <w:sz w:val="21"/>
                  <w:szCs w:val="21"/>
                </w:rPr>
                <w:t>8.4</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大力加强干部队伍建设</w:t>
              </w:r>
            </w:sdtContent>
          </w:sdt>
          <w:r>
            <w:rPr>
              <w:rFonts w:hint="eastAsia" w:ascii="宋体" w:hAnsi="宋体" w:eastAsia="宋体" w:cs="宋体"/>
              <w:b w:val="0"/>
              <w:bCs w:val="0"/>
              <w:sz w:val="21"/>
              <w:szCs w:val="21"/>
            </w:rPr>
            <w:tab/>
          </w:r>
          <w:r>
            <w:rPr>
              <w:rFonts w:hint="eastAsia" w:ascii="宋体" w:hAnsi="宋体" w:eastAsia="宋体" w:cs="宋体"/>
              <w:b w:val="0"/>
              <w:bCs w:val="0"/>
              <w:sz w:val="21"/>
              <w:szCs w:val="21"/>
            </w:rPr>
            <w:fldChar w:fldCharType="end"/>
          </w:r>
          <w:r>
            <w:rPr>
              <w:rFonts w:hint="eastAsia" w:ascii="宋体" w:hAnsi="宋体" w:eastAsia="宋体" w:cs="宋体"/>
              <w:b w:val="0"/>
              <w:bCs w:val="0"/>
              <w:sz w:val="24"/>
              <w:szCs w:val="24"/>
              <w:lang w:val="en-US" w:eastAsia="zh-CN"/>
            </w:rPr>
            <w:t>39</w:t>
          </w:r>
        </w:p>
        <w:p>
          <w:pPr>
            <w:pStyle w:val="85"/>
            <w:keepNext w:val="0"/>
            <w:keepLines w:val="0"/>
            <w:pageBreakBefore w:val="0"/>
            <w:widowControl/>
            <w:tabs>
              <w:tab w:val="right" w:leader="dot" w:pos="8306"/>
            </w:tabs>
            <w:kinsoku/>
            <w:wordWrap/>
            <w:overflowPunct/>
            <w:topLinePunct w:val="0"/>
            <w:autoSpaceDE/>
            <w:autoSpaceDN/>
            <w:bidi w:val="0"/>
            <w:adjustRightInd/>
            <w:snapToGrid/>
            <w:spacing w:before="63" w:beforeLines="2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_Toc247496736_WPSOffice_Level1 </w:instrText>
          </w:r>
          <w:r>
            <w:rPr>
              <w:rFonts w:hint="eastAsia" w:ascii="宋体" w:hAnsi="宋体" w:eastAsia="宋体" w:cs="宋体"/>
              <w:b w:val="0"/>
              <w:bCs w:val="0"/>
              <w:sz w:val="21"/>
              <w:szCs w:val="21"/>
            </w:rPr>
            <w:fldChar w:fldCharType="separate"/>
          </w:r>
          <w:sdt>
            <w:sdtPr>
              <w:rPr>
                <w:rFonts w:hint="eastAsia" w:ascii="黑体" w:hAnsi="黑体" w:eastAsia="黑体" w:cs="黑体"/>
                <w:b w:val="0"/>
                <w:bCs w:val="0"/>
                <w:kern w:val="0"/>
                <w:sz w:val="24"/>
                <w:szCs w:val="24"/>
                <w:lang w:val="en-US" w:eastAsia="zh-CN" w:bidi="ar-SA"/>
              </w:rPr>
              <w:id w:val="987453776"/>
              <w:placeholder>
                <w:docPart w:val="{9ecdb9e4-12e6-46d1-b57e-c12390aff8c2}"/>
              </w:placeholder>
            </w:sdtPr>
            <w:sdtEndPr>
              <w:rPr>
                <w:rFonts w:hint="eastAsia" w:ascii="宋体" w:hAnsi="宋体" w:eastAsia="宋体" w:cs="宋体"/>
                <w:b w:val="0"/>
                <w:bCs w:val="0"/>
                <w:kern w:val="0"/>
                <w:sz w:val="24"/>
                <w:szCs w:val="24"/>
                <w:lang w:val="en-US" w:eastAsia="zh-CN" w:bidi="ar-SA"/>
              </w:rPr>
            </w:sdtEndPr>
            <w:sdtContent>
              <w:r>
                <w:rPr>
                  <w:rFonts w:hint="eastAsia" w:ascii="黑体" w:hAnsi="黑体" w:eastAsia="黑体" w:cs="黑体"/>
                  <w:b w:val="0"/>
                  <w:bCs w:val="0"/>
                  <w:sz w:val="24"/>
                  <w:szCs w:val="24"/>
                </w:rPr>
                <w:t>9.问题与措施</w:t>
              </w:r>
            </w:sdtContent>
          </w:sdt>
          <w:r>
            <w:rPr>
              <w:rFonts w:hint="eastAsia" w:ascii="宋体" w:hAnsi="宋体" w:eastAsia="宋体" w:cs="宋体"/>
              <w:b w:val="0"/>
              <w:bCs w:val="0"/>
              <w:sz w:val="21"/>
              <w:szCs w:val="21"/>
            </w:rPr>
            <w:fldChar w:fldCharType="end"/>
          </w:r>
        </w:p>
        <w:p>
          <w:pPr>
            <w:pStyle w:val="86"/>
            <w:keepNext w:val="0"/>
            <w:keepLines w:val="0"/>
            <w:pageBreakBefore w:val="0"/>
            <w:widowControl/>
            <w:tabs>
              <w:tab w:val="right" w:leader="dot" w:pos="8306"/>
            </w:tabs>
            <w:kinsoku/>
            <w:wordWrap/>
            <w:overflowPunct/>
            <w:topLinePunct w:val="0"/>
            <w:autoSpaceDE/>
            <w:autoSpaceDN/>
            <w:bidi w:val="0"/>
            <w:adjustRightInd/>
            <w:snapToGrid/>
            <w:spacing w:beforeLines="0" w:line="440" w:lineRule="exac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_Toc1829813988_WPSOffice_Level2 </w:instrText>
          </w:r>
          <w:r>
            <w:rPr>
              <w:rFonts w:hint="eastAsia" w:ascii="宋体" w:hAnsi="宋体" w:eastAsia="宋体" w:cs="宋体"/>
              <w:b w:val="0"/>
              <w:bCs w:val="0"/>
              <w:sz w:val="21"/>
              <w:szCs w:val="21"/>
            </w:rPr>
            <w:fldChar w:fldCharType="separate"/>
          </w:r>
          <w:sdt>
            <w:sdtPr>
              <w:rPr>
                <w:rFonts w:hint="eastAsia" w:ascii="宋体" w:hAnsi="宋体" w:eastAsia="宋体" w:cs="宋体"/>
                <w:b w:val="0"/>
                <w:bCs w:val="0"/>
                <w:kern w:val="0"/>
                <w:sz w:val="21"/>
                <w:szCs w:val="21"/>
                <w:lang w:val="en-US" w:eastAsia="zh-CN" w:bidi="ar-SA"/>
              </w:rPr>
              <w:id w:val="987453776"/>
              <w:placeholder>
                <w:docPart w:val="{9f8fac78-51ee-4e00-9f93-7614a25796b8}"/>
              </w:placeholder>
            </w:sdtPr>
            <w:sdtEndPr>
              <w:rPr>
                <w:rFonts w:hint="eastAsia" w:ascii="宋体" w:hAnsi="宋体" w:eastAsia="宋体" w:cs="宋体"/>
                <w:b w:val="0"/>
                <w:bCs w:val="0"/>
                <w:kern w:val="0"/>
                <w:sz w:val="21"/>
                <w:szCs w:val="21"/>
                <w:lang w:val="en-US" w:eastAsia="zh-CN" w:bidi="ar-SA"/>
              </w:rPr>
            </w:sdtEndPr>
            <w:sdtContent>
              <w:r>
                <w:rPr>
                  <w:rFonts w:hint="eastAsia" w:ascii="宋体" w:hAnsi="宋体" w:eastAsia="宋体" w:cs="宋体"/>
                  <w:b w:val="0"/>
                  <w:bCs w:val="0"/>
                  <w:sz w:val="21"/>
                  <w:szCs w:val="21"/>
                </w:rPr>
                <w:t>9.1 优质资源不足，</w:t>
              </w:r>
              <w:r>
                <w:rPr>
                  <w:rFonts w:hint="eastAsia" w:ascii="宋体" w:hAnsi="宋体" w:cs="宋体"/>
                  <w:b w:val="0"/>
                  <w:bCs w:val="0"/>
                  <w:sz w:val="21"/>
                  <w:szCs w:val="21"/>
                  <w:lang w:eastAsia="zh-CN"/>
                </w:rPr>
                <w:t>制约职业教育发展</w:t>
              </w:r>
            </w:sdtContent>
          </w:sdt>
          <w:r>
            <w:rPr>
              <w:rFonts w:hint="eastAsia" w:ascii="宋体" w:hAnsi="宋体" w:eastAsia="宋体" w:cs="宋体"/>
              <w:b w:val="0"/>
              <w:bCs w:val="0"/>
              <w:sz w:val="21"/>
              <w:szCs w:val="21"/>
            </w:rPr>
            <w:tab/>
          </w:r>
          <w:r>
            <w:rPr>
              <w:rFonts w:hint="eastAsia" w:ascii="宋体" w:hAnsi="宋体" w:eastAsia="宋体" w:cs="宋体"/>
              <w:b w:val="0"/>
              <w:bCs w:val="0"/>
              <w:sz w:val="21"/>
              <w:szCs w:val="21"/>
            </w:rPr>
            <w:fldChar w:fldCharType="end"/>
          </w:r>
          <w:r>
            <w:rPr>
              <w:rFonts w:hint="eastAsia" w:ascii="宋体" w:hAnsi="宋体" w:cs="宋体"/>
              <w:b w:val="0"/>
              <w:bCs w:val="0"/>
              <w:sz w:val="24"/>
              <w:szCs w:val="24"/>
              <w:lang w:val="en-US" w:eastAsia="zh-CN"/>
            </w:rPr>
            <w:t>39</w:t>
          </w:r>
        </w:p>
        <w:p>
          <w:pPr>
            <w:pStyle w:val="86"/>
            <w:keepNext w:val="0"/>
            <w:keepLines w:val="0"/>
            <w:pageBreakBefore w:val="0"/>
            <w:widowControl/>
            <w:tabs>
              <w:tab w:val="right" w:leader="dot" w:pos="8306"/>
            </w:tabs>
            <w:kinsoku/>
            <w:wordWrap/>
            <w:overflowPunct/>
            <w:topLinePunct w:val="0"/>
            <w:autoSpaceDE/>
            <w:autoSpaceDN/>
            <w:bidi w:val="0"/>
            <w:adjustRightInd/>
            <w:snapToGrid/>
            <w:spacing w:beforeLines="0" w:line="440" w:lineRule="exac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_Toc1054899105_WPSOffice_Level2 </w:instrText>
          </w:r>
          <w:r>
            <w:rPr>
              <w:rFonts w:hint="eastAsia" w:ascii="宋体" w:hAnsi="宋体" w:eastAsia="宋体" w:cs="宋体"/>
              <w:b w:val="0"/>
              <w:bCs w:val="0"/>
              <w:sz w:val="21"/>
              <w:szCs w:val="21"/>
            </w:rPr>
            <w:fldChar w:fldCharType="separate"/>
          </w:r>
          <w:sdt>
            <w:sdtPr>
              <w:rPr>
                <w:rFonts w:hint="eastAsia" w:ascii="宋体" w:hAnsi="宋体" w:eastAsia="宋体" w:cs="宋体"/>
                <w:b w:val="0"/>
                <w:bCs w:val="0"/>
                <w:kern w:val="0"/>
                <w:sz w:val="21"/>
                <w:szCs w:val="21"/>
                <w:lang w:val="en-US" w:eastAsia="zh-CN" w:bidi="ar-SA"/>
              </w:rPr>
              <w:id w:val="987453776"/>
              <w:placeholder>
                <w:docPart w:val="{b9fa7504-7318-4ef2-9ac9-1e00e8e96fa8}"/>
              </w:placeholder>
            </w:sdtPr>
            <w:sdtEndPr>
              <w:rPr>
                <w:rFonts w:hint="eastAsia" w:ascii="宋体" w:hAnsi="宋体" w:eastAsia="宋体" w:cs="宋体"/>
                <w:b w:val="0"/>
                <w:bCs w:val="0"/>
                <w:kern w:val="0"/>
                <w:sz w:val="21"/>
                <w:szCs w:val="21"/>
                <w:lang w:val="en-US" w:eastAsia="zh-CN" w:bidi="ar-SA"/>
              </w:rPr>
            </w:sdtEndPr>
            <w:sdtContent>
              <w:r>
                <w:rPr>
                  <w:rFonts w:hint="eastAsia" w:ascii="宋体" w:hAnsi="宋体" w:eastAsia="宋体" w:cs="宋体"/>
                  <w:b w:val="0"/>
                  <w:bCs w:val="0"/>
                  <w:sz w:val="21"/>
                  <w:szCs w:val="21"/>
                </w:rPr>
                <w:t>9.2 产业结构</w:t>
              </w:r>
              <w:r>
                <w:rPr>
                  <w:rFonts w:hint="eastAsia" w:ascii="宋体" w:hAnsi="宋体" w:cs="宋体"/>
                  <w:b w:val="0"/>
                  <w:bCs w:val="0"/>
                  <w:sz w:val="21"/>
                  <w:szCs w:val="21"/>
                  <w:lang w:eastAsia="zh-CN"/>
                </w:rPr>
                <w:t>调整</w:t>
              </w:r>
              <w:r>
                <w:rPr>
                  <w:rFonts w:hint="eastAsia" w:ascii="宋体" w:hAnsi="宋体" w:eastAsia="宋体" w:cs="宋体"/>
                  <w:b w:val="0"/>
                  <w:bCs w:val="0"/>
                  <w:sz w:val="21"/>
                  <w:szCs w:val="21"/>
                </w:rPr>
                <w:t>，亟需提质培优统筹谋划</w:t>
              </w:r>
            </w:sdtContent>
          </w:sdt>
          <w:r>
            <w:rPr>
              <w:rFonts w:hint="eastAsia" w:ascii="宋体" w:hAnsi="宋体" w:eastAsia="宋体" w:cs="宋体"/>
              <w:b w:val="0"/>
              <w:bCs w:val="0"/>
              <w:sz w:val="21"/>
              <w:szCs w:val="21"/>
            </w:rPr>
            <w:tab/>
          </w:r>
          <w:r>
            <w:rPr>
              <w:rFonts w:hint="eastAsia" w:ascii="宋体" w:hAnsi="宋体" w:eastAsia="宋体" w:cs="宋体"/>
              <w:b w:val="0"/>
              <w:bCs w:val="0"/>
              <w:sz w:val="21"/>
              <w:szCs w:val="21"/>
            </w:rPr>
            <w:fldChar w:fldCharType="end"/>
          </w:r>
          <w:r>
            <w:rPr>
              <w:rFonts w:hint="eastAsia" w:ascii="宋体" w:hAnsi="宋体" w:cs="宋体"/>
              <w:b w:val="0"/>
              <w:bCs w:val="0"/>
              <w:sz w:val="24"/>
              <w:szCs w:val="24"/>
              <w:lang w:val="en-US" w:eastAsia="zh-CN"/>
            </w:rPr>
            <w:t>39</w:t>
          </w:r>
        </w:p>
        <w:p>
          <w:pPr>
            <w:pStyle w:val="86"/>
            <w:keepNext w:val="0"/>
            <w:keepLines w:val="0"/>
            <w:pageBreakBefore w:val="0"/>
            <w:widowControl/>
            <w:tabs>
              <w:tab w:val="right" w:leader="dot" w:pos="8306"/>
            </w:tabs>
            <w:kinsoku/>
            <w:wordWrap/>
            <w:overflowPunct/>
            <w:topLinePunct w:val="0"/>
            <w:autoSpaceDE/>
            <w:autoSpaceDN/>
            <w:bidi w:val="0"/>
            <w:adjustRightInd/>
            <w:snapToGrid/>
            <w:spacing w:beforeLines="0" w:line="440" w:lineRule="exac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_Toc2115699063_WPSOffice_Level2 </w:instrText>
          </w:r>
          <w:r>
            <w:rPr>
              <w:rFonts w:hint="eastAsia" w:ascii="宋体" w:hAnsi="宋体" w:eastAsia="宋体" w:cs="宋体"/>
              <w:b w:val="0"/>
              <w:bCs w:val="0"/>
              <w:sz w:val="21"/>
              <w:szCs w:val="21"/>
            </w:rPr>
            <w:fldChar w:fldCharType="separate"/>
          </w:r>
          <w:sdt>
            <w:sdtPr>
              <w:rPr>
                <w:rFonts w:hint="eastAsia" w:ascii="宋体" w:hAnsi="宋体" w:eastAsia="宋体" w:cs="宋体"/>
                <w:b w:val="0"/>
                <w:bCs w:val="0"/>
                <w:kern w:val="0"/>
                <w:sz w:val="21"/>
                <w:szCs w:val="21"/>
                <w:lang w:val="en-US" w:eastAsia="zh-CN" w:bidi="ar-SA"/>
              </w:rPr>
              <w:id w:val="987453776"/>
              <w:placeholder>
                <w:docPart w:val="{817ffbd6-ee70-4ee2-a076-f0573331d185}"/>
              </w:placeholder>
            </w:sdtPr>
            <w:sdtEndPr>
              <w:rPr>
                <w:rFonts w:hint="eastAsia" w:ascii="宋体" w:hAnsi="宋体" w:eastAsia="宋体" w:cs="宋体"/>
                <w:b w:val="0"/>
                <w:bCs w:val="0"/>
                <w:kern w:val="0"/>
                <w:sz w:val="21"/>
                <w:szCs w:val="21"/>
                <w:lang w:val="en-US" w:eastAsia="zh-CN" w:bidi="ar-SA"/>
              </w:rPr>
            </w:sdtEndPr>
            <w:sdtContent>
              <w:r>
                <w:rPr>
                  <w:rFonts w:hint="eastAsia" w:ascii="宋体" w:hAnsi="宋体" w:eastAsia="宋体" w:cs="宋体"/>
                  <w:b w:val="0"/>
                  <w:bCs w:val="0"/>
                  <w:sz w:val="21"/>
                  <w:szCs w:val="21"/>
                </w:rPr>
                <w:t xml:space="preserve">9.3 </w:t>
              </w:r>
              <w:r>
                <w:rPr>
                  <w:rFonts w:hint="eastAsia" w:ascii="宋体" w:hAnsi="宋体" w:cs="宋体"/>
                  <w:b w:val="0"/>
                  <w:bCs w:val="0"/>
                  <w:sz w:val="21"/>
                  <w:szCs w:val="21"/>
                  <w:lang w:eastAsia="zh-CN"/>
                </w:rPr>
                <w:t>深化产教融合</w:t>
              </w:r>
              <w:r>
                <w:rPr>
                  <w:rFonts w:hint="eastAsia" w:ascii="宋体" w:hAnsi="宋体" w:eastAsia="宋体" w:cs="宋体"/>
                  <w:b w:val="0"/>
                  <w:bCs w:val="0"/>
                  <w:sz w:val="21"/>
                  <w:szCs w:val="21"/>
                </w:rPr>
                <w:t>，亟</w:t>
              </w:r>
              <w:r>
                <w:rPr>
                  <w:rFonts w:hint="eastAsia" w:ascii="宋体" w:hAnsi="宋体" w:cs="宋体"/>
                  <w:b w:val="0"/>
                  <w:bCs w:val="0"/>
                  <w:sz w:val="21"/>
                  <w:szCs w:val="21"/>
                  <w:lang w:eastAsia="zh-CN"/>
                </w:rPr>
                <w:t>待政策性制度保障</w:t>
              </w:r>
            </w:sdtContent>
          </w:sdt>
          <w:r>
            <w:rPr>
              <w:rFonts w:hint="eastAsia" w:ascii="宋体" w:hAnsi="宋体" w:eastAsia="宋体" w:cs="宋体"/>
              <w:b w:val="0"/>
              <w:bCs w:val="0"/>
              <w:sz w:val="21"/>
              <w:szCs w:val="21"/>
            </w:rPr>
            <w:tab/>
          </w:r>
          <w:r>
            <w:rPr>
              <w:rFonts w:hint="eastAsia" w:ascii="宋体" w:hAnsi="宋体" w:eastAsia="宋体" w:cs="宋体"/>
              <w:b w:val="0"/>
              <w:bCs w:val="0"/>
              <w:sz w:val="21"/>
              <w:szCs w:val="21"/>
            </w:rPr>
            <w:fldChar w:fldCharType="end"/>
          </w:r>
          <w:r>
            <w:rPr>
              <w:rFonts w:hint="eastAsia" w:ascii="宋体" w:hAnsi="宋体" w:cs="宋体"/>
              <w:b w:val="0"/>
              <w:bCs w:val="0"/>
              <w:sz w:val="24"/>
              <w:szCs w:val="24"/>
              <w:lang w:val="en-US" w:eastAsia="zh-CN"/>
            </w:rPr>
            <w:t>39</w:t>
          </w:r>
        </w:p>
        <w:p>
          <w:pPr>
            <w:pStyle w:val="86"/>
            <w:keepNext w:val="0"/>
            <w:keepLines w:val="0"/>
            <w:pageBreakBefore w:val="0"/>
            <w:widowControl/>
            <w:tabs>
              <w:tab w:val="right" w:leader="dot" w:pos="8306"/>
            </w:tabs>
            <w:kinsoku/>
            <w:wordWrap/>
            <w:overflowPunct/>
            <w:topLinePunct w:val="0"/>
            <w:autoSpaceDE/>
            <w:autoSpaceDN/>
            <w:bidi w:val="0"/>
            <w:adjustRightInd/>
            <w:snapToGrid/>
            <w:spacing w:beforeLines="0" w:line="440" w:lineRule="exac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_Toc29234644_WPSOffice_Level2 </w:instrText>
          </w:r>
          <w:r>
            <w:rPr>
              <w:rFonts w:hint="eastAsia" w:ascii="宋体" w:hAnsi="宋体" w:eastAsia="宋体" w:cs="宋体"/>
              <w:b w:val="0"/>
              <w:bCs w:val="0"/>
              <w:sz w:val="21"/>
              <w:szCs w:val="21"/>
            </w:rPr>
            <w:fldChar w:fldCharType="separate"/>
          </w:r>
          <w:sdt>
            <w:sdtPr>
              <w:rPr>
                <w:rFonts w:hint="eastAsia" w:ascii="宋体" w:hAnsi="宋体" w:eastAsia="宋体" w:cs="宋体"/>
                <w:b w:val="0"/>
                <w:bCs w:val="0"/>
                <w:kern w:val="0"/>
                <w:sz w:val="21"/>
                <w:szCs w:val="21"/>
                <w:lang w:val="en-US" w:eastAsia="zh-CN" w:bidi="ar-SA"/>
              </w:rPr>
              <w:id w:val="987453776"/>
              <w:placeholder>
                <w:docPart w:val="{0f25dea3-bc26-430f-8bb8-240fade5efd9}"/>
              </w:placeholder>
            </w:sdtPr>
            <w:sdtEndPr>
              <w:rPr>
                <w:rFonts w:hint="eastAsia" w:ascii="宋体" w:hAnsi="宋体" w:eastAsia="宋体" w:cs="宋体"/>
                <w:b w:val="0"/>
                <w:bCs w:val="0"/>
                <w:kern w:val="0"/>
                <w:sz w:val="21"/>
                <w:szCs w:val="21"/>
                <w:lang w:val="en-US" w:eastAsia="zh-CN" w:bidi="ar-SA"/>
              </w:rPr>
            </w:sdtEndPr>
            <w:sdtContent>
              <w:r>
                <w:rPr>
                  <w:rFonts w:hint="eastAsia" w:ascii="宋体" w:hAnsi="宋体" w:eastAsia="宋体" w:cs="宋体"/>
                  <w:b w:val="0"/>
                  <w:bCs w:val="0"/>
                  <w:sz w:val="21"/>
                  <w:szCs w:val="21"/>
                </w:rPr>
                <w:t>9.4</w:t>
              </w:r>
              <w:r>
                <w:rPr>
                  <w:rFonts w:hint="eastAsia" w:ascii="宋体" w:hAnsi="宋体" w:eastAsia="宋体" w:cs="宋体"/>
                  <w:b w:val="0"/>
                  <w:bCs w:val="0"/>
                  <w:sz w:val="21"/>
                  <w:szCs w:val="21"/>
                  <w:lang w:val="en-US" w:eastAsia="zh-CN"/>
                </w:rPr>
                <w:t xml:space="preserve"> </w:t>
              </w:r>
              <w:r>
                <w:rPr>
                  <w:rFonts w:hint="eastAsia" w:ascii="宋体" w:hAnsi="宋体" w:cs="宋体"/>
                  <w:b w:val="0"/>
                  <w:bCs w:val="0"/>
                  <w:sz w:val="21"/>
                  <w:szCs w:val="21"/>
                  <w:lang w:eastAsia="zh-CN"/>
                </w:rPr>
                <w:t>认可职业教育</w:t>
              </w:r>
              <w:r>
                <w:rPr>
                  <w:rFonts w:hint="eastAsia" w:ascii="宋体" w:hAnsi="宋体" w:eastAsia="宋体" w:cs="宋体"/>
                  <w:b w:val="0"/>
                  <w:bCs w:val="0"/>
                  <w:sz w:val="21"/>
                  <w:szCs w:val="21"/>
                </w:rPr>
                <w:t>，</w:t>
              </w:r>
              <w:r>
                <w:rPr>
                  <w:rFonts w:hint="eastAsia" w:ascii="宋体" w:hAnsi="宋体" w:cs="宋体"/>
                  <w:b w:val="0"/>
                  <w:bCs w:val="0"/>
                  <w:sz w:val="21"/>
                  <w:szCs w:val="21"/>
                  <w:lang w:eastAsia="zh-CN"/>
                </w:rPr>
                <w:t>良好社会氛围有待营造</w:t>
              </w:r>
            </w:sdtContent>
          </w:sdt>
          <w:r>
            <w:rPr>
              <w:rFonts w:hint="eastAsia" w:ascii="宋体" w:hAnsi="宋体" w:eastAsia="宋体" w:cs="宋体"/>
              <w:b w:val="0"/>
              <w:bCs w:val="0"/>
              <w:sz w:val="21"/>
              <w:szCs w:val="21"/>
            </w:rPr>
            <w:tab/>
          </w:r>
          <w:bookmarkStart w:id="25" w:name="_Toc29234644_WPSOffice_Level2Page"/>
          <w:r>
            <w:rPr>
              <w:rFonts w:hint="eastAsia" w:ascii="宋体" w:hAnsi="宋体" w:eastAsia="宋体" w:cs="宋体"/>
              <w:b w:val="0"/>
              <w:bCs w:val="0"/>
              <w:sz w:val="24"/>
              <w:szCs w:val="24"/>
            </w:rPr>
            <w:t>4</w:t>
          </w:r>
          <w:bookmarkEnd w:id="25"/>
          <w:r>
            <w:rPr>
              <w:rFonts w:hint="eastAsia" w:ascii="宋体" w:hAnsi="宋体" w:eastAsia="宋体" w:cs="宋体"/>
              <w:b w:val="0"/>
              <w:bCs w:val="0"/>
              <w:sz w:val="21"/>
              <w:szCs w:val="21"/>
            </w:rPr>
            <w:fldChar w:fldCharType="end"/>
          </w:r>
          <w:r>
            <w:rPr>
              <w:rFonts w:hint="eastAsia" w:ascii="宋体" w:hAnsi="宋体" w:cs="宋体"/>
              <w:b w:val="0"/>
              <w:bCs w:val="0"/>
              <w:sz w:val="24"/>
              <w:szCs w:val="24"/>
              <w:lang w:val="en-US" w:eastAsia="zh-CN"/>
            </w:rPr>
            <w:t>0</w:t>
          </w:r>
        </w:p>
        <w:p>
          <w:pPr>
            <w:pStyle w:val="85"/>
            <w:keepNext w:val="0"/>
            <w:keepLines w:val="0"/>
            <w:pageBreakBefore w:val="0"/>
            <w:widowControl/>
            <w:tabs>
              <w:tab w:val="right" w:leader="dot" w:pos="8306"/>
            </w:tabs>
            <w:kinsoku/>
            <w:wordWrap/>
            <w:overflowPunct/>
            <w:topLinePunct w:val="0"/>
            <w:autoSpaceDE/>
            <w:autoSpaceDN/>
            <w:bidi w:val="0"/>
            <w:adjustRightInd/>
            <w:snapToGrid/>
            <w:spacing w:before="63" w:beforeLines="20" w:line="240" w:lineRule="auto"/>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_Toc2101170889_WPSOffice_Level1 </w:instrText>
          </w:r>
          <w:r>
            <w:rPr>
              <w:rFonts w:hint="eastAsia" w:ascii="宋体" w:hAnsi="宋体" w:eastAsia="宋体" w:cs="宋体"/>
              <w:b w:val="0"/>
              <w:bCs w:val="0"/>
              <w:sz w:val="28"/>
              <w:szCs w:val="28"/>
            </w:rPr>
            <w:fldChar w:fldCharType="separate"/>
          </w:r>
          <w:sdt>
            <w:sdtPr>
              <w:rPr>
                <w:rFonts w:hint="eastAsia" w:ascii="宋体" w:hAnsi="宋体" w:eastAsia="宋体" w:cs="宋体"/>
                <w:b w:val="0"/>
                <w:bCs w:val="0"/>
                <w:kern w:val="0"/>
                <w:sz w:val="28"/>
                <w:szCs w:val="28"/>
                <w:lang w:val="en-US" w:eastAsia="zh-CN" w:bidi="ar-SA"/>
              </w:rPr>
              <w:id w:val="987453776"/>
              <w:placeholder>
                <w:docPart w:val="{95ac549e-8941-40ea-a4fe-734d64531201}"/>
              </w:placeholder>
            </w:sdtPr>
            <w:sdtEndPr>
              <w:rPr>
                <w:rFonts w:hint="eastAsia" w:ascii="宋体" w:hAnsi="宋体" w:eastAsia="宋体" w:cs="宋体"/>
                <w:b w:val="0"/>
                <w:bCs w:val="0"/>
                <w:kern w:val="0"/>
                <w:sz w:val="28"/>
                <w:szCs w:val="28"/>
                <w:lang w:val="en-US" w:eastAsia="zh-CN" w:bidi="ar-SA"/>
              </w:rPr>
            </w:sdtEndPr>
            <w:sdtContent>
              <w:r>
                <w:rPr>
                  <w:rFonts w:hint="eastAsia" w:ascii="黑体" w:hAnsi="黑体" w:eastAsia="黑体" w:cs="黑体"/>
                  <w:b w:val="0"/>
                  <w:bCs w:val="0"/>
                  <w:sz w:val="24"/>
                  <w:szCs w:val="24"/>
                </w:rPr>
                <w:t>10.愿景与展望</w:t>
              </w:r>
            </w:sdtContent>
          </w:sdt>
          <w:r>
            <w:rPr>
              <w:rFonts w:hint="eastAsia" w:ascii="宋体" w:hAnsi="宋体" w:eastAsia="宋体" w:cs="宋体"/>
              <w:b w:val="0"/>
              <w:bCs w:val="0"/>
              <w:sz w:val="28"/>
              <w:szCs w:val="28"/>
            </w:rPr>
            <w:fldChar w:fldCharType="end"/>
          </w:r>
        </w:p>
        <w:p>
          <w:pPr>
            <w:pStyle w:val="86"/>
            <w:keepNext w:val="0"/>
            <w:keepLines w:val="0"/>
            <w:pageBreakBefore w:val="0"/>
            <w:widowControl/>
            <w:tabs>
              <w:tab w:val="right" w:leader="dot" w:pos="8306"/>
            </w:tabs>
            <w:kinsoku/>
            <w:wordWrap/>
            <w:overflowPunct/>
            <w:topLinePunct w:val="0"/>
            <w:autoSpaceDE/>
            <w:autoSpaceDN/>
            <w:bidi w:val="0"/>
            <w:adjustRightInd/>
            <w:snapToGrid/>
            <w:spacing w:beforeLines="0" w:line="44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_Toc541934249_WPSOffice_Level2 </w:instrText>
          </w:r>
          <w:r>
            <w:rPr>
              <w:rFonts w:hint="eastAsia" w:ascii="宋体" w:hAnsi="宋体" w:eastAsia="宋体" w:cs="宋体"/>
              <w:b w:val="0"/>
              <w:bCs w:val="0"/>
              <w:sz w:val="21"/>
              <w:szCs w:val="21"/>
            </w:rPr>
            <w:fldChar w:fldCharType="separate"/>
          </w:r>
          <w:sdt>
            <w:sdtPr>
              <w:rPr>
                <w:rFonts w:hint="eastAsia" w:ascii="宋体" w:hAnsi="宋体" w:eastAsia="宋体" w:cs="宋体"/>
                <w:b w:val="0"/>
                <w:bCs w:val="0"/>
                <w:kern w:val="0"/>
                <w:sz w:val="21"/>
                <w:szCs w:val="21"/>
                <w:lang w:val="en-US" w:eastAsia="zh-CN" w:bidi="ar-SA"/>
              </w:rPr>
              <w:id w:val="987453776"/>
              <w:placeholder>
                <w:docPart w:val="{a4252951-7e12-4c2e-8145-5263580ff085}"/>
              </w:placeholder>
            </w:sdtPr>
            <w:sdtEndPr>
              <w:rPr>
                <w:rFonts w:hint="eastAsia" w:ascii="宋体" w:hAnsi="宋体" w:eastAsia="宋体" w:cs="宋体"/>
                <w:b w:val="0"/>
                <w:bCs w:val="0"/>
                <w:kern w:val="0"/>
                <w:sz w:val="21"/>
                <w:szCs w:val="21"/>
                <w:lang w:val="en-US" w:eastAsia="zh-CN" w:bidi="ar-SA"/>
              </w:rPr>
            </w:sdtEndPr>
            <w:sdtContent>
              <w:r>
                <w:rPr>
                  <w:rFonts w:hint="eastAsia" w:ascii="宋体" w:hAnsi="宋体" w:eastAsia="宋体" w:cs="宋体"/>
                  <w:b w:val="0"/>
                  <w:bCs w:val="0"/>
                  <w:sz w:val="21"/>
                  <w:szCs w:val="21"/>
                </w:rPr>
                <w:t>10.1 优化中高贯通，构建一体化人才培养体系</w:t>
              </w:r>
            </w:sdtContent>
          </w:sdt>
          <w:r>
            <w:rPr>
              <w:rFonts w:hint="eastAsia" w:ascii="宋体" w:hAnsi="宋体" w:eastAsia="宋体" w:cs="宋体"/>
              <w:b w:val="0"/>
              <w:bCs w:val="0"/>
              <w:sz w:val="21"/>
              <w:szCs w:val="21"/>
            </w:rPr>
            <w:tab/>
          </w:r>
          <w:bookmarkStart w:id="26" w:name="_Toc541934249_WPSOffice_Level2Page"/>
          <w:r>
            <w:rPr>
              <w:rFonts w:hint="eastAsia" w:ascii="宋体" w:hAnsi="宋体" w:eastAsia="宋体" w:cs="宋体"/>
              <w:b w:val="0"/>
              <w:bCs w:val="0"/>
              <w:sz w:val="24"/>
              <w:szCs w:val="24"/>
            </w:rPr>
            <w:t>4</w:t>
          </w:r>
          <w:bookmarkEnd w:id="26"/>
          <w:r>
            <w:rPr>
              <w:rFonts w:hint="eastAsia" w:ascii="宋体" w:hAnsi="宋体" w:eastAsia="宋体" w:cs="宋体"/>
              <w:b w:val="0"/>
              <w:bCs w:val="0"/>
              <w:sz w:val="21"/>
              <w:szCs w:val="21"/>
            </w:rPr>
            <w:fldChar w:fldCharType="end"/>
          </w:r>
          <w:r>
            <w:rPr>
              <w:rFonts w:hint="eastAsia" w:ascii="宋体" w:hAnsi="宋体" w:cs="宋体"/>
              <w:b w:val="0"/>
              <w:bCs w:val="0"/>
              <w:sz w:val="24"/>
              <w:szCs w:val="24"/>
              <w:lang w:val="en-US" w:eastAsia="zh-CN"/>
            </w:rPr>
            <w:t>0</w:t>
          </w:r>
        </w:p>
        <w:p>
          <w:pPr>
            <w:pStyle w:val="86"/>
            <w:keepNext w:val="0"/>
            <w:keepLines w:val="0"/>
            <w:pageBreakBefore w:val="0"/>
            <w:widowControl/>
            <w:tabs>
              <w:tab w:val="right" w:leader="dot" w:pos="8306"/>
            </w:tabs>
            <w:kinsoku/>
            <w:wordWrap/>
            <w:overflowPunct/>
            <w:topLinePunct w:val="0"/>
            <w:autoSpaceDE/>
            <w:autoSpaceDN/>
            <w:bidi w:val="0"/>
            <w:adjustRightInd/>
            <w:snapToGrid/>
            <w:spacing w:beforeLines="0" w:line="440" w:lineRule="exac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_Toc128245286_WPSOffice_Level2 </w:instrText>
          </w:r>
          <w:r>
            <w:rPr>
              <w:rFonts w:hint="eastAsia" w:ascii="宋体" w:hAnsi="宋体" w:eastAsia="宋体" w:cs="宋体"/>
              <w:b w:val="0"/>
              <w:bCs w:val="0"/>
              <w:sz w:val="21"/>
              <w:szCs w:val="21"/>
            </w:rPr>
            <w:fldChar w:fldCharType="separate"/>
          </w:r>
          <w:sdt>
            <w:sdtPr>
              <w:rPr>
                <w:rFonts w:hint="eastAsia" w:ascii="宋体" w:hAnsi="宋体" w:eastAsia="宋体" w:cs="宋体"/>
                <w:b w:val="0"/>
                <w:bCs w:val="0"/>
                <w:kern w:val="0"/>
                <w:sz w:val="21"/>
                <w:szCs w:val="21"/>
                <w:lang w:val="en-US" w:eastAsia="zh-CN" w:bidi="ar-SA"/>
              </w:rPr>
              <w:id w:val="987453776"/>
              <w:placeholder>
                <w:docPart w:val="{39453a94-4d96-4423-bf7b-1329f4877e4f}"/>
              </w:placeholder>
            </w:sdtPr>
            <w:sdtEndPr>
              <w:rPr>
                <w:rFonts w:hint="eastAsia" w:ascii="宋体" w:hAnsi="宋体" w:eastAsia="宋体" w:cs="宋体"/>
                <w:b w:val="0"/>
                <w:bCs w:val="0"/>
                <w:kern w:val="0"/>
                <w:sz w:val="21"/>
                <w:szCs w:val="21"/>
                <w:lang w:val="en-US" w:eastAsia="zh-CN" w:bidi="ar-SA"/>
              </w:rPr>
            </w:sdtEndPr>
            <w:sdtContent>
              <w:r>
                <w:rPr>
                  <w:rFonts w:hint="eastAsia" w:ascii="宋体" w:hAnsi="宋体" w:eastAsia="宋体" w:cs="宋体"/>
                  <w:b w:val="0"/>
                  <w:bCs w:val="0"/>
                  <w:sz w:val="21"/>
                  <w:szCs w:val="21"/>
                </w:rPr>
                <w:t>10.2 加快提质赋能，助推职业教育高质量发展</w:t>
              </w:r>
            </w:sdtContent>
          </w:sdt>
          <w:r>
            <w:rPr>
              <w:rFonts w:hint="eastAsia" w:ascii="宋体" w:hAnsi="宋体" w:eastAsia="宋体" w:cs="宋体"/>
              <w:b w:val="0"/>
              <w:bCs w:val="0"/>
              <w:sz w:val="21"/>
              <w:szCs w:val="21"/>
            </w:rPr>
            <w:tab/>
          </w:r>
          <w:bookmarkStart w:id="27" w:name="_Toc128245286_WPSOffice_Level2Page"/>
          <w:r>
            <w:rPr>
              <w:rFonts w:hint="eastAsia" w:ascii="宋体" w:hAnsi="宋体" w:eastAsia="宋体" w:cs="宋体"/>
              <w:b w:val="0"/>
              <w:bCs w:val="0"/>
              <w:sz w:val="24"/>
              <w:szCs w:val="24"/>
            </w:rPr>
            <w:t>4</w:t>
          </w:r>
          <w:bookmarkEnd w:id="27"/>
          <w:r>
            <w:rPr>
              <w:rFonts w:hint="eastAsia" w:ascii="宋体" w:hAnsi="宋体" w:eastAsia="宋体" w:cs="宋体"/>
              <w:b w:val="0"/>
              <w:bCs w:val="0"/>
              <w:sz w:val="21"/>
              <w:szCs w:val="21"/>
            </w:rPr>
            <w:fldChar w:fldCharType="end"/>
          </w:r>
          <w:r>
            <w:rPr>
              <w:rFonts w:hint="eastAsia" w:ascii="宋体" w:hAnsi="宋体" w:cs="宋体"/>
              <w:b w:val="0"/>
              <w:bCs w:val="0"/>
              <w:sz w:val="24"/>
              <w:szCs w:val="24"/>
              <w:lang w:val="en-US" w:eastAsia="zh-CN"/>
            </w:rPr>
            <w:t>1</w:t>
          </w:r>
        </w:p>
        <w:p>
          <w:pPr>
            <w:pStyle w:val="86"/>
            <w:keepNext w:val="0"/>
            <w:keepLines w:val="0"/>
            <w:pageBreakBefore w:val="0"/>
            <w:widowControl/>
            <w:tabs>
              <w:tab w:val="right" w:leader="dot" w:pos="8306"/>
            </w:tabs>
            <w:kinsoku/>
            <w:wordWrap/>
            <w:overflowPunct/>
            <w:topLinePunct w:val="0"/>
            <w:autoSpaceDE/>
            <w:autoSpaceDN/>
            <w:bidi w:val="0"/>
            <w:adjustRightInd/>
            <w:snapToGrid/>
            <w:spacing w:beforeLines="0" w:line="440" w:lineRule="exac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_Toc1749439706_WPSOffice_Level2 </w:instrText>
          </w:r>
          <w:r>
            <w:rPr>
              <w:rFonts w:hint="eastAsia" w:ascii="宋体" w:hAnsi="宋体" w:eastAsia="宋体" w:cs="宋体"/>
              <w:b w:val="0"/>
              <w:bCs w:val="0"/>
              <w:sz w:val="21"/>
              <w:szCs w:val="21"/>
            </w:rPr>
            <w:fldChar w:fldCharType="separate"/>
          </w:r>
          <w:sdt>
            <w:sdtPr>
              <w:rPr>
                <w:rFonts w:hint="eastAsia" w:ascii="宋体" w:hAnsi="宋体" w:eastAsia="宋体" w:cs="宋体"/>
                <w:b w:val="0"/>
                <w:bCs w:val="0"/>
                <w:kern w:val="0"/>
                <w:sz w:val="21"/>
                <w:szCs w:val="21"/>
                <w:lang w:val="en-US" w:eastAsia="zh-CN" w:bidi="ar-SA"/>
              </w:rPr>
              <w:id w:val="987453776"/>
              <w:placeholder>
                <w:docPart w:val="{d3e20530-247a-46dc-8fea-20af2b5122a9}"/>
              </w:placeholder>
            </w:sdtPr>
            <w:sdtEndPr>
              <w:rPr>
                <w:rFonts w:hint="eastAsia" w:ascii="宋体" w:hAnsi="宋体" w:eastAsia="宋体" w:cs="宋体"/>
                <w:b w:val="0"/>
                <w:bCs w:val="0"/>
                <w:kern w:val="0"/>
                <w:sz w:val="21"/>
                <w:szCs w:val="21"/>
                <w:lang w:val="en-US" w:eastAsia="zh-CN" w:bidi="ar-SA"/>
              </w:rPr>
            </w:sdtEndPr>
            <w:sdtContent>
              <w:r>
                <w:rPr>
                  <w:rFonts w:hint="eastAsia" w:ascii="宋体" w:hAnsi="宋体" w:eastAsia="宋体" w:cs="宋体"/>
                  <w:b w:val="0"/>
                  <w:bCs w:val="0"/>
                  <w:sz w:val="21"/>
                  <w:szCs w:val="21"/>
                </w:rPr>
                <w:t>10.3 深化产教融合，构建多元办学新格局</w:t>
              </w:r>
            </w:sdtContent>
          </w:sdt>
          <w:r>
            <w:rPr>
              <w:rFonts w:hint="eastAsia" w:ascii="宋体" w:hAnsi="宋体" w:eastAsia="宋体" w:cs="宋体"/>
              <w:b w:val="0"/>
              <w:bCs w:val="0"/>
              <w:sz w:val="21"/>
              <w:szCs w:val="21"/>
            </w:rPr>
            <w:tab/>
          </w:r>
          <w:bookmarkStart w:id="28" w:name="_Toc1749439706_WPSOffice_Level2Page"/>
          <w:r>
            <w:rPr>
              <w:rFonts w:hint="eastAsia" w:ascii="宋体" w:hAnsi="宋体" w:eastAsia="宋体" w:cs="宋体"/>
              <w:b w:val="0"/>
              <w:bCs w:val="0"/>
              <w:sz w:val="24"/>
              <w:szCs w:val="24"/>
            </w:rPr>
            <w:t>4</w:t>
          </w:r>
          <w:bookmarkEnd w:id="28"/>
          <w:r>
            <w:rPr>
              <w:rFonts w:hint="eastAsia" w:ascii="宋体" w:hAnsi="宋体" w:eastAsia="宋体" w:cs="宋体"/>
              <w:b w:val="0"/>
              <w:bCs w:val="0"/>
              <w:sz w:val="21"/>
              <w:szCs w:val="21"/>
            </w:rPr>
            <w:fldChar w:fldCharType="end"/>
          </w:r>
          <w:r>
            <w:rPr>
              <w:rFonts w:hint="eastAsia" w:ascii="宋体" w:hAnsi="宋体" w:cs="宋体"/>
              <w:b w:val="0"/>
              <w:bCs w:val="0"/>
              <w:sz w:val="24"/>
              <w:szCs w:val="24"/>
              <w:lang w:val="en-US" w:eastAsia="zh-CN"/>
            </w:rPr>
            <w:t>1</w:t>
          </w:r>
        </w:p>
        <w:p>
          <w:pPr>
            <w:pStyle w:val="86"/>
            <w:keepNext w:val="0"/>
            <w:keepLines w:val="0"/>
            <w:pageBreakBefore w:val="0"/>
            <w:widowControl/>
            <w:tabs>
              <w:tab w:val="right" w:leader="dot" w:pos="8306"/>
            </w:tabs>
            <w:kinsoku/>
            <w:wordWrap/>
            <w:overflowPunct/>
            <w:topLinePunct w:val="0"/>
            <w:autoSpaceDE/>
            <w:autoSpaceDN/>
            <w:bidi w:val="0"/>
            <w:adjustRightInd/>
            <w:snapToGrid/>
            <w:spacing w:beforeLines="0" w:line="440" w:lineRule="exact"/>
            <w:textAlignment w:val="auto"/>
            <w:rPr>
              <w:rFonts w:hint="eastAsia" w:ascii="宋体" w:hAnsi="宋体" w:cs="宋体"/>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_Toc1851044466_WPSOffice_Level2 </w:instrText>
          </w:r>
          <w:r>
            <w:rPr>
              <w:rFonts w:hint="eastAsia" w:ascii="宋体" w:hAnsi="宋体" w:eastAsia="宋体" w:cs="宋体"/>
              <w:b w:val="0"/>
              <w:bCs w:val="0"/>
              <w:sz w:val="21"/>
              <w:szCs w:val="21"/>
            </w:rPr>
            <w:fldChar w:fldCharType="separate"/>
          </w:r>
          <w:sdt>
            <w:sdtPr>
              <w:rPr>
                <w:rFonts w:hint="eastAsia" w:ascii="宋体" w:hAnsi="宋体" w:eastAsia="宋体" w:cs="宋体"/>
                <w:b w:val="0"/>
                <w:bCs w:val="0"/>
                <w:kern w:val="0"/>
                <w:sz w:val="21"/>
                <w:szCs w:val="21"/>
                <w:lang w:val="en-US" w:eastAsia="zh-CN" w:bidi="ar-SA"/>
              </w:rPr>
              <w:id w:val="987453776"/>
              <w:placeholder>
                <w:docPart w:val="{27264576-f4a0-4bbf-9d85-bc2fd7d7afad}"/>
              </w:placeholder>
            </w:sdtPr>
            <w:sdtEndPr>
              <w:rPr>
                <w:rFonts w:hint="eastAsia" w:ascii="宋体" w:hAnsi="宋体" w:eastAsia="宋体" w:cs="宋体"/>
                <w:b w:val="0"/>
                <w:bCs w:val="0"/>
                <w:kern w:val="0"/>
                <w:sz w:val="21"/>
                <w:szCs w:val="21"/>
                <w:lang w:val="en-US" w:eastAsia="zh-CN" w:bidi="ar-SA"/>
              </w:rPr>
            </w:sdtEndPr>
            <w:sdtContent>
              <w:r>
                <w:rPr>
                  <w:rFonts w:hint="eastAsia" w:ascii="宋体" w:hAnsi="宋体" w:eastAsia="宋体" w:cs="宋体"/>
                  <w:b w:val="0"/>
                  <w:bCs w:val="0"/>
                  <w:sz w:val="21"/>
                  <w:szCs w:val="21"/>
                </w:rPr>
                <w:t>10.4 深化数智革命，促进优质资源均衡发展</w:t>
              </w:r>
            </w:sdtContent>
          </w:sdt>
          <w:r>
            <w:rPr>
              <w:rFonts w:hint="eastAsia" w:ascii="宋体" w:hAnsi="宋体" w:eastAsia="宋体" w:cs="宋体"/>
              <w:b w:val="0"/>
              <w:bCs w:val="0"/>
              <w:sz w:val="21"/>
              <w:szCs w:val="21"/>
            </w:rPr>
            <w:tab/>
          </w:r>
          <w:bookmarkStart w:id="29" w:name="_Toc1851044466_WPSOffice_Level2Page"/>
          <w:r>
            <w:rPr>
              <w:rFonts w:hint="eastAsia" w:ascii="宋体" w:hAnsi="宋体" w:eastAsia="宋体" w:cs="宋体"/>
              <w:b w:val="0"/>
              <w:bCs w:val="0"/>
              <w:sz w:val="24"/>
              <w:szCs w:val="24"/>
            </w:rPr>
            <w:t>4</w:t>
          </w:r>
          <w:bookmarkEnd w:id="29"/>
          <w:r>
            <w:rPr>
              <w:rFonts w:hint="eastAsia" w:ascii="宋体" w:hAnsi="宋体" w:eastAsia="宋体" w:cs="宋体"/>
              <w:b w:val="0"/>
              <w:bCs w:val="0"/>
              <w:sz w:val="21"/>
              <w:szCs w:val="21"/>
            </w:rPr>
            <w:fldChar w:fldCharType="end"/>
          </w:r>
          <w:bookmarkEnd w:id="2"/>
          <w:r>
            <w:rPr>
              <w:rFonts w:hint="eastAsia" w:ascii="宋体" w:hAnsi="宋体" w:cs="宋体"/>
              <w:b w:val="0"/>
              <w:bCs w:val="0"/>
              <w:sz w:val="24"/>
              <w:szCs w:val="24"/>
              <w:lang w:val="en-US" w:eastAsia="zh-CN"/>
            </w:rPr>
            <w:t>1</w:t>
          </w:r>
        </w:p>
      </w:sdtContent>
    </w:sdt>
    <w:p>
      <w:pPr>
        <w:keepNext w:val="0"/>
        <w:keepLines w:val="0"/>
        <w:pageBreakBefore w:val="0"/>
        <w:widowControl w:val="0"/>
        <w:kinsoku/>
        <w:wordWrap/>
        <w:overflowPunct/>
        <w:topLinePunct w:val="0"/>
        <w:autoSpaceDE/>
        <w:autoSpaceDN/>
        <w:bidi w:val="0"/>
        <w:adjustRightInd/>
        <w:snapToGrid/>
        <w:spacing w:beforeLines="0" w:afterLines="0" w:line="360" w:lineRule="auto"/>
        <w:ind w:right="0"/>
        <w:jc w:val="left"/>
        <w:textAlignment w:val="auto"/>
        <w:outlineLvl w:val="9"/>
        <w:rPr>
          <w:rFonts w:hint="default" w:ascii="仿宋_GB2312" w:hAnsi="仿宋_GB2312" w:eastAsia="仿宋_GB2312" w:cs="仿宋_GB2312"/>
          <w:color w:val="auto"/>
          <w:kern w:val="2"/>
          <w:sz w:val="24"/>
          <w:szCs w:val="24"/>
          <w:lang w:val="en-US" w:eastAsia="zh-CN" w:bidi="ar-SA"/>
        </w:rPr>
        <w:sectPr>
          <w:footerReference r:id="rId3" w:type="default"/>
          <w:pgSz w:w="11906" w:h="16838"/>
          <w:pgMar w:top="1440" w:right="1800" w:bottom="1440" w:left="1800" w:header="851" w:footer="992" w:gutter="0"/>
          <w:pgNumType w:fmt="decimal" w:start="1"/>
          <w:cols w:space="720" w:num="1"/>
          <w:docGrid w:type="lines" w:linePitch="312" w:charSpace="0"/>
        </w:sectPr>
      </w:pPr>
    </w:p>
    <w:p>
      <w:pPr>
        <w:keepNext w:val="0"/>
        <w:keepLines w:val="0"/>
        <w:widowControl/>
        <w:suppressLineNumbers w:val="0"/>
        <w:spacing w:line="600" w:lineRule="exact"/>
        <w:ind w:firstLine="880" w:firstLineChars="200"/>
        <w:jc w:val="both"/>
        <w:rPr>
          <w:rFonts w:hint="eastAsia" w:ascii="方正小标宋简体" w:hAnsi="方正小标宋简体" w:eastAsia="方正小标宋简体" w:cs="方正小标宋简体"/>
          <w:kern w:val="0"/>
          <w:sz w:val="44"/>
          <w:szCs w:val="44"/>
          <w:lang w:val="en-US" w:eastAsia="zh-CN" w:bidi="ar"/>
        </w:rPr>
      </w:pPr>
    </w:p>
    <w:p>
      <w:pPr>
        <w:keepNext w:val="0"/>
        <w:keepLines w:val="0"/>
        <w:widowControl/>
        <w:suppressLineNumbers w:val="0"/>
        <w:spacing w:line="600" w:lineRule="exact"/>
        <w:ind w:firstLine="880" w:firstLineChars="200"/>
        <w:jc w:val="both"/>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杭州市中等职业教育质量年度报告</w:t>
      </w:r>
    </w:p>
    <w:p>
      <w:pPr>
        <w:keepNext w:val="0"/>
        <w:keepLines w:val="0"/>
        <w:widowControl/>
        <w:suppressLineNumbers w:val="0"/>
        <w:spacing w:line="600" w:lineRule="exact"/>
        <w:jc w:val="center"/>
        <w:rPr>
          <w:rFonts w:hint="eastAsia" w:ascii="方正小标宋简体" w:hAnsi="方正小标宋简体" w:eastAsia="方正小标宋简体" w:cs="方正小标宋简体"/>
          <w:kern w:val="0"/>
          <w:sz w:val="32"/>
          <w:szCs w:val="32"/>
          <w:lang w:val="en-US" w:eastAsia="zh-CN" w:bidi="ar"/>
        </w:rPr>
      </w:pPr>
      <w:r>
        <w:rPr>
          <w:rFonts w:hint="eastAsia" w:ascii="方正小标宋简体" w:hAnsi="方正小标宋简体" w:eastAsia="方正小标宋简体" w:cs="方正小标宋简体"/>
          <w:kern w:val="0"/>
          <w:sz w:val="32"/>
          <w:szCs w:val="32"/>
          <w:lang w:val="en-US" w:eastAsia="zh-CN" w:bidi="ar"/>
        </w:rPr>
        <w:t>（2020年）</w:t>
      </w:r>
    </w:p>
    <w:p>
      <w:pPr>
        <w:widowControl w:val="0"/>
        <w:wordWrap/>
        <w:adjustRightInd/>
        <w:snapToGrid/>
        <w:spacing w:beforeLines="0" w:afterLines="0" w:line="360" w:lineRule="auto"/>
        <w:ind w:left="0" w:leftChars="0" w:right="0" w:firstLine="420" w:firstLineChars="200"/>
        <w:jc w:val="left"/>
        <w:textAlignment w:val="auto"/>
        <w:outlineLvl w:val="9"/>
        <w:rPr>
          <w:rFonts w:hint="eastAsia" w:ascii="宋体" w:hAnsi="宋体" w:eastAsia="宋体" w:cs="宋体"/>
          <w:color w:val="auto"/>
          <w:kern w:val="2"/>
          <w:sz w:val="21"/>
          <w:szCs w:val="21"/>
          <w:lang w:val="en-US" w:eastAsia="zh-CN" w:bidi="ar-SA"/>
        </w:rPr>
      </w:pPr>
    </w:p>
    <w:p>
      <w:pPr>
        <w:widowControl w:val="0"/>
        <w:wordWrap/>
        <w:adjustRightInd/>
        <w:snapToGrid/>
        <w:spacing w:beforeLines="0" w:afterLines="0" w:line="360" w:lineRule="auto"/>
        <w:ind w:left="0" w:leftChars="0" w:right="0" w:firstLine="420" w:firstLineChars="200"/>
        <w:jc w:val="left"/>
        <w:textAlignment w:val="auto"/>
        <w:outlineLvl w:val="9"/>
        <w:rPr>
          <w:rFonts w:hint="eastAsia" w:ascii="宋体" w:hAnsi="宋体" w:eastAsia="宋体" w:cs="宋体"/>
          <w:kern w:val="0"/>
          <w:sz w:val="21"/>
          <w:szCs w:val="21"/>
        </w:rPr>
      </w:pPr>
      <w:r>
        <w:rPr>
          <w:rFonts w:hint="eastAsia" w:ascii="宋体" w:hAnsi="宋体" w:eastAsia="宋体" w:cs="宋体"/>
          <w:color w:val="auto"/>
          <w:kern w:val="2"/>
          <w:sz w:val="21"/>
          <w:szCs w:val="21"/>
          <w:lang w:val="en-US" w:eastAsia="zh-CN" w:bidi="ar-SA"/>
        </w:rPr>
        <w:t>2020年</w:t>
      </w:r>
      <w:r>
        <w:rPr>
          <w:rFonts w:hint="eastAsia" w:ascii="宋体" w:hAnsi="宋体" w:cs="宋体"/>
          <w:color w:val="auto"/>
          <w:kern w:val="2"/>
          <w:sz w:val="21"/>
          <w:szCs w:val="21"/>
          <w:lang w:val="en-US" w:eastAsia="zh-CN" w:bidi="ar-SA"/>
        </w:rPr>
        <w:t>是全面建成小康社会的决胜之年，也是“十三五”规划的收官之年，杭州职教</w:t>
      </w:r>
      <w:r>
        <w:rPr>
          <w:rFonts w:hint="eastAsia" w:ascii="宋体" w:hAnsi="宋体" w:eastAsia="宋体" w:cs="宋体"/>
          <w:sz w:val="21"/>
          <w:szCs w:val="21"/>
        </w:rPr>
        <w:t>深入贯彻</w:t>
      </w:r>
      <w:r>
        <w:rPr>
          <w:rFonts w:hint="eastAsia" w:ascii="宋体" w:hAnsi="宋体" w:cs="宋体"/>
          <w:sz w:val="21"/>
          <w:szCs w:val="21"/>
          <w:lang w:val="en-US" w:eastAsia="zh-CN"/>
        </w:rPr>
        <w:t>习近平新时代中国特色社会主义思想、落实立德树人目标</w:t>
      </w:r>
      <w:r>
        <w:rPr>
          <w:rFonts w:hint="eastAsia" w:ascii="宋体" w:hAnsi="宋体" w:cs="宋体"/>
          <w:color w:val="auto"/>
          <w:kern w:val="2"/>
          <w:sz w:val="21"/>
          <w:szCs w:val="21"/>
          <w:lang w:val="en-US" w:eastAsia="zh-CN" w:bidi="ar-SA"/>
        </w:rPr>
        <w:t>，以干在实处、克难攻坚、走在前列的“排头兵”姿态，</w:t>
      </w:r>
      <w:r>
        <w:rPr>
          <w:rFonts w:hint="eastAsia" w:ascii="宋体" w:hAnsi="宋体" w:eastAsia="宋体" w:cs="宋体"/>
          <w:kern w:val="0"/>
          <w:sz w:val="21"/>
          <w:szCs w:val="21"/>
        </w:rPr>
        <w:t>不断增强职业教育办学活力，大力弘扬“大国工匠”精神，积极打造“杭州职教”品牌，对接区域经济发展，服务建设“六大中心”，初步构建起校企紧密合作、产教深度融合、中职高职有机衔接、职普相互融通的区域现代职业教育体系，加快推进教育现代化、高水平建设“美好职业教育”，为杭州经济社会发展和产业转型升级提供了优质人才资源支撑。</w:t>
      </w:r>
    </w:p>
    <w:p>
      <w:pPr>
        <w:pStyle w:val="2"/>
        <w:adjustRightInd/>
        <w:snapToGrid/>
        <w:spacing w:before="157" w:beforeLines="50" w:after="157" w:afterLines="50" w:afterAutospacing="0" w:line="360" w:lineRule="auto"/>
        <w:ind w:firstLine="360" w:firstLineChars="100"/>
        <w:jc w:val="both"/>
        <w:outlineLvl w:val="9"/>
        <w:rPr>
          <w:rFonts w:hint="eastAsia" w:ascii="黑体" w:hAnsi="黑体" w:eastAsia="黑体" w:cs="黑体"/>
          <w:b w:val="0"/>
          <w:bCs w:val="0"/>
          <w:color w:val="auto"/>
          <w:sz w:val="36"/>
          <w:szCs w:val="36"/>
          <w:lang w:eastAsia="zh-CN"/>
        </w:rPr>
      </w:pPr>
      <w:bookmarkStart w:id="30" w:name="_Toc1989139259_WPSOffice_Level1"/>
      <w:bookmarkStart w:id="31" w:name="_Toc1790769541_WPSOffice_Level1"/>
      <w:bookmarkStart w:id="32" w:name="_Toc1035598941_WPSOffice_Level1"/>
      <w:r>
        <w:rPr>
          <w:rFonts w:hint="eastAsia" w:ascii="黑体" w:hAnsi="黑体" w:eastAsia="黑体" w:cs="黑体"/>
          <w:b w:val="0"/>
          <w:bCs w:val="0"/>
          <w:color w:val="auto"/>
          <w:sz w:val="36"/>
          <w:szCs w:val="36"/>
        </w:rPr>
        <w:t>1</w:t>
      </w:r>
      <w:r>
        <w:rPr>
          <w:rFonts w:hint="eastAsia" w:ascii="黑体" w:hAnsi="黑体" w:eastAsia="黑体" w:cs="黑体"/>
          <w:b w:val="0"/>
          <w:bCs w:val="0"/>
          <w:color w:val="auto"/>
          <w:sz w:val="36"/>
          <w:szCs w:val="36"/>
          <w:lang w:eastAsia="zh-CN"/>
        </w:rPr>
        <w:t>.</w:t>
      </w:r>
      <w:r>
        <w:rPr>
          <w:rFonts w:hint="eastAsia" w:ascii="黑体" w:hAnsi="黑体" w:eastAsia="黑体" w:cs="黑体"/>
          <w:b w:val="0"/>
          <w:bCs w:val="0"/>
          <w:color w:val="auto"/>
          <w:sz w:val="36"/>
          <w:szCs w:val="36"/>
        </w:rPr>
        <w:t>基本情</w:t>
      </w:r>
      <w:bookmarkEnd w:id="30"/>
      <w:r>
        <w:rPr>
          <w:rFonts w:hint="eastAsia" w:ascii="黑体" w:hAnsi="黑体" w:eastAsia="黑体" w:cs="黑体"/>
          <w:b w:val="0"/>
          <w:bCs w:val="0"/>
          <w:color w:val="auto"/>
          <w:sz w:val="36"/>
          <w:szCs w:val="36"/>
        </w:rPr>
        <w:t>况</w:t>
      </w:r>
      <w:bookmarkEnd w:id="0"/>
      <w:bookmarkEnd w:id="1"/>
      <w:bookmarkEnd w:id="31"/>
      <w:bookmarkEnd w:id="32"/>
    </w:p>
    <w:p>
      <w:pPr>
        <w:keepNext/>
        <w:keepLines/>
        <w:wordWrap/>
        <w:adjustRightInd/>
        <w:snapToGrid/>
        <w:spacing w:before="157" w:beforeLines="50" w:after="0" w:afterLines="0" w:line="360" w:lineRule="auto"/>
        <w:ind w:left="0" w:leftChars="0" w:right="0" w:firstLine="450" w:firstLineChars="150"/>
        <w:textAlignment w:val="auto"/>
        <w:outlineLvl w:val="1"/>
        <w:rPr>
          <w:rFonts w:hint="eastAsia" w:ascii="黑体" w:hAnsi="黑体" w:eastAsia="黑体" w:cs="黑体"/>
          <w:b w:val="0"/>
          <w:bCs w:val="0"/>
          <w:color w:val="auto"/>
          <w:kern w:val="44"/>
          <w:sz w:val="30"/>
          <w:szCs w:val="30"/>
          <w:lang w:val="en-US" w:eastAsia="zh-CN"/>
        </w:rPr>
      </w:pPr>
      <w:bookmarkStart w:id="33" w:name="_Toc27608"/>
      <w:bookmarkStart w:id="34" w:name="_Toc1838165439_WPSOffice_Level2"/>
      <w:bookmarkStart w:id="35" w:name="_Toc472863571"/>
      <w:bookmarkStart w:id="36" w:name="_Toc28351848"/>
      <w:bookmarkStart w:id="37" w:name="_Toc505954225"/>
      <w:bookmarkStart w:id="38" w:name="_Toc29046985"/>
      <w:bookmarkStart w:id="39" w:name="_Toc1720205061_WPSOffice_Level2"/>
      <w:r>
        <w:rPr>
          <w:rFonts w:hint="eastAsia" w:ascii="黑体" w:hAnsi="黑体" w:eastAsia="黑体" w:cs="黑体"/>
          <w:b w:val="0"/>
          <w:bCs w:val="0"/>
          <w:color w:val="auto"/>
          <w:kern w:val="44"/>
          <w:sz w:val="30"/>
          <w:szCs w:val="30"/>
          <w:lang w:val="en-US" w:eastAsia="zh-CN"/>
        </w:rPr>
        <w:t>1.1 规模结构</w:t>
      </w:r>
      <w:bookmarkEnd w:id="33"/>
      <w:bookmarkEnd w:id="34"/>
      <w:bookmarkEnd w:id="35"/>
      <w:bookmarkEnd w:id="36"/>
      <w:bookmarkEnd w:id="37"/>
      <w:bookmarkEnd w:id="38"/>
      <w:bookmarkEnd w:id="39"/>
    </w:p>
    <w:p>
      <w:pPr>
        <w:wordWrap/>
        <w:adjustRightInd/>
        <w:snapToGrid/>
        <w:spacing w:beforeLines="0" w:afterLines="0" w:line="360" w:lineRule="auto"/>
        <w:ind w:firstLine="421" w:firstLineChars="200"/>
        <w:textAlignment w:val="auto"/>
        <w:rPr>
          <w:rFonts w:hint="eastAsia" w:ascii="宋体" w:hAnsi="宋体" w:eastAsia="宋体" w:cs="宋体"/>
          <w:color w:val="auto"/>
          <w:kern w:val="0"/>
          <w:sz w:val="21"/>
          <w:szCs w:val="21"/>
          <w:lang w:eastAsia="zh-CN"/>
        </w:rPr>
      </w:pPr>
      <w:r>
        <w:rPr>
          <w:rFonts w:hint="eastAsia" w:ascii="宋体" w:hAnsi="宋体" w:cs="宋体"/>
          <w:b/>
          <w:bCs/>
          <w:sz w:val="21"/>
          <w:szCs w:val="21"/>
        </w:rPr>
        <w:t>普职</w:t>
      </w:r>
      <w:r>
        <w:rPr>
          <w:rFonts w:hint="eastAsia" w:ascii="宋体" w:hAnsi="宋体" w:cs="宋体"/>
          <w:b/>
          <w:bCs/>
          <w:sz w:val="21"/>
          <w:szCs w:val="21"/>
          <w:lang w:val="en-US" w:eastAsia="zh-CN"/>
        </w:rPr>
        <w:t>教育</w:t>
      </w:r>
      <w:r>
        <w:rPr>
          <w:rFonts w:hint="eastAsia" w:ascii="宋体" w:hAnsi="宋体" w:cs="宋体"/>
          <w:b/>
          <w:bCs/>
          <w:sz w:val="21"/>
          <w:szCs w:val="21"/>
        </w:rPr>
        <w:t>并举，优质均衡发展</w:t>
      </w:r>
      <w:r>
        <w:rPr>
          <w:rFonts w:hint="eastAsia" w:ascii="宋体" w:hAnsi="宋体" w:cs="宋体"/>
          <w:b/>
          <w:bCs/>
          <w:color w:val="auto"/>
          <w:sz w:val="21"/>
          <w:szCs w:val="21"/>
          <w:lang w:val="en-US" w:eastAsia="zh-CN"/>
        </w:rPr>
        <w:t>。</w:t>
      </w:r>
      <w:r>
        <w:rPr>
          <w:rFonts w:hint="eastAsia" w:ascii="宋体" w:hAnsi="宋体" w:eastAsia="宋体" w:cs="宋体"/>
          <w:color w:val="auto"/>
          <w:kern w:val="0"/>
          <w:sz w:val="21"/>
          <w:szCs w:val="21"/>
        </w:rPr>
        <w:t>杭州市优化高中段招生制度，不断巩固中等职业教育基础地位。最新统计数据显示，2020年，杭州市各类独立设置的中等职业学校61所，含普通中专7所、成人中专5所、职业高中30所、技工学校19所。其中，国家级重点职高16所，国家级重点中专1所，国家中等职业教育改革发展示范学校4所，浙江省中等职业教育改革发展示范学校14所，浙江省中职名校建设单位6所</w:t>
      </w:r>
      <w:r>
        <w:rPr>
          <w:rFonts w:hint="eastAsia" w:ascii="宋体" w:hAnsi="宋体" w:cs="宋体"/>
          <w:color w:val="auto"/>
          <w:kern w:val="0"/>
          <w:sz w:val="21"/>
          <w:szCs w:val="21"/>
          <w:lang w:eastAsia="zh-CN"/>
        </w:rPr>
        <w:t>，</w:t>
      </w:r>
      <w:r>
        <w:rPr>
          <w:rFonts w:hint="eastAsia" w:ascii="宋体" w:hAnsi="宋体" w:cs="宋体"/>
          <w:color w:val="auto"/>
          <w:sz w:val="21"/>
          <w:szCs w:val="21"/>
          <w:lang w:val="en-US" w:eastAsia="zh-CN"/>
        </w:rPr>
        <w:t>浙江省现代化中职学校6所，</w:t>
      </w:r>
      <w:r>
        <w:rPr>
          <w:rFonts w:hint="eastAsia" w:ascii="宋体" w:hAnsi="宋体" w:cs="宋体"/>
          <w:color w:val="auto"/>
          <w:kern w:val="0"/>
          <w:sz w:val="21"/>
          <w:szCs w:val="21"/>
          <w:lang w:val="en-US" w:eastAsia="zh-CN"/>
        </w:rPr>
        <w:t>浙江</w:t>
      </w:r>
      <w:r>
        <w:rPr>
          <w:rFonts w:hint="eastAsia" w:ascii="宋体" w:hAnsi="宋体" w:eastAsia="宋体" w:cs="宋体"/>
          <w:color w:val="auto"/>
          <w:sz w:val="21"/>
          <w:szCs w:val="21"/>
        </w:rPr>
        <w:t>省</w:t>
      </w:r>
      <w:r>
        <w:rPr>
          <w:rFonts w:hint="eastAsia" w:ascii="宋体" w:hAnsi="宋体" w:eastAsia="宋体" w:cs="宋体"/>
          <w:color w:val="auto"/>
          <w:sz w:val="21"/>
          <w:szCs w:val="21"/>
          <w:lang w:val="en-US" w:eastAsia="zh-CN"/>
        </w:rPr>
        <w:t>高水平</w:t>
      </w:r>
      <w:r>
        <w:rPr>
          <w:rFonts w:hint="eastAsia" w:ascii="宋体" w:hAnsi="宋体" w:eastAsia="宋体" w:cs="宋体"/>
          <w:color w:val="auto"/>
          <w:sz w:val="21"/>
          <w:szCs w:val="21"/>
        </w:rPr>
        <w:t>中职</w:t>
      </w:r>
      <w:r>
        <w:rPr>
          <w:rFonts w:hint="eastAsia" w:ascii="宋体" w:hAnsi="宋体" w:eastAsia="宋体" w:cs="宋体"/>
          <w:color w:val="auto"/>
          <w:sz w:val="21"/>
          <w:szCs w:val="21"/>
          <w:lang w:val="en-US" w:eastAsia="zh-CN"/>
        </w:rPr>
        <w:t>学校建设单位</w:t>
      </w:r>
      <w:r>
        <w:rPr>
          <w:rFonts w:hint="eastAsia" w:ascii="宋体" w:hAnsi="宋体" w:eastAsia="宋体" w:cs="宋体"/>
          <w:color w:val="auto"/>
          <w:sz w:val="21"/>
          <w:szCs w:val="21"/>
        </w:rPr>
        <w:t>6所</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浙江省高水平中职专业建设单位19个。</w:t>
      </w:r>
      <w:r>
        <w:rPr>
          <w:rFonts w:hint="eastAsia" w:ascii="宋体" w:hAnsi="宋体" w:eastAsia="宋体" w:cs="宋体"/>
          <w:color w:val="auto"/>
          <w:kern w:val="0"/>
          <w:sz w:val="21"/>
          <w:szCs w:val="21"/>
        </w:rPr>
        <w:t>全市中等职业学校在校生总数为9</w:t>
      </w:r>
      <w:r>
        <w:rPr>
          <w:rFonts w:hint="eastAsia" w:ascii="宋体" w:hAnsi="宋体" w:cs="宋体"/>
          <w:color w:val="auto"/>
          <w:kern w:val="0"/>
          <w:sz w:val="21"/>
          <w:szCs w:val="21"/>
          <w:lang w:eastAsia="zh-CN"/>
        </w:rPr>
        <w:t>8</w:t>
      </w:r>
      <w:r>
        <w:rPr>
          <w:rFonts w:hint="eastAsia" w:ascii="宋体" w:hAnsi="宋体" w:cs="宋体"/>
          <w:color w:val="auto"/>
          <w:kern w:val="0"/>
          <w:sz w:val="21"/>
          <w:szCs w:val="21"/>
          <w:lang w:val="en-US" w:eastAsia="zh-CN"/>
        </w:rPr>
        <w:t>770</w:t>
      </w:r>
      <w:r>
        <w:rPr>
          <w:rFonts w:hint="eastAsia" w:ascii="宋体" w:hAnsi="宋体" w:eastAsia="宋体" w:cs="宋体"/>
          <w:color w:val="auto"/>
          <w:kern w:val="0"/>
          <w:sz w:val="21"/>
          <w:szCs w:val="21"/>
        </w:rPr>
        <w:t>人（不含成人中专非全日制学生，下同），招生数为</w:t>
      </w:r>
      <w:r>
        <w:rPr>
          <w:rFonts w:hint="eastAsia" w:ascii="宋体" w:hAnsi="宋体" w:cs="宋体"/>
          <w:color w:val="auto"/>
          <w:kern w:val="0"/>
          <w:sz w:val="21"/>
          <w:szCs w:val="21"/>
          <w:lang w:eastAsia="zh-CN"/>
        </w:rPr>
        <w:t>3</w:t>
      </w:r>
      <w:r>
        <w:rPr>
          <w:rFonts w:hint="eastAsia" w:ascii="宋体" w:hAnsi="宋体" w:cs="宋体"/>
          <w:color w:val="auto"/>
          <w:kern w:val="0"/>
          <w:sz w:val="21"/>
          <w:szCs w:val="21"/>
          <w:lang w:val="en-US" w:eastAsia="zh-CN"/>
        </w:rPr>
        <w:t>4932</w:t>
      </w:r>
      <w:r>
        <w:rPr>
          <w:rFonts w:hint="eastAsia" w:ascii="宋体" w:hAnsi="宋体" w:eastAsia="宋体" w:cs="宋体"/>
          <w:color w:val="auto"/>
          <w:kern w:val="0"/>
          <w:sz w:val="21"/>
          <w:szCs w:val="21"/>
        </w:rPr>
        <w:t>人，毕业生数为27</w:t>
      </w:r>
      <w:r>
        <w:rPr>
          <w:rFonts w:hint="eastAsia" w:ascii="宋体" w:hAnsi="宋体" w:cs="宋体"/>
          <w:color w:val="auto"/>
          <w:kern w:val="0"/>
          <w:sz w:val="21"/>
          <w:szCs w:val="21"/>
          <w:lang w:eastAsia="zh-CN"/>
        </w:rPr>
        <w:t>1</w:t>
      </w:r>
      <w:r>
        <w:rPr>
          <w:rFonts w:hint="eastAsia" w:ascii="宋体" w:hAnsi="宋体" w:cs="宋体"/>
          <w:color w:val="auto"/>
          <w:kern w:val="0"/>
          <w:sz w:val="21"/>
          <w:szCs w:val="21"/>
          <w:lang w:val="en-US" w:eastAsia="zh-CN"/>
        </w:rPr>
        <w:t>31</w:t>
      </w:r>
      <w:r>
        <w:rPr>
          <w:rFonts w:hint="eastAsia" w:ascii="宋体" w:hAnsi="宋体" w:eastAsia="宋体" w:cs="宋体"/>
          <w:color w:val="auto"/>
          <w:kern w:val="0"/>
          <w:sz w:val="21"/>
          <w:szCs w:val="21"/>
        </w:rPr>
        <w:t>人。2020年普职招生人数继续保持大体相当，符合国务院和杭州市人民政府关于高中阶段教育规模和结构的要求。</w:t>
      </w:r>
    </w:p>
    <w:p>
      <w:pPr>
        <w:wordWrap/>
        <w:spacing w:beforeLines="0" w:afterLines="0" w:line="360" w:lineRule="auto"/>
        <w:ind w:firstLine="105" w:firstLineChars="50"/>
        <w:jc w:val="center"/>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表1  2019-2020年杭州市中等职业学校办学规模数据表</w:t>
      </w:r>
    </w:p>
    <w:tbl>
      <w:tblPr>
        <w:tblStyle w:val="23"/>
        <w:tblW w:w="84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4"/>
        <w:gridCol w:w="1140"/>
        <w:gridCol w:w="1455"/>
        <w:gridCol w:w="1198"/>
        <w:gridCol w:w="1616"/>
        <w:gridCol w:w="1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24" w:type="dxa"/>
            <w:tcBorders>
              <w:top w:val="single" w:color="auto" w:sz="4" w:space="0"/>
              <w:left w:val="single" w:color="auto" w:sz="4" w:space="0"/>
              <w:bottom w:val="single" w:color="auto" w:sz="4" w:space="0"/>
              <w:right w:val="single" w:color="auto" w:sz="4" w:space="0"/>
              <w:tl2br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 xml:space="preserve">   项目</w:t>
            </w:r>
          </w:p>
          <w:p>
            <w:pPr>
              <w:wordWrap/>
              <w:spacing w:beforeLines="0" w:afterLines="0" w:line="400" w:lineRule="exact"/>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年份</w:t>
            </w:r>
          </w:p>
        </w:tc>
        <w:tc>
          <w:tcPr>
            <w:tcW w:w="1140"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学校数（所）</w:t>
            </w:r>
          </w:p>
        </w:tc>
        <w:tc>
          <w:tcPr>
            <w:tcW w:w="1455"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在校生数（人）</w:t>
            </w:r>
          </w:p>
        </w:tc>
        <w:tc>
          <w:tcPr>
            <w:tcW w:w="1198"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招生数（人）</w:t>
            </w:r>
          </w:p>
        </w:tc>
        <w:tc>
          <w:tcPr>
            <w:tcW w:w="1616"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普职招生比</w:t>
            </w:r>
          </w:p>
        </w:tc>
        <w:tc>
          <w:tcPr>
            <w:tcW w:w="1269"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毕业生数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24" w:type="dxa"/>
            <w:tcBorders>
              <w:top w:val="single" w:color="auto" w:sz="4" w:space="0"/>
              <w:left w:val="single" w:color="auto" w:sz="4" w:space="0"/>
              <w:bottom w:val="single" w:color="auto" w:sz="4" w:space="0"/>
              <w:right w:val="single" w:color="auto" w:sz="4" w:space="0"/>
            </w:tcBorders>
            <w:vAlign w:val="center"/>
          </w:tcPr>
          <w:p>
            <w:pPr>
              <w:pStyle w:val="49"/>
              <w:wordWrap/>
              <w:spacing w:beforeLines="0" w:afterLines="0" w:line="40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2019年</w:t>
            </w:r>
          </w:p>
        </w:tc>
        <w:tc>
          <w:tcPr>
            <w:tcW w:w="1140" w:type="dxa"/>
            <w:tcBorders>
              <w:top w:val="single" w:color="auto" w:sz="4" w:space="0"/>
              <w:left w:val="single" w:color="auto" w:sz="4" w:space="0"/>
              <w:bottom w:val="single" w:color="auto" w:sz="4" w:space="0"/>
              <w:right w:val="single" w:color="auto" w:sz="4" w:space="0"/>
            </w:tcBorders>
            <w:vAlign w:val="center"/>
          </w:tcPr>
          <w:p>
            <w:pPr>
              <w:pStyle w:val="49"/>
              <w:wordWrap/>
              <w:spacing w:beforeLines="0" w:afterLines="0" w:line="40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6</w:t>
            </w:r>
            <w:r>
              <w:rPr>
                <w:rFonts w:hint="eastAsia" w:ascii="仿宋_GB2312" w:hAnsi="仿宋_GB2312" w:eastAsia="仿宋_GB2312" w:cs="仿宋_GB2312"/>
                <w:color w:val="auto"/>
                <w:sz w:val="21"/>
                <w:szCs w:val="21"/>
                <w:lang w:val="en-US" w:eastAsia="zh-CN"/>
              </w:rPr>
              <w:t>1</w:t>
            </w:r>
          </w:p>
        </w:tc>
        <w:tc>
          <w:tcPr>
            <w:tcW w:w="1455" w:type="dxa"/>
            <w:tcBorders>
              <w:top w:val="single" w:color="auto" w:sz="4" w:space="0"/>
              <w:left w:val="single" w:color="auto" w:sz="4" w:space="0"/>
              <w:bottom w:val="single" w:color="auto" w:sz="4" w:space="0"/>
              <w:right w:val="single" w:color="auto" w:sz="4" w:space="0"/>
            </w:tcBorders>
            <w:vAlign w:val="center"/>
          </w:tcPr>
          <w:p>
            <w:pPr>
              <w:pStyle w:val="49"/>
              <w:wordWrap/>
              <w:spacing w:beforeLines="0" w:afterLines="0" w:line="40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91263</w:t>
            </w:r>
          </w:p>
        </w:tc>
        <w:tc>
          <w:tcPr>
            <w:tcW w:w="1198" w:type="dxa"/>
            <w:tcBorders>
              <w:top w:val="single" w:color="auto" w:sz="4" w:space="0"/>
              <w:left w:val="single" w:color="auto" w:sz="4" w:space="0"/>
              <w:bottom w:val="single" w:color="auto" w:sz="4" w:space="0"/>
              <w:right w:val="single" w:color="auto" w:sz="4" w:space="0"/>
            </w:tcBorders>
            <w:vAlign w:val="center"/>
          </w:tcPr>
          <w:p>
            <w:pPr>
              <w:pStyle w:val="49"/>
              <w:wordWrap/>
              <w:spacing w:beforeLines="0" w:afterLines="0" w:line="40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31356</w:t>
            </w:r>
          </w:p>
        </w:tc>
        <w:tc>
          <w:tcPr>
            <w:tcW w:w="1616" w:type="dxa"/>
            <w:tcBorders>
              <w:top w:val="single" w:color="auto" w:sz="4" w:space="0"/>
              <w:left w:val="single" w:color="auto" w:sz="4" w:space="0"/>
              <w:bottom w:val="single" w:color="auto" w:sz="4" w:space="0"/>
              <w:right w:val="single" w:color="auto" w:sz="4" w:space="0"/>
            </w:tcBorders>
            <w:vAlign w:val="center"/>
          </w:tcPr>
          <w:p>
            <w:pPr>
              <w:pStyle w:val="49"/>
              <w:wordWrap/>
              <w:spacing w:beforeLines="0" w:afterLines="0" w:line="40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53.33:46.67</w:t>
            </w:r>
          </w:p>
        </w:tc>
        <w:tc>
          <w:tcPr>
            <w:tcW w:w="1269" w:type="dxa"/>
            <w:tcBorders>
              <w:top w:val="single" w:color="auto" w:sz="4" w:space="0"/>
              <w:left w:val="single" w:color="auto" w:sz="4" w:space="0"/>
              <w:bottom w:val="single" w:color="auto" w:sz="4" w:space="0"/>
              <w:right w:val="single" w:color="auto" w:sz="4" w:space="0"/>
            </w:tcBorders>
            <w:vAlign w:val="center"/>
          </w:tcPr>
          <w:p>
            <w:pPr>
              <w:pStyle w:val="49"/>
              <w:wordWrap/>
              <w:spacing w:beforeLines="0" w:afterLines="0" w:line="40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27388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24" w:type="dxa"/>
            <w:tcBorders>
              <w:top w:val="single" w:color="auto" w:sz="4" w:space="0"/>
              <w:left w:val="single" w:color="auto" w:sz="4" w:space="0"/>
              <w:bottom w:val="single" w:color="auto" w:sz="4" w:space="0"/>
              <w:right w:val="single" w:color="auto" w:sz="4" w:space="0"/>
            </w:tcBorders>
            <w:vAlign w:val="center"/>
          </w:tcPr>
          <w:p>
            <w:pPr>
              <w:pStyle w:val="49"/>
              <w:wordWrap/>
              <w:spacing w:beforeLines="0" w:afterLines="0" w:line="40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2020年</w:t>
            </w:r>
          </w:p>
        </w:tc>
        <w:tc>
          <w:tcPr>
            <w:tcW w:w="1140" w:type="dxa"/>
            <w:tcBorders>
              <w:top w:val="single" w:color="auto" w:sz="4" w:space="0"/>
              <w:left w:val="single" w:color="auto" w:sz="4" w:space="0"/>
              <w:bottom w:val="single" w:color="auto" w:sz="4" w:space="0"/>
              <w:right w:val="single" w:color="auto" w:sz="4" w:space="0"/>
            </w:tcBorders>
            <w:vAlign w:val="center"/>
          </w:tcPr>
          <w:p>
            <w:pPr>
              <w:pStyle w:val="49"/>
              <w:wordWrap/>
              <w:spacing w:beforeLines="0" w:afterLines="0" w:line="400" w:lineRule="exact"/>
              <w:textAlignment w:val="auto"/>
              <w:rPr>
                <w:rFonts w:hint="eastAsia"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lang w:val="en-US" w:eastAsia="zh-CN"/>
              </w:rPr>
              <w:t>61</w:t>
            </w:r>
          </w:p>
        </w:tc>
        <w:tc>
          <w:tcPr>
            <w:tcW w:w="1455" w:type="dxa"/>
            <w:tcBorders>
              <w:top w:val="single" w:color="auto" w:sz="4" w:space="0"/>
              <w:left w:val="single" w:color="auto" w:sz="4" w:space="0"/>
              <w:bottom w:val="single" w:color="auto" w:sz="4" w:space="0"/>
              <w:right w:val="single" w:color="auto" w:sz="4" w:space="0"/>
            </w:tcBorders>
            <w:vAlign w:val="center"/>
          </w:tcPr>
          <w:p>
            <w:pPr>
              <w:pStyle w:val="49"/>
              <w:wordWrap/>
              <w:spacing w:beforeLines="0" w:afterLines="0" w:line="400" w:lineRule="exact"/>
              <w:textAlignment w:val="auto"/>
              <w:rPr>
                <w:rFonts w:hint="eastAsia"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lang w:val="en-US" w:eastAsia="zh-CN"/>
              </w:rPr>
              <w:t>98770</w:t>
            </w:r>
          </w:p>
        </w:tc>
        <w:tc>
          <w:tcPr>
            <w:tcW w:w="1198" w:type="dxa"/>
            <w:tcBorders>
              <w:top w:val="single" w:color="auto" w:sz="4" w:space="0"/>
              <w:left w:val="single" w:color="auto" w:sz="4" w:space="0"/>
              <w:bottom w:val="single" w:color="auto" w:sz="4" w:space="0"/>
              <w:right w:val="single" w:color="auto" w:sz="4" w:space="0"/>
            </w:tcBorders>
            <w:vAlign w:val="center"/>
          </w:tcPr>
          <w:p>
            <w:pPr>
              <w:pStyle w:val="49"/>
              <w:wordWrap/>
              <w:spacing w:beforeLines="0" w:afterLines="0" w:line="400" w:lineRule="exact"/>
              <w:textAlignment w:val="auto"/>
              <w:rPr>
                <w:rFonts w:hint="eastAsia"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lang w:val="en-US" w:eastAsia="zh-CN"/>
              </w:rPr>
              <w:t>34932</w:t>
            </w:r>
          </w:p>
        </w:tc>
        <w:tc>
          <w:tcPr>
            <w:tcW w:w="1616" w:type="dxa"/>
            <w:tcBorders>
              <w:top w:val="single" w:color="auto" w:sz="4" w:space="0"/>
              <w:left w:val="single" w:color="auto" w:sz="4" w:space="0"/>
              <w:bottom w:val="single" w:color="auto" w:sz="4" w:space="0"/>
              <w:right w:val="single" w:color="auto" w:sz="4" w:space="0"/>
            </w:tcBorders>
            <w:vAlign w:val="center"/>
          </w:tcPr>
          <w:p>
            <w:pPr>
              <w:pStyle w:val="49"/>
              <w:wordWrap/>
              <w:spacing w:beforeLines="0" w:afterLines="0" w:line="400" w:lineRule="exact"/>
              <w:textAlignment w:val="auto"/>
              <w:rPr>
                <w:rFonts w:hint="eastAsia"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lang w:val="en-US" w:eastAsia="zh-CN"/>
              </w:rPr>
              <w:t>53.96:46.04</w:t>
            </w:r>
          </w:p>
        </w:tc>
        <w:tc>
          <w:tcPr>
            <w:tcW w:w="1269" w:type="dxa"/>
            <w:tcBorders>
              <w:top w:val="single" w:color="auto" w:sz="4" w:space="0"/>
              <w:left w:val="single" w:color="auto" w:sz="4" w:space="0"/>
              <w:bottom w:val="single" w:color="auto" w:sz="4" w:space="0"/>
              <w:right w:val="single" w:color="auto" w:sz="4" w:space="0"/>
            </w:tcBorders>
            <w:vAlign w:val="center"/>
          </w:tcPr>
          <w:p>
            <w:pPr>
              <w:pStyle w:val="49"/>
              <w:wordWrap/>
              <w:spacing w:beforeLines="0" w:afterLines="0" w:line="400" w:lineRule="exact"/>
              <w:textAlignment w:val="auto"/>
              <w:rPr>
                <w:rFonts w:hint="eastAsia"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lang w:val="en-US" w:eastAsia="zh-CN"/>
              </w:rPr>
              <w:t>27131</w:t>
            </w:r>
          </w:p>
        </w:tc>
      </w:tr>
    </w:tbl>
    <w:p>
      <w:pPr>
        <w:wordWrap/>
        <w:spacing w:beforeLines="0" w:afterLines="0" w:line="360" w:lineRule="auto"/>
        <w:ind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数据来源：《杭州市教育事业</w:t>
      </w:r>
      <w:r>
        <w:rPr>
          <w:rFonts w:hint="eastAsia" w:ascii="仿宋_GB2312" w:hAnsi="仿宋_GB2312" w:eastAsia="仿宋_GB2312" w:cs="仿宋_GB2312"/>
          <w:color w:val="auto"/>
          <w:sz w:val="21"/>
          <w:szCs w:val="21"/>
          <w:lang w:val="en-US" w:eastAsia="zh-CN"/>
        </w:rPr>
        <w:t>统计资料》（</w:t>
      </w:r>
      <w:r>
        <w:rPr>
          <w:rFonts w:hint="eastAsia" w:ascii="仿宋_GB2312" w:hAnsi="仿宋_GB2312" w:eastAsia="仿宋_GB2312" w:cs="仿宋_GB2312"/>
          <w:color w:val="auto"/>
          <w:sz w:val="21"/>
          <w:szCs w:val="21"/>
        </w:rPr>
        <w:t>201</w:t>
      </w:r>
      <w:r>
        <w:rPr>
          <w:rFonts w:hint="eastAsia" w:ascii="仿宋_GB2312" w:hAnsi="仿宋_GB2312" w:eastAsia="仿宋_GB2312" w:cs="仿宋_GB2312"/>
          <w:color w:val="auto"/>
          <w:sz w:val="21"/>
          <w:szCs w:val="21"/>
          <w:lang w:val="en-US" w:eastAsia="zh-CN"/>
        </w:rPr>
        <w:t>9/</w:t>
      </w:r>
      <w:r>
        <w:rPr>
          <w:rFonts w:hint="eastAsia" w:ascii="仿宋_GB2312" w:hAnsi="仿宋_GB2312" w:eastAsia="仿宋_GB2312" w:cs="仿宋_GB2312"/>
          <w:color w:val="auto"/>
          <w:sz w:val="21"/>
          <w:szCs w:val="21"/>
        </w:rPr>
        <w:t>20</w:t>
      </w:r>
      <w:r>
        <w:rPr>
          <w:rFonts w:hint="eastAsia" w:ascii="仿宋_GB2312" w:hAnsi="仿宋_GB2312" w:eastAsia="仿宋_GB2312" w:cs="仿宋_GB2312"/>
          <w:color w:val="auto"/>
          <w:sz w:val="21"/>
          <w:szCs w:val="21"/>
          <w:lang w:eastAsia="zh-CN"/>
        </w:rPr>
        <w:t>2</w:t>
      </w:r>
      <w:r>
        <w:rPr>
          <w:rFonts w:hint="eastAsia" w:ascii="仿宋_GB2312" w:hAnsi="仿宋_GB2312" w:eastAsia="仿宋_GB2312" w:cs="仿宋_GB2312"/>
          <w:color w:val="auto"/>
          <w:sz w:val="21"/>
          <w:szCs w:val="21"/>
          <w:lang w:val="en-US" w:eastAsia="zh-CN"/>
        </w:rPr>
        <w:t>0</w:t>
      </w:r>
      <w:r>
        <w:rPr>
          <w:rFonts w:hint="eastAsia" w:ascii="仿宋_GB2312" w:hAnsi="仿宋_GB2312" w:eastAsia="仿宋_GB2312" w:cs="仿宋_GB2312"/>
          <w:color w:val="auto"/>
          <w:sz w:val="21"/>
          <w:szCs w:val="21"/>
        </w:rPr>
        <w:t>学年</w:t>
      </w:r>
      <w:r>
        <w:rPr>
          <w:rFonts w:hint="eastAsia" w:ascii="仿宋_GB2312" w:hAnsi="仿宋_GB2312" w:eastAsia="仿宋_GB2312" w:cs="仿宋_GB2312"/>
          <w:color w:val="auto"/>
          <w:sz w:val="21"/>
          <w:szCs w:val="21"/>
          <w:lang w:val="en-US" w:eastAsia="zh-CN"/>
        </w:rPr>
        <w:t>初</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20</w:t>
      </w:r>
      <w:r>
        <w:rPr>
          <w:rFonts w:hint="eastAsia" w:ascii="仿宋_GB2312" w:hAnsi="仿宋_GB2312" w:eastAsia="仿宋_GB2312" w:cs="仿宋_GB2312"/>
          <w:color w:val="auto"/>
          <w:sz w:val="21"/>
          <w:szCs w:val="21"/>
          <w:lang w:eastAsia="zh-CN"/>
        </w:rPr>
        <w:t>2</w:t>
      </w:r>
      <w:r>
        <w:rPr>
          <w:rFonts w:hint="eastAsia" w:ascii="仿宋_GB2312" w:hAnsi="仿宋_GB2312" w:eastAsia="仿宋_GB2312" w:cs="仿宋_GB2312"/>
          <w:color w:val="auto"/>
          <w:sz w:val="21"/>
          <w:szCs w:val="21"/>
          <w:lang w:val="en-US" w:eastAsia="zh-CN"/>
        </w:rPr>
        <w:t>0/</w:t>
      </w:r>
      <w:r>
        <w:rPr>
          <w:rFonts w:hint="eastAsia" w:ascii="仿宋_GB2312" w:hAnsi="仿宋_GB2312" w:eastAsia="仿宋_GB2312" w:cs="仿宋_GB2312"/>
          <w:color w:val="auto"/>
          <w:sz w:val="21"/>
          <w:szCs w:val="21"/>
        </w:rPr>
        <w:t>202</w:t>
      </w: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rPr>
        <w:t>学年初</w:t>
      </w:r>
      <w:r>
        <w:rPr>
          <w:rFonts w:hint="eastAsia" w:ascii="仿宋_GB2312" w:hAnsi="仿宋_GB2312" w:eastAsia="仿宋_GB2312" w:cs="仿宋_GB2312"/>
          <w:color w:val="auto"/>
          <w:sz w:val="21"/>
          <w:szCs w:val="21"/>
          <w:lang w:val="en-US" w:eastAsia="zh-CN"/>
        </w:rPr>
        <w:t>）</w:t>
      </w:r>
    </w:p>
    <w:p>
      <w:pPr>
        <w:adjustRightInd/>
        <w:snapToGrid/>
        <w:spacing w:before="157" w:beforeLines="50" w:afterLines="0" w:line="360" w:lineRule="auto"/>
        <w:ind w:firstLine="421" w:firstLineChars="200"/>
        <w:rPr>
          <w:rFonts w:hint="eastAsia" w:ascii="宋体" w:hAnsi="宋体" w:eastAsia="宋体" w:cs="宋体"/>
          <w:kern w:val="0"/>
          <w:sz w:val="21"/>
          <w:szCs w:val="21"/>
        </w:rPr>
      </w:pPr>
      <w:r>
        <w:rPr>
          <w:rFonts w:hint="eastAsia" w:ascii="宋体" w:hAnsi="宋体" w:eastAsia="宋体" w:cs="仿宋_GB2312"/>
          <w:b/>
          <w:kern w:val="0"/>
          <w:sz w:val="21"/>
          <w:szCs w:val="21"/>
        </w:rPr>
        <w:t>学校布局合理，资源配置优化。</w:t>
      </w:r>
      <w:r>
        <w:rPr>
          <w:rFonts w:hint="eastAsia" w:ascii="宋体" w:hAnsi="宋体" w:eastAsia="宋体" w:cs="宋体"/>
          <w:kern w:val="0"/>
          <w:sz w:val="21"/>
          <w:szCs w:val="21"/>
        </w:rPr>
        <w:t>20</w:t>
      </w:r>
      <w:r>
        <w:rPr>
          <w:rFonts w:hint="eastAsia" w:ascii="宋体" w:hAnsi="宋体" w:cs="宋体"/>
          <w:kern w:val="0"/>
          <w:sz w:val="21"/>
          <w:szCs w:val="21"/>
          <w:lang w:val="en-US" w:eastAsia="zh-CN"/>
        </w:rPr>
        <w:t>20</w:t>
      </w:r>
      <w:r>
        <w:rPr>
          <w:rFonts w:hint="eastAsia" w:ascii="宋体" w:hAnsi="宋体" w:eastAsia="宋体" w:cs="宋体"/>
          <w:kern w:val="0"/>
          <w:sz w:val="21"/>
          <w:szCs w:val="21"/>
        </w:rPr>
        <w:t>年杭州市加快中等职业学校新校区的建设进度，不断拓展职业教育优质资源。杭州市中策职校康桥校区</w:t>
      </w:r>
      <w:r>
        <w:rPr>
          <w:rFonts w:hint="eastAsia" w:ascii="宋体" w:hAnsi="宋体" w:cs="宋体"/>
          <w:kern w:val="0"/>
          <w:sz w:val="21"/>
          <w:szCs w:val="21"/>
          <w:lang w:val="en-US" w:eastAsia="zh-CN"/>
        </w:rPr>
        <w:t>正式启用，美术职校新增莫干校区</w:t>
      </w:r>
      <w:r>
        <w:rPr>
          <w:rFonts w:hint="eastAsia" w:ascii="宋体" w:hAnsi="宋体" w:eastAsia="宋体" w:cs="宋体"/>
          <w:kern w:val="0"/>
          <w:sz w:val="21"/>
          <w:szCs w:val="21"/>
        </w:rPr>
        <w:t>。</w:t>
      </w:r>
      <w:r>
        <w:rPr>
          <w:rFonts w:hint="eastAsia" w:ascii="宋体" w:hAnsi="宋体" w:eastAsia="宋体" w:cs="宋体"/>
          <w:color w:val="auto"/>
          <w:sz w:val="21"/>
          <w:szCs w:val="21"/>
          <w:lang w:eastAsia="zh-CN"/>
        </w:rPr>
        <w:t>全市有</w:t>
      </w:r>
      <w:r>
        <w:rPr>
          <w:rFonts w:hint="eastAsia" w:ascii="宋体" w:hAnsi="宋体" w:eastAsia="宋体" w:cs="宋体"/>
          <w:color w:val="auto"/>
          <w:sz w:val="21"/>
          <w:szCs w:val="21"/>
        </w:rPr>
        <w:t>中策职校</w:t>
      </w:r>
      <w:r>
        <w:rPr>
          <w:rFonts w:hint="eastAsia" w:ascii="宋体" w:hAnsi="宋体" w:cs="宋体"/>
          <w:color w:val="auto"/>
          <w:sz w:val="21"/>
          <w:szCs w:val="21"/>
          <w:lang w:eastAsia="zh-CN"/>
        </w:rPr>
        <w:t>大江东</w:t>
      </w:r>
      <w:r>
        <w:rPr>
          <w:rFonts w:hint="eastAsia" w:ascii="宋体" w:hAnsi="宋体" w:cs="宋体"/>
          <w:color w:val="auto"/>
          <w:sz w:val="21"/>
          <w:szCs w:val="21"/>
          <w:lang w:val="en-US" w:eastAsia="zh-CN"/>
        </w:rPr>
        <w:t>分</w:t>
      </w:r>
      <w:r>
        <w:rPr>
          <w:rFonts w:hint="eastAsia" w:ascii="宋体" w:hAnsi="宋体" w:eastAsia="宋体" w:cs="宋体"/>
          <w:color w:val="auto"/>
          <w:sz w:val="21"/>
          <w:szCs w:val="21"/>
          <w:lang w:eastAsia="zh-CN"/>
        </w:rPr>
        <w:t>校和临安职教中心</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所学校</w:t>
      </w:r>
      <w:r>
        <w:rPr>
          <w:rFonts w:hint="eastAsia" w:ascii="宋体" w:hAnsi="宋体" w:cs="宋体"/>
          <w:color w:val="auto"/>
          <w:sz w:val="21"/>
          <w:szCs w:val="21"/>
          <w:lang w:eastAsia="zh-CN"/>
        </w:rPr>
        <w:t>（校区）</w:t>
      </w:r>
      <w:r>
        <w:rPr>
          <w:rFonts w:hint="eastAsia" w:ascii="宋体" w:hAnsi="宋体" w:eastAsia="宋体" w:cs="宋体"/>
          <w:color w:val="auto"/>
          <w:sz w:val="21"/>
          <w:szCs w:val="21"/>
          <w:lang w:eastAsia="zh-CN"/>
        </w:rPr>
        <w:t>在建</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预计</w:t>
      </w:r>
      <w:r>
        <w:rPr>
          <w:rFonts w:hint="eastAsia" w:ascii="宋体" w:hAnsi="宋体" w:eastAsia="宋体" w:cs="宋体"/>
          <w:color w:val="auto"/>
          <w:sz w:val="21"/>
          <w:szCs w:val="21"/>
        </w:rPr>
        <w:t>将于2021年竣工</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交通职校笕桥校区、电子职校双桥校区</w:t>
      </w:r>
      <w:r>
        <w:rPr>
          <w:rFonts w:hint="eastAsia" w:ascii="宋体" w:hAnsi="宋体" w:eastAsia="宋体" w:cs="宋体"/>
          <w:color w:val="auto"/>
          <w:sz w:val="21"/>
          <w:szCs w:val="21"/>
          <w:lang w:eastAsia="zh-CN"/>
        </w:rPr>
        <w:t>、拱墅职高</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所学校已启动</w:t>
      </w:r>
      <w:r>
        <w:rPr>
          <w:rFonts w:hint="eastAsia" w:ascii="宋体" w:hAnsi="宋体" w:cs="宋体"/>
          <w:color w:val="auto"/>
          <w:sz w:val="21"/>
          <w:szCs w:val="21"/>
          <w:lang w:eastAsia="zh-CN"/>
        </w:rPr>
        <w:t>建设</w:t>
      </w:r>
      <w:r>
        <w:rPr>
          <w:rFonts w:hint="eastAsia" w:ascii="宋体" w:hAnsi="宋体" w:eastAsia="宋体" w:cs="宋体"/>
          <w:color w:val="auto"/>
          <w:sz w:val="21"/>
          <w:szCs w:val="21"/>
        </w:rPr>
        <w:t>项目前期工作</w:t>
      </w:r>
      <w:r>
        <w:rPr>
          <w:rFonts w:hint="eastAsia" w:ascii="宋体" w:hAnsi="宋体" w:eastAsia="宋体" w:cs="宋体"/>
          <w:color w:val="auto"/>
          <w:sz w:val="21"/>
          <w:szCs w:val="21"/>
          <w:lang w:eastAsia="zh-CN"/>
        </w:rPr>
        <w:t>。</w:t>
      </w:r>
    </w:p>
    <w:p>
      <w:pPr>
        <w:wordWrap/>
        <w:spacing w:before="157" w:beforeLines="50" w:afterLines="0" w:line="360" w:lineRule="auto"/>
        <w:ind w:firstLine="421" w:firstLineChars="200"/>
        <w:jc w:val="left"/>
        <w:textAlignment w:val="auto"/>
        <w:rPr>
          <w:rFonts w:hint="eastAsia" w:ascii="楷体_GB2312" w:hAnsi="楷体_GB2312" w:eastAsia="楷体_GB2312" w:cs="楷体_GB2312"/>
          <w:b/>
          <w:bCs/>
          <w:color w:val="auto"/>
          <w:kern w:val="44"/>
          <w:sz w:val="21"/>
          <w:szCs w:val="21"/>
          <w:lang w:val="zh-CN" w:eastAsia="zh-CN" w:bidi="ar-SA"/>
        </w:rPr>
      </w:pPr>
      <w:r>
        <w:rPr>
          <w:rFonts w:hint="eastAsia" w:ascii="楷体_GB2312" w:hAnsi="楷体_GB2312" w:eastAsia="楷体_GB2312" w:cs="楷体_GB2312"/>
          <w:b/>
          <w:bCs/>
          <w:color w:val="auto"/>
          <w:kern w:val="44"/>
          <w:sz w:val="21"/>
          <w:szCs w:val="21"/>
          <w:lang w:val="zh-CN" w:eastAsia="zh-CN" w:bidi="ar-SA"/>
        </w:rPr>
        <w:t>【案例</w:t>
      </w:r>
      <w:r>
        <w:rPr>
          <w:rFonts w:hint="eastAsia" w:ascii="楷体_GB2312" w:hAnsi="楷体_GB2312" w:eastAsia="楷体_GB2312" w:cs="楷体_GB2312"/>
          <w:b/>
          <w:bCs/>
          <w:color w:val="auto"/>
          <w:kern w:val="44"/>
          <w:sz w:val="21"/>
          <w:szCs w:val="21"/>
          <w:lang w:val="en-US" w:eastAsia="zh-CN" w:bidi="ar-SA"/>
        </w:rPr>
        <w:t>1</w:t>
      </w:r>
      <w:r>
        <w:rPr>
          <w:rFonts w:hint="eastAsia" w:ascii="楷体_GB2312" w:hAnsi="楷体_GB2312" w:eastAsia="楷体_GB2312" w:cs="楷体_GB2312"/>
          <w:b/>
          <w:bCs/>
          <w:color w:val="auto"/>
          <w:kern w:val="44"/>
          <w:sz w:val="21"/>
          <w:szCs w:val="21"/>
          <w:lang w:val="zh-CN" w:eastAsia="zh-CN" w:bidi="ar-SA"/>
        </w:rPr>
        <w:t>-</w:t>
      </w:r>
      <w:r>
        <w:rPr>
          <w:rFonts w:hint="eastAsia" w:ascii="楷体_GB2312" w:hAnsi="楷体_GB2312" w:eastAsia="楷体_GB2312" w:cs="楷体_GB2312"/>
          <w:b/>
          <w:bCs/>
          <w:color w:val="auto"/>
          <w:kern w:val="44"/>
          <w:sz w:val="21"/>
          <w:szCs w:val="21"/>
          <w:lang w:val="en-US" w:eastAsia="zh-CN" w:bidi="ar-SA"/>
        </w:rPr>
        <w:t>1</w:t>
      </w:r>
      <w:r>
        <w:rPr>
          <w:rFonts w:hint="eastAsia" w:ascii="楷体_GB2312" w:hAnsi="楷体_GB2312" w:eastAsia="楷体_GB2312" w:cs="楷体_GB2312"/>
          <w:b/>
          <w:bCs/>
          <w:color w:val="auto"/>
          <w:kern w:val="44"/>
          <w:sz w:val="21"/>
          <w:szCs w:val="21"/>
          <w:lang w:val="zh-CN" w:eastAsia="zh-CN" w:bidi="ar-SA"/>
        </w:rPr>
        <w:t>】</w:t>
      </w:r>
      <w:r>
        <w:rPr>
          <w:rFonts w:hint="eastAsia" w:ascii="楷体_GB2312" w:hAnsi="楷体_GB2312" w:eastAsia="楷体_GB2312" w:cs="楷体_GB2312"/>
          <w:b/>
          <w:bCs/>
          <w:color w:val="auto"/>
          <w:kern w:val="44"/>
          <w:sz w:val="21"/>
          <w:szCs w:val="21"/>
          <w:lang w:val="en-US" w:eastAsia="zh-CN" w:bidi="ar-SA"/>
        </w:rPr>
        <w:t>杭州市中策职业学校康桥</w:t>
      </w:r>
      <w:r>
        <w:rPr>
          <w:rFonts w:hint="eastAsia" w:ascii="楷体_GB2312" w:hAnsi="楷体_GB2312" w:eastAsia="楷体_GB2312" w:cs="楷体_GB2312"/>
          <w:b/>
          <w:bCs/>
          <w:color w:val="auto"/>
          <w:kern w:val="44"/>
          <w:sz w:val="21"/>
          <w:szCs w:val="21"/>
          <w:lang w:val="zh-CN" w:eastAsia="zh-CN" w:bidi="ar-SA"/>
        </w:rPr>
        <w:t>校区启用</w:t>
      </w:r>
    </w:p>
    <w:p>
      <w:pPr>
        <w:widowControl/>
        <w:shd w:val="clear" w:color="auto" w:fill="FFFFFF"/>
        <w:wordWrap/>
        <w:spacing w:beforeLines="0" w:afterLines="0" w:line="360" w:lineRule="auto"/>
        <w:ind w:left="0" w:leftChars="0" w:right="0" w:firstLine="420" w:firstLineChars="0"/>
        <w:jc w:val="left"/>
        <w:textAlignment w:val="baseline"/>
        <w:outlineLvl w:val="0"/>
        <w:rPr>
          <w:rFonts w:hint="eastAsia" w:ascii="仿宋_GB2312" w:hAnsi="仿宋_GB2312" w:eastAsia="仿宋_GB2312" w:cs="仿宋_GB2312"/>
          <w:sz w:val="21"/>
          <w:szCs w:val="21"/>
          <w:lang w:val="zh-CN" w:eastAsia="zh-CN"/>
        </w:rPr>
      </w:pPr>
      <w:r>
        <w:rPr>
          <w:rFonts w:hint="eastAsia" w:ascii="仿宋_GB2312" w:hAnsi="仿宋_GB2312" w:eastAsia="仿宋_GB2312" w:cs="仿宋_GB2312"/>
          <w:sz w:val="21"/>
          <w:szCs w:val="21"/>
          <w:lang w:val="en-US" w:eastAsia="zh-CN"/>
        </w:rPr>
        <w:t>杭州市</w:t>
      </w:r>
      <w:r>
        <w:rPr>
          <w:rFonts w:hint="eastAsia" w:ascii="仿宋_GB2312" w:hAnsi="仿宋_GB2312" w:eastAsia="仿宋_GB2312" w:cs="仿宋_GB2312"/>
          <w:sz w:val="21"/>
          <w:szCs w:val="21"/>
          <w:lang w:val="zh-CN" w:eastAsia="zh-CN"/>
        </w:rPr>
        <w:t>中策职业学校坚持“集团化”发展战略，实施“名校+名企+名师”的集团化办学模式。2020年9月，康桥校区启用，莫干校区移交美术职校。学校现有霞湾校区、康桥校区</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zh-CN" w:eastAsia="zh-CN"/>
        </w:rPr>
        <w:t>校园面积约239亩，</w:t>
      </w:r>
      <w:r>
        <w:rPr>
          <w:rFonts w:hint="eastAsia" w:ascii="仿宋_GB2312" w:hAnsi="仿宋_GB2312" w:eastAsia="仿宋_GB2312" w:cs="仿宋_GB2312"/>
          <w:sz w:val="21"/>
          <w:szCs w:val="21"/>
        </w:rPr>
        <w:t>布局更加合理，能同时容纳90个教学班</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专业实训场所建筑面积23868平方米；食堂和宿舍建筑面积32852平方米，能同时容纳3600名师生就餐和2100名学生住宿；体育艺术场馆建筑面积19233平方米</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color w:val="000000" w:themeColor="text1"/>
          <w:sz w:val="21"/>
          <w:szCs w:val="21"/>
        </w:rPr>
        <w:t>建有2个小剧场，可容纳1200人，</w:t>
      </w:r>
      <w:r>
        <w:rPr>
          <w:rFonts w:hint="eastAsia" w:ascii="仿宋_GB2312" w:hAnsi="仿宋_GB2312" w:eastAsia="仿宋_GB2312" w:cs="仿宋_GB2312"/>
          <w:sz w:val="21"/>
          <w:szCs w:val="21"/>
        </w:rPr>
        <w:t>8个多功能会议室，能满足20至500人不同规模的会议要求</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zh-CN" w:eastAsia="zh-CN"/>
        </w:rPr>
        <w:t>在建的大江东</w:t>
      </w:r>
      <w:r>
        <w:rPr>
          <w:rFonts w:hint="eastAsia" w:ascii="仿宋_GB2312" w:hAnsi="仿宋_GB2312" w:eastAsia="仿宋_GB2312" w:cs="仿宋_GB2312"/>
          <w:sz w:val="21"/>
          <w:szCs w:val="21"/>
          <w:lang w:val="en-US" w:eastAsia="zh-CN"/>
        </w:rPr>
        <w:t>分</w:t>
      </w:r>
      <w:r>
        <w:rPr>
          <w:rFonts w:hint="eastAsia" w:ascii="仿宋_GB2312" w:hAnsi="仿宋_GB2312" w:eastAsia="仿宋_GB2312" w:cs="仿宋_GB2312"/>
          <w:sz w:val="21"/>
          <w:szCs w:val="21"/>
          <w:lang w:val="zh-CN" w:eastAsia="zh-CN"/>
        </w:rPr>
        <w:t>校项目预算总投资为79924.53万元，建设用地面积约270亩，项目预计2021年年底竣工，2022年9月投入使用。霞湾、康桥、大江东，两校区一分校的新格局正逐步成形。作为杭州规模最大的中职学校，将进一步满足家长和学生对优质职业教育的需求与期望。</w:t>
      </w:r>
    </w:p>
    <w:p>
      <w:pPr>
        <w:keepNext/>
        <w:keepLines/>
        <w:wordWrap/>
        <w:adjustRightInd/>
        <w:snapToGrid/>
        <w:spacing w:before="157" w:beforeLines="50" w:after="0" w:afterLines="0" w:line="360" w:lineRule="auto"/>
        <w:ind w:left="0" w:leftChars="0" w:right="0" w:firstLine="450" w:firstLineChars="150"/>
        <w:textAlignment w:val="auto"/>
        <w:outlineLvl w:val="1"/>
        <w:rPr>
          <w:rFonts w:hint="eastAsia" w:ascii="黑体" w:hAnsi="黑体" w:eastAsia="黑体" w:cs="黑体"/>
          <w:b w:val="0"/>
          <w:bCs w:val="0"/>
          <w:color w:val="auto"/>
          <w:kern w:val="44"/>
          <w:sz w:val="32"/>
          <w:szCs w:val="32"/>
          <w:lang w:val="en-US" w:eastAsia="zh-CN"/>
        </w:rPr>
      </w:pPr>
      <w:bookmarkStart w:id="40" w:name="_Toc307068033_WPSOffice_Level2"/>
      <w:bookmarkStart w:id="41" w:name="_Toc1309110217_WPSOffice_Level2"/>
      <w:bookmarkStart w:id="42" w:name="_Toc28351849"/>
      <w:bookmarkStart w:id="43" w:name="_Toc29046986"/>
      <w:bookmarkStart w:id="44" w:name="_Toc10873"/>
      <w:r>
        <w:rPr>
          <w:rFonts w:hint="eastAsia" w:ascii="黑体" w:hAnsi="黑体" w:eastAsia="黑体" w:cs="黑体"/>
          <w:b w:val="0"/>
          <w:bCs w:val="0"/>
          <w:color w:val="auto"/>
          <w:kern w:val="44"/>
          <w:sz w:val="30"/>
          <w:szCs w:val="30"/>
          <w:lang w:val="en-US" w:eastAsia="zh-CN"/>
        </w:rPr>
        <w:t>1.2设施设备</w:t>
      </w:r>
      <w:bookmarkEnd w:id="40"/>
      <w:bookmarkEnd w:id="41"/>
      <w:bookmarkEnd w:id="42"/>
      <w:bookmarkEnd w:id="43"/>
      <w:bookmarkEnd w:id="44"/>
    </w:p>
    <w:p>
      <w:pPr>
        <w:wordWrap/>
        <w:adjustRightInd/>
        <w:snapToGrid/>
        <w:spacing w:beforeLines="0" w:afterLines="0" w:line="360" w:lineRule="auto"/>
        <w:ind w:firstLine="421" w:firstLineChars="200"/>
        <w:textAlignment w:val="auto"/>
        <w:rPr>
          <w:rFonts w:hint="eastAsia" w:ascii="宋体" w:hAnsi="宋体" w:eastAsia="宋体" w:cs="宋体"/>
          <w:color w:val="auto"/>
          <w:kern w:val="0"/>
          <w:sz w:val="21"/>
          <w:szCs w:val="21"/>
        </w:rPr>
      </w:pPr>
      <w:r>
        <w:rPr>
          <w:rFonts w:hint="eastAsia" w:ascii="宋体" w:hAnsi="宋体" w:eastAsia="宋体" w:cs="仿宋_GB2312"/>
          <w:b/>
          <w:kern w:val="0"/>
          <w:sz w:val="21"/>
          <w:szCs w:val="21"/>
        </w:rPr>
        <w:t>资产持续增长，办学条件改善</w:t>
      </w:r>
      <w:r>
        <w:rPr>
          <w:rFonts w:hint="eastAsia" w:ascii="宋体" w:hAnsi="宋体" w:eastAsia="宋体" w:cs="宋体"/>
          <w:b/>
          <w:bCs/>
          <w:color w:val="auto"/>
          <w:sz w:val="21"/>
          <w:szCs w:val="21"/>
          <w:lang w:val="en-US" w:eastAsia="zh-CN"/>
        </w:rPr>
        <w:t>。</w:t>
      </w:r>
      <w:r>
        <w:rPr>
          <w:rFonts w:hint="eastAsia" w:ascii="宋体" w:hAnsi="宋体" w:eastAsia="宋体" w:cs="宋体"/>
          <w:color w:val="auto"/>
          <w:kern w:val="0"/>
          <w:sz w:val="21"/>
          <w:szCs w:val="21"/>
        </w:rPr>
        <w:t>2020 年杭州市中等职业学校（不含技工学校、普通中专、成人中专，下同）占地面积</w:t>
      </w:r>
      <w:r>
        <w:rPr>
          <w:rFonts w:hint="eastAsia" w:ascii="宋体" w:hAnsi="宋体" w:eastAsia="宋体" w:cs="宋体"/>
          <w:color w:val="auto"/>
          <w:sz w:val="21"/>
          <w:szCs w:val="21"/>
        </w:rPr>
        <w:t>2124802.51</w:t>
      </w:r>
      <w:r>
        <w:rPr>
          <w:rFonts w:hint="eastAsia" w:ascii="宋体" w:hAnsi="宋体" w:eastAsia="宋体" w:cs="宋体"/>
          <w:color w:val="auto"/>
          <w:kern w:val="0"/>
          <w:sz w:val="21"/>
          <w:szCs w:val="21"/>
        </w:rPr>
        <w:t xml:space="preserve"> 平方米，建筑面积 </w:t>
      </w:r>
      <w:r>
        <w:rPr>
          <w:rFonts w:hint="eastAsia" w:ascii="宋体" w:hAnsi="宋体" w:eastAsia="宋体" w:cs="宋体"/>
          <w:color w:val="auto"/>
          <w:sz w:val="21"/>
          <w:szCs w:val="21"/>
        </w:rPr>
        <w:t>1500237.07</w:t>
      </w:r>
      <w:r>
        <w:rPr>
          <w:rFonts w:hint="eastAsia" w:ascii="宋体" w:hAnsi="宋体" w:eastAsia="宋体" w:cs="宋体"/>
          <w:color w:val="auto"/>
          <w:kern w:val="0"/>
          <w:sz w:val="21"/>
          <w:szCs w:val="21"/>
        </w:rPr>
        <w:t>平方米，固定资产价值</w:t>
      </w:r>
      <w:r>
        <w:rPr>
          <w:rFonts w:hint="eastAsia" w:ascii="宋体" w:hAnsi="宋体" w:eastAsia="宋体" w:cs="宋体"/>
          <w:color w:val="auto"/>
          <w:sz w:val="21"/>
          <w:szCs w:val="21"/>
        </w:rPr>
        <w:t>407092.6</w:t>
      </w:r>
      <w:r>
        <w:rPr>
          <w:rFonts w:hint="eastAsia" w:ascii="宋体" w:hAnsi="宋体" w:eastAsia="宋体" w:cs="宋体"/>
          <w:color w:val="auto"/>
          <w:sz w:val="21"/>
          <w:szCs w:val="21"/>
          <w:lang w:val="en-US" w:eastAsia="zh-CN"/>
        </w:rPr>
        <w:t>8</w:t>
      </w:r>
      <w:r>
        <w:rPr>
          <w:rFonts w:hint="eastAsia" w:ascii="宋体" w:hAnsi="宋体" w:eastAsia="宋体" w:cs="宋体"/>
          <w:color w:val="auto"/>
          <w:kern w:val="0"/>
          <w:sz w:val="21"/>
          <w:szCs w:val="21"/>
        </w:rPr>
        <w:t xml:space="preserve"> 万元，仪器设备价值</w:t>
      </w:r>
      <w:r>
        <w:rPr>
          <w:rFonts w:hint="eastAsia" w:ascii="宋体" w:hAnsi="宋体" w:eastAsia="宋体" w:cs="宋体"/>
          <w:color w:val="auto"/>
          <w:sz w:val="21"/>
          <w:szCs w:val="21"/>
        </w:rPr>
        <w:t>88218.2</w:t>
      </w:r>
      <w:r>
        <w:rPr>
          <w:rFonts w:hint="eastAsia" w:ascii="宋体" w:hAnsi="宋体" w:eastAsia="宋体" w:cs="宋体"/>
          <w:color w:val="auto"/>
          <w:sz w:val="21"/>
          <w:szCs w:val="21"/>
          <w:lang w:val="en-US" w:eastAsia="zh-CN"/>
        </w:rPr>
        <w:t>6</w:t>
      </w:r>
      <w:r>
        <w:rPr>
          <w:rFonts w:hint="eastAsia" w:ascii="宋体" w:hAnsi="宋体" w:eastAsia="宋体" w:cs="宋体"/>
          <w:color w:val="auto"/>
          <w:kern w:val="0"/>
          <w:sz w:val="21"/>
          <w:szCs w:val="21"/>
        </w:rPr>
        <w:t xml:space="preserve">万元，纸质图书 </w:t>
      </w:r>
      <w:r>
        <w:rPr>
          <w:rFonts w:hint="eastAsia" w:ascii="宋体" w:hAnsi="宋体" w:eastAsia="宋体" w:cs="宋体"/>
          <w:color w:val="auto"/>
          <w:sz w:val="21"/>
          <w:szCs w:val="21"/>
        </w:rPr>
        <w:t>2947884</w:t>
      </w:r>
      <w:r>
        <w:rPr>
          <w:rFonts w:hint="eastAsia" w:ascii="宋体" w:hAnsi="宋体" w:eastAsia="宋体" w:cs="宋体"/>
          <w:color w:val="auto"/>
          <w:kern w:val="0"/>
          <w:sz w:val="21"/>
          <w:szCs w:val="21"/>
        </w:rPr>
        <w:t>万册，计算机</w:t>
      </w:r>
      <w:r>
        <w:rPr>
          <w:rFonts w:hint="eastAsia" w:ascii="宋体" w:hAnsi="宋体" w:eastAsia="宋体" w:cs="宋体"/>
          <w:color w:val="auto"/>
          <w:sz w:val="21"/>
          <w:szCs w:val="21"/>
        </w:rPr>
        <w:t>28993</w:t>
      </w:r>
      <w:r>
        <w:rPr>
          <w:rFonts w:hint="eastAsia" w:ascii="宋体" w:hAnsi="宋体" w:eastAsia="宋体" w:cs="宋体"/>
          <w:color w:val="auto"/>
          <w:kern w:val="0"/>
          <w:sz w:val="21"/>
          <w:szCs w:val="21"/>
        </w:rPr>
        <w:t>台。与201</w:t>
      </w:r>
      <w:r>
        <w:rPr>
          <w:rFonts w:hint="eastAsia" w:ascii="宋体" w:hAnsi="宋体" w:cs="宋体"/>
          <w:color w:val="auto"/>
          <w:kern w:val="0"/>
          <w:sz w:val="21"/>
          <w:szCs w:val="21"/>
          <w:lang w:val="en-US" w:eastAsia="zh-CN"/>
        </w:rPr>
        <w:t>9</w:t>
      </w:r>
      <w:r>
        <w:rPr>
          <w:rFonts w:hint="eastAsia" w:ascii="宋体" w:hAnsi="宋体" w:eastAsia="宋体" w:cs="宋体"/>
          <w:color w:val="auto"/>
          <w:kern w:val="0"/>
          <w:sz w:val="21"/>
          <w:szCs w:val="21"/>
        </w:rPr>
        <w:t>年相比，占地面积</w:t>
      </w:r>
      <w:r>
        <w:rPr>
          <w:rFonts w:hint="eastAsia" w:ascii="宋体" w:hAnsi="宋体" w:cs="宋体"/>
          <w:color w:val="auto"/>
          <w:kern w:val="0"/>
          <w:sz w:val="21"/>
          <w:szCs w:val="21"/>
          <w:lang w:val="en-US" w:eastAsia="zh-CN"/>
        </w:rPr>
        <w:t>增加</w:t>
      </w:r>
      <w:r>
        <w:rPr>
          <w:rFonts w:hint="eastAsia" w:ascii="宋体" w:hAnsi="宋体" w:eastAsia="宋体" w:cs="宋体"/>
          <w:color w:val="auto"/>
          <w:kern w:val="0"/>
          <w:sz w:val="21"/>
          <w:szCs w:val="21"/>
        </w:rPr>
        <w:t>了</w:t>
      </w:r>
      <w:r>
        <w:rPr>
          <w:rFonts w:hint="eastAsia" w:ascii="宋体" w:hAnsi="宋体" w:cs="宋体"/>
          <w:color w:val="auto"/>
          <w:kern w:val="0"/>
          <w:sz w:val="21"/>
          <w:szCs w:val="21"/>
          <w:lang w:eastAsia="zh-CN"/>
        </w:rPr>
        <w:t>1</w:t>
      </w:r>
      <w:r>
        <w:rPr>
          <w:rFonts w:hint="eastAsia" w:ascii="宋体" w:hAnsi="宋体" w:cs="宋体"/>
          <w:color w:val="auto"/>
          <w:kern w:val="0"/>
          <w:sz w:val="21"/>
          <w:szCs w:val="21"/>
          <w:lang w:val="en-US" w:eastAsia="zh-CN"/>
        </w:rPr>
        <w:t>07645.3</w:t>
      </w:r>
      <w:r>
        <w:rPr>
          <w:rFonts w:hint="eastAsia" w:ascii="宋体" w:hAnsi="宋体" w:eastAsia="宋体" w:cs="宋体"/>
          <w:color w:val="auto"/>
          <w:kern w:val="0"/>
          <w:sz w:val="21"/>
          <w:szCs w:val="21"/>
        </w:rPr>
        <w:t xml:space="preserve"> 平方米，</w:t>
      </w:r>
      <w:r>
        <w:rPr>
          <w:rFonts w:hint="eastAsia" w:ascii="宋体" w:hAnsi="宋体" w:cs="宋体"/>
          <w:color w:val="auto"/>
          <w:kern w:val="0"/>
          <w:sz w:val="21"/>
          <w:szCs w:val="21"/>
          <w:lang w:val="en-US" w:eastAsia="zh-CN"/>
        </w:rPr>
        <w:t>增加</w:t>
      </w:r>
      <w:r>
        <w:rPr>
          <w:rFonts w:hint="eastAsia" w:ascii="宋体" w:hAnsi="宋体" w:eastAsia="宋体" w:cs="宋体"/>
          <w:color w:val="auto"/>
          <w:kern w:val="0"/>
          <w:sz w:val="21"/>
          <w:szCs w:val="21"/>
        </w:rPr>
        <w:t>了5.</w:t>
      </w:r>
      <w:r>
        <w:rPr>
          <w:rFonts w:hint="eastAsia" w:ascii="宋体" w:hAnsi="宋体" w:cs="宋体"/>
          <w:color w:val="auto"/>
          <w:kern w:val="0"/>
          <w:sz w:val="21"/>
          <w:szCs w:val="21"/>
          <w:lang w:eastAsia="zh-CN"/>
        </w:rPr>
        <w:t>3</w:t>
      </w:r>
      <w:r>
        <w:rPr>
          <w:rFonts w:hint="eastAsia" w:ascii="宋体" w:hAnsi="宋体" w:cs="宋体"/>
          <w:color w:val="auto"/>
          <w:kern w:val="0"/>
          <w:sz w:val="21"/>
          <w:szCs w:val="21"/>
          <w:lang w:val="en-US" w:eastAsia="zh-CN"/>
        </w:rPr>
        <w:t>4</w:t>
      </w:r>
      <w:r>
        <w:rPr>
          <w:rFonts w:hint="eastAsia" w:ascii="宋体" w:hAnsi="宋体" w:eastAsia="宋体" w:cs="宋体"/>
          <w:color w:val="auto"/>
          <w:kern w:val="0"/>
          <w:sz w:val="21"/>
          <w:szCs w:val="21"/>
        </w:rPr>
        <w:t>%；建筑面积</w:t>
      </w:r>
      <w:r>
        <w:rPr>
          <w:rFonts w:hint="eastAsia" w:ascii="宋体" w:hAnsi="宋体" w:cs="宋体"/>
          <w:color w:val="auto"/>
          <w:kern w:val="0"/>
          <w:sz w:val="21"/>
          <w:szCs w:val="21"/>
          <w:lang w:val="en-US" w:eastAsia="zh-CN"/>
        </w:rPr>
        <w:t>增加</w:t>
      </w:r>
      <w:r>
        <w:rPr>
          <w:rFonts w:hint="eastAsia" w:ascii="宋体" w:hAnsi="宋体" w:eastAsia="宋体" w:cs="宋体"/>
          <w:color w:val="auto"/>
          <w:kern w:val="0"/>
          <w:sz w:val="21"/>
          <w:szCs w:val="21"/>
        </w:rPr>
        <w:t>了</w:t>
      </w:r>
      <w:r>
        <w:rPr>
          <w:rFonts w:hint="eastAsia" w:ascii="宋体" w:hAnsi="宋体" w:cs="宋体"/>
          <w:color w:val="auto"/>
          <w:kern w:val="0"/>
          <w:sz w:val="21"/>
          <w:szCs w:val="21"/>
          <w:lang w:eastAsia="zh-CN"/>
        </w:rPr>
        <w:t>1</w:t>
      </w:r>
      <w:r>
        <w:rPr>
          <w:rFonts w:hint="eastAsia" w:ascii="宋体" w:hAnsi="宋体" w:cs="宋体"/>
          <w:color w:val="auto"/>
          <w:kern w:val="0"/>
          <w:sz w:val="21"/>
          <w:szCs w:val="21"/>
          <w:lang w:val="en-US" w:eastAsia="zh-CN"/>
        </w:rPr>
        <w:t>21381.98</w:t>
      </w:r>
      <w:r>
        <w:rPr>
          <w:rFonts w:hint="eastAsia" w:ascii="宋体" w:hAnsi="宋体" w:eastAsia="宋体" w:cs="宋体"/>
          <w:color w:val="auto"/>
          <w:kern w:val="0"/>
          <w:sz w:val="21"/>
          <w:szCs w:val="21"/>
        </w:rPr>
        <w:t>平方米，</w:t>
      </w:r>
      <w:r>
        <w:rPr>
          <w:rFonts w:hint="eastAsia" w:ascii="宋体" w:hAnsi="宋体" w:cs="宋体"/>
          <w:color w:val="auto"/>
          <w:kern w:val="0"/>
          <w:sz w:val="21"/>
          <w:szCs w:val="21"/>
          <w:lang w:val="en-US" w:eastAsia="zh-CN"/>
        </w:rPr>
        <w:t>增加</w:t>
      </w:r>
      <w:r>
        <w:rPr>
          <w:rFonts w:hint="eastAsia" w:ascii="宋体" w:hAnsi="宋体" w:eastAsia="宋体" w:cs="宋体"/>
          <w:color w:val="auto"/>
          <w:kern w:val="0"/>
          <w:sz w:val="21"/>
          <w:szCs w:val="21"/>
        </w:rPr>
        <w:t>了</w:t>
      </w:r>
      <w:r>
        <w:rPr>
          <w:rFonts w:hint="eastAsia" w:ascii="宋体" w:hAnsi="宋体" w:cs="宋体"/>
          <w:color w:val="auto"/>
          <w:kern w:val="0"/>
          <w:sz w:val="21"/>
          <w:szCs w:val="21"/>
          <w:lang w:eastAsia="zh-CN"/>
        </w:rPr>
        <w:t>8</w:t>
      </w:r>
      <w:r>
        <w:rPr>
          <w:rFonts w:hint="eastAsia" w:ascii="宋体" w:hAnsi="宋体" w:cs="宋体"/>
          <w:color w:val="auto"/>
          <w:kern w:val="0"/>
          <w:sz w:val="21"/>
          <w:szCs w:val="21"/>
          <w:lang w:val="en-US" w:eastAsia="zh-CN"/>
        </w:rPr>
        <w:t>.80</w:t>
      </w:r>
      <w:r>
        <w:rPr>
          <w:rFonts w:hint="eastAsia" w:ascii="宋体" w:hAnsi="宋体" w:eastAsia="宋体" w:cs="宋体"/>
          <w:color w:val="auto"/>
          <w:kern w:val="0"/>
          <w:sz w:val="21"/>
          <w:szCs w:val="21"/>
        </w:rPr>
        <w:t>%；固定资产值增加了</w:t>
      </w:r>
      <w:r>
        <w:rPr>
          <w:rFonts w:hint="eastAsia" w:ascii="宋体" w:hAnsi="宋体" w:cs="宋体"/>
          <w:color w:val="auto"/>
          <w:kern w:val="0"/>
          <w:sz w:val="21"/>
          <w:szCs w:val="21"/>
          <w:lang w:val="en-US" w:eastAsia="zh-CN"/>
        </w:rPr>
        <w:t>45719.37</w:t>
      </w:r>
      <w:r>
        <w:rPr>
          <w:rFonts w:hint="eastAsia" w:ascii="宋体" w:hAnsi="宋体" w:eastAsia="宋体" w:cs="宋体"/>
          <w:color w:val="auto"/>
          <w:kern w:val="0"/>
          <w:sz w:val="21"/>
          <w:szCs w:val="21"/>
        </w:rPr>
        <w:t xml:space="preserve"> 万元，增加了</w:t>
      </w:r>
      <w:r>
        <w:rPr>
          <w:rFonts w:hint="eastAsia" w:ascii="宋体" w:hAnsi="宋体" w:cs="宋体"/>
          <w:color w:val="auto"/>
          <w:kern w:val="0"/>
          <w:sz w:val="21"/>
          <w:szCs w:val="21"/>
          <w:lang w:val="en-US" w:eastAsia="zh-CN"/>
        </w:rPr>
        <w:t>12.65</w:t>
      </w:r>
      <w:r>
        <w:rPr>
          <w:rFonts w:hint="eastAsia" w:ascii="宋体" w:hAnsi="宋体" w:eastAsia="宋体" w:cs="宋体"/>
          <w:color w:val="auto"/>
          <w:kern w:val="0"/>
          <w:sz w:val="21"/>
          <w:szCs w:val="21"/>
        </w:rPr>
        <w:t xml:space="preserve">%；仪器设备值增加 </w:t>
      </w:r>
      <w:r>
        <w:rPr>
          <w:rFonts w:hint="eastAsia" w:ascii="宋体" w:hAnsi="宋体" w:cs="宋体"/>
          <w:color w:val="auto"/>
          <w:kern w:val="0"/>
          <w:sz w:val="21"/>
          <w:szCs w:val="21"/>
          <w:lang w:val="en-US" w:eastAsia="zh-CN"/>
        </w:rPr>
        <w:t>8271.53</w:t>
      </w:r>
      <w:r>
        <w:rPr>
          <w:rFonts w:hint="eastAsia" w:ascii="宋体" w:hAnsi="宋体" w:eastAsia="宋体" w:cs="宋体"/>
          <w:color w:val="auto"/>
          <w:kern w:val="0"/>
          <w:sz w:val="21"/>
          <w:szCs w:val="21"/>
        </w:rPr>
        <w:t xml:space="preserve">万元，增加了 </w:t>
      </w:r>
      <w:r>
        <w:rPr>
          <w:rFonts w:hint="eastAsia" w:ascii="宋体" w:hAnsi="宋体" w:cs="宋体"/>
          <w:color w:val="auto"/>
          <w:kern w:val="0"/>
          <w:sz w:val="21"/>
          <w:szCs w:val="21"/>
          <w:lang w:val="en-US" w:eastAsia="zh-CN"/>
        </w:rPr>
        <w:t>10.35</w:t>
      </w:r>
      <w:r>
        <w:rPr>
          <w:rFonts w:hint="eastAsia" w:ascii="宋体" w:hAnsi="宋体" w:eastAsia="宋体" w:cs="宋体"/>
          <w:color w:val="auto"/>
          <w:kern w:val="0"/>
          <w:sz w:val="21"/>
          <w:szCs w:val="21"/>
        </w:rPr>
        <w:t>%；纸质图书增加</w:t>
      </w:r>
      <w:r>
        <w:rPr>
          <w:rFonts w:hint="eastAsia" w:ascii="宋体" w:hAnsi="宋体" w:cs="宋体"/>
          <w:color w:val="auto"/>
          <w:kern w:val="0"/>
          <w:sz w:val="21"/>
          <w:szCs w:val="21"/>
          <w:lang w:eastAsia="zh-CN"/>
        </w:rPr>
        <w:t>1</w:t>
      </w:r>
      <w:r>
        <w:rPr>
          <w:rFonts w:hint="eastAsia" w:ascii="宋体" w:hAnsi="宋体" w:cs="宋体"/>
          <w:color w:val="auto"/>
          <w:kern w:val="0"/>
          <w:sz w:val="21"/>
          <w:szCs w:val="21"/>
          <w:lang w:val="en-US" w:eastAsia="zh-CN"/>
        </w:rPr>
        <w:t>05200</w:t>
      </w:r>
      <w:r>
        <w:rPr>
          <w:rFonts w:hint="eastAsia" w:ascii="宋体" w:hAnsi="宋体" w:eastAsia="宋体" w:cs="宋体"/>
          <w:color w:val="auto"/>
          <w:kern w:val="0"/>
          <w:sz w:val="21"/>
          <w:szCs w:val="21"/>
        </w:rPr>
        <w:t>册，增加了3.</w:t>
      </w:r>
      <w:r>
        <w:rPr>
          <w:rFonts w:hint="eastAsia" w:ascii="宋体" w:hAnsi="宋体" w:cs="宋体"/>
          <w:color w:val="auto"/>
          <w:kern w:val="0"/>
          <w:sz w:val="21"/>
          <w:szCs w:val="21"/>
          <w:lang w:val="en-US" w:eastAsia="zh-CN"/>
        </w:rPr>
        <w:t>70</w:t>
      </w:r>
      <w:r>
        <w:rPr>
          <w:rFonts w:hint="eastAsia" w:ascii="宋体" w:hAnsi="宋体" w:eastAsia="宋体" w:cs="宋体"/>
          <w:color w:val="auto"/>
          <w:kern w:val="0"/>
          <w:sz w:val="21"/>
          <w:szCs w:val="21"/>
        </w:rPr>
        <w:t>%；计算机</w:t>
      </w:r>
      <w:r>
        <w:rPr>
          <w:rFonts w:hint="eastAsia" w:ascii="宋体" w:hAnsi="宋体" w:cs="宋体"/>
          <w:color w:val="auto"/>
          <w:kern w:val="0"/>
          <w:sz w:val="21"/>
          <w:szCs w:val="21"/>
          <w:lang w:val="en-US" w:eastAsia="zh-CN"/>
        </w:rPr>
        <w:t>增加</w:t>
      </w:r>
      <w:r>
        <w:rPr>
          <w:rFonts w:hint="eastAsia" w:ascii="宋体" w:hAnsi="宋体" w:eastAsia="宋体" w:cs="宋体"/>
          <w:color w:val="auto"/>
          <w:kern w:val="0"/>
          <w:sz w:val="21"/>
          <w:szCs w:val="21"/>
        </w:rPr>
        <w:t>了</w:t>
      </w:r>
      <w:r>
        <w:rPr>
          <w:rFonts w:hint="eastAsia" w:ascii="宋体" w:hAnsi="宋体" w:cs="宋体"/>
          <w:color w:val="auto"/>
          <w:kern w:val="0"/>
          <w:sz w:val="21"/>
          <w:szCs w:val="21"/>
          <w:lang w:val="en-US" w:eastAsia="zh-CN"/>
        </w:rPr>
        <w:t>1055</w:t>
      </w:r>
      <w:r>
        <w:rPr>
          <w:rFonts w:hint="eastAsia" w:ascii="宋体" w:hAnsi="宋体" w:eastAsia="宋体" w:cs="宋体"/>
          <w:color w:val="auto"/>
          <w:kern w:val="0"/>
          <w:sz w:val="21"/>
          <w:szCs w:val="21"/>
        </w:rPr>
        <w:t xml:space="preserve"> 台，</w:t>
      </w:r>
      <w:r>
        <w:rPr>
          <w:rFonts w:hint="eastAsia" w:ascii="宋体" w:hAnsi="宋体" w:cs="宋体"/>
          <w:color w:val="auto"/>
          <w:kern w:val="0"/>
          <w:sz w:val="21"/>
          <w:szCs w:val="21"/>
          <w:lang w:val="en-US" w:eastAsia="zh-CN"/>
        </w:rPr>
        <w:t>增加</w:t>
      </w:r>
      <w:r>
        <w:rPr>
          <w:rFonts w:hint="eastAsia" w:ascii="宋体" w:hAnsi="宋体" w:eastAsia="宋体" w:cs="宋体"/>
          <w:color w:val="auto"/>
          <w:kern w:val="0"/>
          <w:sz w:val="21"/>
          <w:szCs w:val="21"/>
        </w:rPr>
        <w:t>了</w:t>
      </w:r>
      <w:r>
        <w:rPr>
          <w:rFonts w:hint="eastAsia" w:ascii="宋体" w:hAnsi="宋体" w:cs="宋体"/>
          <w:color w:val="auto"/>
          <w:kern w:val="0"/>
          <w:sz w:val="21"/>
          <w:szCs w:val="21"/>
          <w:lang w:eastAsia="zh-CN"/>
        </w:rPr>
        <w:t>3</w:t>
      </w:r>
      <w:r>
        <w:rPr>
          <w:rFonts w:hint="eastAsia" w:ascii="宋体" w:hAnsi="宋体" w:cs="宋体"/>
          <w:color w:val="auto"/>
          <w:kern w:val="0"/>
          <w:sz w:val="21"/>
          <w:szCs w:val="21"/>
          <w:lang w:val="en-US" w:eastAsia="zh-CN"/>
        </w:rPr>
        <w:t>.78</w:t>
      </w:r>
      <w:r>
        <w:rPr>
          <w:rFonts w:hint="eastAsia" w:ascii="宋体" w:hAnsi="宋体" w:eastAsia="宋体" w:cs="宋体"/>
          <w:color w:val="auto"/>
          <w:kern w:val="0"/>
          <w:sz w:val="21"/>
          <w:szCs w:val="21"/>
        </w:rPr>
        <w:t>%，办学条件总体有较大改善（见表 2）。</w:t>
      </w:r>
    </w:p>
    <w:p>
      <w:pPr>
        <w:wordWrap/>
        <w:spacing w:beforeLines="0" w:afterLines="0" w:line="360" w:lineRule="auto"/>
        <w:ind w:firstLine="105" w:firstLineChars="50"/>
        <w:jc w:val="center"/>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表2 2019-2020年杭州市中等职业学校办学条件数据表</w:t>
      </w:r>
    </w:p>
    <w:tbl>
      <w:tblPr>
        <w:tblStyle w:val="23"/>
        <w:tblW w:w="84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
        <w:gridCol w:w="1400"/>
        <w:gridCol w:w="1365"/>
        <w:gridCol w:w="1245"/>
        <w:gridCol w:w="1215"/>
        <w:gridCol w:w="1185"/>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974" w:type="dxa"/>
            <w:tcBorders>
              <w:top w:val="single" w:color="auto" w:sz="4" w:space="0"/>
              <w:left w:val="single" w:color="auto" w:sz="4" w:space="0"/>
              <w:bottom w:val="single" w:color="auto" w:sz="4" w:space="0"/>
              <w:right w:val="single" w:color="auto" w:sz="4" w:space="0"/>
              <w:tl2br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 xml:space="preserve">   项目</w:t>
            </w:r>
          </w:p>
          <w:p>
            <w:pPr>
              <w:wordWrap/>
              <w:spacing w:beforeLines="0" w:afterLines="0" w:line="400" w:lineRule="exact"/>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年份</w:t>
            </w:r>
          </w:p>
        </w:tc>
        <w:tc>
          <w:tcPr>
            <w:tcW w:w="1400"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占地面积</w:t>
            </w:r>
          </w:p>
          <w:p>
            <w:pPr>
              <w:wordWrap/>
              <w:spacing w:beforeLines="0" w:afterLines="0" w:line="400" w:lineRule="exact"/>
              <w:jc w:val="center"/>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（平方米）</w:t>
            </w:r>
          </w:p>
        </w:tc>
        <w:tc>
          <w:tcPr>
            <w:tcW w:w="1365"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建筑面积</w:t>
            </w:r>
          </w:p>
          <w:p>
            <w:pPr>
              <w:wordWrap/>
              <w:spacing w:beforeLines="0" w:afterLines="0" w:line="400" w:lineRule="exact"/>
              <w:jc w:val="center"/>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（平方米）</w:t>
            </w:r>
          </w:p>
        </w:tc>
        <w:tc>
          <w:tcPr>
            <w:tcW w:w="1245"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固定资产值（万元）</w:t>
            </w:r>
          </w:p>
        </w:tc>
        <w:tc>
          <w:tcPr>
            <w:tcW w:w="1215"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仪器设备值（万元）</w:t>
            </w:r>
          </w:p>
        </w:tc>
        <w:tc>
          <w:tcPr>
            <w:tcW w:w="1185"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纸质图书</w:t>
            </w:r>
          </w:p>
          <w:p>
            <w:pPr>
              <w:wordWrap/>
              <w:spacing w:beforeLines="0" w:afterLines="0" w:line="400" w:lineRule="exact"/>
              <w:jc w:val="center"/>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（册）</w:t>
            </w:r>
          </w:p>
        </w:tc>
        <w:tc>
          <w:tcPr>
            <w:tcW w:w="1035"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计算机</w:t>
            </w:r>
          </w:p>
          <w:p>
            <w:pPr>
              <w:wordWrap/>
              <w:spacing w:beforeLines="0" w:afterLines="0" w:line="400" w:lineRule="exact"/>
              <w:jc w:val="center"/>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4"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2019年</w:t>
            </w:r>
          </w:p>
        </w:tc>
        <w:tc>
          <w:tcPr>
            <w:tcW w:w="1400" w:type="dxa"/>
            <w:tcBorders>
              <w:top w:val="single" w:color="auto" w:sz="4" w:space="0"/>
              <w:left w:val="single" w:color="auto" w:sz="4" w:space="0"/>
              <w:bottom w:val="single" w:color="auto" w:sz="4" w:space="0"/>
              <w:right w:val="single" w:color="auto" w:sz="4" w:space="0"/>
            </w:tcBorders>
            <w:vAlign w:val="center"/>
          </w:tcPr>
          <w:p>
            <w:pPr>
              <w:keepNext/>
              <w:keepLines/>
              <w:wordWrap/>
              <w:spacing w:beforeLines="0" w:afterLines="0" w:line="400" w:lineRule="exact"/>
              <w:ind w:right="0"/>
              <w:jc w:val="center"/>
              <w:textAlignment w:val="auto"/>
              <w:rPr>
                <w:rFonts w:hint="eastAsia" w:ascii="仿宋_GB2312" w:hAnsi="仿宋_GB2312" w:eastAsia="仿宋_GB2312" w:cs="仿宋_GB2312"/>
                <w:b/>
                <w:bCs/>
                <w:color w:val="auto"/>
                <w:sz w:val="21"/>
                <w:szCs w:val="21"/>
              </w:rPr>
            </w:pPr>
            <w:r>
              <w:rPr>
                <w:rFonts w:hint="eastAsia" w:ascii="仿宋_GB2312" w:hAnsi="仿宋_GB2312" w:eastAsia="仿宋_GB2312" w:cs="仿宋_GB2312"/>
                <w:color w:val="auto"/>
                <w:sz w:val="21"/>
                <w:szCs w:val="21"/>
              </w:rPr>
              <w:t>2017157.21</w:t>
            </w:r>
          </w:p>
        </w:tc>
        <w:tc>
          <w:tcPr>
            <w:tcW w:w="1365" w:type="dxa"/>
            <w:tcBorders>
              <w:top w:val="single" w:color="auto" w:sz="4" w:space="0"/>
              <w:left w:val="single" w:color="auto" w:sz="4" w:space="0"/>
              <w:bottom w:val="single" w:color="auto" w:sz="4" w:space="0"/>
              <w:right w:val="single" w:color="auto" w:sz="4" w:space="0"/>
            </w:tcBorders>
            <w:vAlign w:val="center"/>
          </w:tcPr>
          <w:p>
            <w:pPr>
              <w:keepNext/>
              <w:keepLines/>
              <w:wordWrap/>
              <w:spacing w:beforeLines="0" w:afterLines="0" w:line="400" w:lineRule="exact"/>
              <w:jc w:val="center"/>
              <w:textAlignment w:val="auto"/>
              <w:rPr>
                <w:rFonts w:hint="eastAsia" w:ascii="仿宋_GB2312" w:hAnsi="仿宋_GB2312" w:eastAsia="仿宋_GB2312" w:cs="仿宋_GB2312"/>
                <w:b/>
                <w:bCs/>
                <w:color w:val="auto"/>
                <w:sz w:val="21"/>
                <w:szCs w:val="21"/>
              </w:rPr>
            </w:pPr>
            <w:r>
              <w:rPr>
                <w:rFonts w:hint="eastAsia" w:ascii="仿宋_GB2312" w:hAnsi="仿宋_GB2312" w:eastAsia="仿宋_GB2312" w:cs="仿宋_GB2312"/>
                <w:color w:val="auto"/>
                <w:sz w:val="21"/>
                <w:szCs w:val="21"/>
              </w:rPr>
              <w:t>1378855.09</w:t>
            </w:r>
          </w:p>
        </w:tc>
        <w:tc>
          <w:tcPr>
            <w:tcW w:w="1245" w:type="dxa"/>
            <w:tcBorders>
              <w:top w:val="single" w:color="auto" w:sz="4" w:space="0"/>
              <w:left w:val="single" w:color="auto" w:sz="4" w:space="0"/>
              <w:bottom w:val="single" w:color="auto" w:sz="4" w:space="0"/>
              <w:right w:val="single" w:color="auto" w:sz="4" w:space="0"/>
            </w:tcBorders>
            <w:vAlign w:val="center"/>
          </w:tcPr>
          <w:p>
            <w:pPr>
              <w:keepNext/>
              <w:keepLines/>
              <w:wordWrap/>
              <w:spacing w:beforeLines="0" w:afterLines="0" w:line="400" w:lineRule="exact"/>
              <w:jc w:val="center"/>
              <w:textAlignment w:val="auto"/>
              <w:rPr>
                <w:rFonts w:hint="eastAsia" w:ascii="仿宋_GB2312" w:hAnsi="仿宋_GB2312" w:eastAsia="仿宋_GB2312" w:cs="仿宋_GB2312"/>
                <w:b/>
                <w:bCs/>
                <w:color w:val="auto"/>
                <w:sz w:val="21"/>
                <w:szCs w:val="21"/>
              </w:rPr>
            </w:pPr>
            <w:r>
              <w:rPr>
                <w:rFonts w:hint="eastAsia" w:ascii="仿宋_GB2312" w:hAnsi="仿宋_GB2312" w:eastAsia="仿宋_GB2312" w:cs="仿宋_GB2312"/>
                <w:color w:val="auto"/>
                <w:sz w:val="21"/>
                <w:szCs w:val="21"/>
              </w:rPr>
              <w:t>361373.31</w:t>
            </w:r>
          </w:p>
        </w:tc>
        <w:tc>
          <w:tcPr>
            <w:tcW w:w="1215" w:type="dxa"/>
            <w:tcBorders>
              <w:top w:val="single" w:color="auto" w:sz="4" w:space="0"/>
              <w:left w:val="single" w:color="auto" w:sz="4" w:space="0"/>
              <w:bottom w:val="single" w:color="auto" w:sz="4" w:space="0"/>
              <w:right w:val="single" w:color="auto" w:sz="4" w:space="0"/>
            </w:tcBorders>
            <w:vAlign w:val="center"/>
          </w:tcPr>
          <w:p>
            <w:pPr>
              <w:keepNext/>
              <w:keepLines/>
              <w:wordWrap/>
              <w:spacing w:beforeLines="0" w:afterLines="0" w:line="400" w:lineRule="exact"/>
              <w:jc w:val="center"/>
              <w:textAlignment w:val="auto"/>
              <w:rPr>
                <w:rFonts w:hint="eastAsia" w:ascii="仿宋_GB2312" w:hAnsi="仿宋_GB2312" w:eastAsia="仿宋_GB2312" w:cs="仿宋_GB2312"/>
                <w:b/>
                <w:bCs/>
                <w:color w:val="auto"/>
                <w:sz w:val="21"/>
                <w:szCs w:val="21"/>
              </w:rPr>
            </w:pPr>
            <w:r>
              <w:rPr>
                <w:rFonts w:hint="eastAsia" w:ascii="仿宋_GB2312" w:hAnsi="仿宋_GB2312" w:eastAsia="仿宋_GB2312" w:cs="仿宋_GB2312"/>
                <w:color w:val="auto"/>
                <w:sz w:val="21"/>
                <w:szCs w:val="21"/>
              </w:rPr>
              <w:t>79946.73</w:t>
            </w:r>
          </w:p>
        </w:tc>
        <w:tc>
          <w:tcPr>
            <w:tcW w:w="1185" w:type="dxa"/>
            <w:tcBorders>
              <w:top w:val="single" w:color="auto" w:sz="4" w:space="0"/>
              <w:left w:val="single" w:color="auto" w:sz="4" w:space="0"/>
              <w:bottom w:val="single" w:color="auto" w:sz="4" w:space="0"/>
              <w:right w:val="single" w:color="auto" w:sz="4" w:space="0"/>
            </w:tcBorders>
            <w:vAlign w:val="center"/>
          </w:tcPr>
          <w:p>
            <w:pPr>
              <w:keepNext/>
              <w:keepLines/>
              <w:wordWrap/>
              <w:spacing w:beforeLines="0" w:afterLines="0" w:line="400" w:lineRule="exact"/>
              <w:jc w:val="center"/>
              <w:textAlignment w:val="auto"/>
              <w:rPr>
                <w:rFonts w:hint="eastAsia" w:ascii="仿宋_GB2312" w:hAnsi="仿宋_GB2312" w:eastAsia="仿宋_GB2312" w:cs="仿宋_GB2312"/>
                <w:b/>
                <w:bCs/>
                <w:color w:val="auto"/>
                <w:sz w:val="21"/>
                <w:szCs w:val="21"/>
              </w:rPr>
            </w:pPr>
            <w:r>
              <w:rPr>
                <w:rFonts w:hint="eastAsia" w:ascii="仿宋_GB2312" w:hAnsi="仿宋_GB2312" w:eastAsia="仿宋_GB2312" w:cs="仿宋_GB2312"/>
                <w:color w:val="auto"/>
                <w:sz w:val="21"/>
                <w:szCs w:val="21"/>
              </w:rPr>
              <w:t>2842684</w:t>
            </w:r>
          </w:p>
        </w:tc>
        <w:tc>
          <w:tcPr>
            <w:tcW w:w="1035" w:type="dxa"/>
            <w:tcBorders>
              <w:top w:val="single" w:color="auto" w:sz="4" w:space="0"/>
              <w:left w:val="single" w:color="auto" w:sz="4" w:space="0"/>
              <w:bottom w:val="single" w:color="auto" w:sz="4" w:space="0"/>
              <w:right w:val="single" w:color="auto" w:sz="4" w:space="0"/>
            </w:tcBorders>
            <w:vAlign w:val="center"/>
          </w:tcPr>
          <w:p>
            <w:pPr>
              <w:keepNext/>
              <w:keepLines/>
              <w:wordWrap/>
              <w:spacing w:beforeLines="0" w:afterLines="0" w:line="400" w:lineRule="exact"/>
              <w:jc w:val="center"/>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27938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4"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2020年</w:t>
            </w:r>
          </w:p>
        </w:tc>
        <w:tc>
          <w:tcPr>
            <w:tcW w:w="1400"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2124802.51</w:t>
            </w:r>
          </w:p>
        </w:tc>
        <w:tc>
          <w:tcPr>
            <w:tcW w:w="1365"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1500237.07</w:t>
            </w:r>
          </w:p>
        </w:tc>
        <w:tc>
          <w:tcPr>
            <w:tcW w:w="1245"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407092.6</w:t>
            </w:r>
            <w:r>
              <w:rPr>
                <w:rFonts w:hint="eastAsia" w:ascii="仿宋_GB2312" w:hAnsi="仿宋_GB2312" w:eastAsia="仿宋_GB2312" w:cs="仿宋_GB2312"/>
                <w:color w:val="auto"/>
                <w:sz w:val="21"/>
                <w:szCs w:val="21"/>
                <w:lang w:val="en-US" w:eastAsia="zh-CN"/>
              </w:rPr>
              <w:t>8</w:t>
            </w:r>
          </w:p>
        </w:tc>
        <w:tc>
          <w:tcPr>
            <w:tcW w:w="1215"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88218.2</w:t>
            </w:r>
            <w:r>
              <w:rPr>
                <w:rFonts w:hint="eastAsia" w:ascii="仿宋_GB2312" w:hAnsi="仿宋_GB2312" w:eastAsia="仿宋_GB2312" w:cs="仿宋_GB2312"/>
                <w:color w:val="auto"/>
                <w:sz w:val="21"/>
                <w:szCs w:val="21"/>
                <w:lang w:val="en-US" w:eastAsia="zh-CN"/>
              </w:rPr>
              <w:t>6</w:t>
            </w:r>
          </w:p>
        </w:tc>
        <w:tc>
          <w:tcPr>
            <w:tcW w:w="1185"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2947884</w:t>
            </w:r>
          </w:p>
        </w:tc>
        <w:tc>
          <w:tcPr>
            <w:tcW w:w="1035"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28993</w:t>
            </w:r>
          </w:p>
        </w:tc>
      </w:tr>
    </w:tbl>
    <w:p>
      <w:pPr>
        <w:wordWrap/>
        <w:spacing w:beforeLines="0" w:afterLines="0" w:line="360" w:lineRule="auto"/>
        <w:ind w:firstLine="420" w:firstLineChars="200"/>
        <w:jc w:val="left"/>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数据来源：《杭州市教育事业</w:t>
      </w:r>
      <w:r>
        <w:rPr>
          <w:rFonts w:hint="eastAsia" w:ascii="仿宋_GB2312" w:hAnsi="仿宋_GB2312" w:eastAsia="仿宋_GB2312" w:cs="仿宋_GB2312"/>
          <w:color w:val="auto"/>
          <w:sz w:val="21"/>
          <w:szCs w:val="21"/>
          <w:lang w:val="en-US" w:eastAsia="zh-CN"/>
        </w:rPr>
        <w:t>统计资料》（</w:t>
      </w:r>
      <w:r>
        <w:rPr>
          <w:rFonts w:hint="eastAsia" w:ascii="仿宋_GB2312" w:hAnsi="仿宋_GB2312" w:eastAsia="仿宋_GB2312" w:cs="仿宋_GB2312"/>
          <w:color w:val="auto"/>
          <w:sz w:val="21"/>
          <w:szCs w:val="21"/>
        </w:rPr>
        <w:t>201</w:t>
      </w:r>
      <w:r>
        <w:rPr>
          <w:rFonts w:hint="eastAsia" w:ascii="仿宋_GB2312" w:hAnsi="仿宋_GB2312" w:eastAsia="仿宋_GB2312" w:cs="仿宋_GB2312"/>
          <w:color w:val="auto"/>
          <w:sz w:val="21"/>
          <w:szCs w:val="21"/>
          <w:lang w:val="en-US" w:eastAsia="zh-CN"/>
        </w:rPr>
        <w:t>9/</w:t>
      </w:r>
      <w:r>
        <w:rPr>
          <w:rFonts w:hint="eastAsia" w:ascii="仿宋_GB2312" w:hAnsi="仿宋_GB2312" w:eastAsia="仿宋_GB2312" w:cs="仿宋_GB2312"/>
          <w:color w:val="auto"/>
          <w:sz w:val="21"/>
          <w:szCs w:val="21"/>
        </w:rPr>
        <w:t>20</w:t>
      </w:r>
      <w:r>
        <w:rPr>
          <w:rFonts w:hint="eastAsia" w:ascii="仿宋_GB2312" w:hAnsi="仿宋_GB2312" w:eastAsia="仿宋_GB2312" w:cs="仿宋_GB2312"/>
          <w:color w:val="auto"/>
          <w:sz w:val="21"/>
          <w:szCs w:val="21"/>
          <w:lang w:eastAsia="zh-CN"/>
        </w:rPr>
        <w:t>2</w:t>
      </w:r>
      <w:r>
        <w:rPr>
          <w:rFonts w:hint="eastAsia" w:ascii="仿宋_GB2312" w:hAnsi="仿宋_GB2312" w:eastAsia="仿宋_GB2312" w:cs="仿宋_GB2312"/>
          <w:color w:val="auto"/>
          <w:sz w:val="21"/>
          <w:szCs w:val="21"/>
          <w:lang w:val="en-US" w:eastAsia="zh-CN"/>
        </w:rPr>
        <w:t>0</w:t>
      </w:r>
      <w:r>
        <w:rPr>
          <w:rFonts w:hint="eastAsia" w:ascii="仿宋_GB2312" w:hAnsi="仿宋_GB2312" w:eastAsia="仿宋_GB2312" w:cs="仿宋_GB2312"/>
          <w:color w:val="auto"/>
          <w:sz w:val="21"/>
          <w:szCs w:val="21"/>
        </w:rPr>
        <w:t>学年</w:t>
      </w:r>
      <w:r>
        <w:rPr>
          <w:rFonts w:hint="eastAsia" w:ascii="仿宋_GB2312" w:hAnsi="仿宋_GB2312" w:eastAsia="仿宋_GB2312" w:cs="仿宋_GB2312"/>
          <w:color w:val="auto"/>
          <w:sz w:val="21"/>
          <w:szCs w:val="21"/>
          <w:lang w:val="en-US" w:eastAsia="zh-CN"/>
        </w:rPr>
        <w:t>初</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20</w:t>
      </w:r>
      <w:r>
        <w:rPr>
          <w:rFonts w:hint="eastAsia" w:ascii="仿宋_GB2312" w:hAnsi="仿宋_GB2312" w:eastAsia="仿宋_GB2312" w:cs="仿宋_GB2312"/>
          <w:color w:val="auto"/>
          <w:sz w:val="21"/>
          <w:szCs w:val="21"/>
          <w:lang w:eastAsia="zh-CN"/>
        </w:rPr>
        <w:t>2</w:t>
      </w:r>
      <w:r>
        <w:rPr>
          <w:rFonts w:hint="eastAsia" w:ascii="仿宋_GB2312" w:hAnsi="仿宋_GB2312" w:eastAsia="仿宋_GB2312" w:cs="仿宋_GB2312"/>
          <w:color w:val="auto"/>
          <w:sz w:val="21"/>
          <w:szCs w:val="21"/>
          <w:lang w:val="en-US" w:eastAsia="zh-CN"/>
        </w:rPr>
        <w:t>0/</w:t>
      </w:r>
      <w:r>
        <w:rPr>
          <w:rFonts w:hint="eastAsia" w:ascii="仿宋_GB2312" w:hAnsi="仿宋_GB2312" w:eastAsia="仿宋_GB2312" w:cs="仿宋_GB2312"/>
          <w:color w:val="auto"/>
          <w:sz w:val="21"/>
          <w:szCs w:val="21"/>
        </w:rPr>
        <w:t>202</w:t>
      </w: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rPr>
        <w:t>学年初</w:t>
      </w:r>
      <w:r>
        <w:rPr>
          <w:rFonts w:hint="eastAsia" w:ascii="仿宋_GB2312" w:hAnsi="仿宋_GB2312" w:eastAsia="仿宋_GB2312" w:cs="仿宋_GB2312"/>
          <w:color w:val="auto"/>
          <w:sz w:val="21"/>
          <w:szCs w:val="21"/>
          <w:lang w:val="en-US" w:eastAsia="zh-CN"/>
        </w:rPr>
        <w:t>）</w:t>
      </w:r>
    </w:p>
    <w:p>
      <w:pPr>
        <w:wordWrap/>
        <w:spacing w:before="157" w:beforeLines="50" w:afterLines="0" w:line="360" w:lineRule="auto"/>
        <w:ind w:firstLine="421" w:firstLineChars="200"/>
        <w:jc w:val="left"/>
        <w:textAlignment w:val="auto"/>
        <w:rPr>
          <w:rFonts w:hint="eastAsia" w:ascii="楷体_GB2312" w:hAnsi="楷体_GB2312" w:eastAsia="楷体_GB2312" w:cs="楷体_GB2312"/>
          <w:b/>
          <w:bCs/>
          <w:color w:val="auto"/>
          <w:kern w:val="44"/>
          <w:sz w:val="21"/>
          <w:szCs w:val="21"/>
          <w:lang w:val="zh-CN" w:eastAsia="zh-CN" w:bidi="ar-SA"/>
        </w:rPr>
      </w:pPr>
      <w:r>
        <w:rPr>
          <w:rFonts w:hint="eastAsia" w:ascii="楷体_GB2312" w:hAnsi="楷体_GB2312" w:eastAsia="楷体_GB2312" w:cs="楷体_GB2312"/>
          <w:b/>
          <w:bCs/>
          <w:color w:val="auto"/>
          <w:kern w:val="44"/>
          <w:sz w:val="21"/>
          <w:szCs w:val="21"/>
          <w:lang w:val="zh-CN" w:eastAsia="zh-CN" w:bidi="ar-SA"/>
        </w:rPr>
        <w:t>【案例</w:t>
      </w:r>
      <w:r>
        <w:rPr>
          <w:rFonts w:hint="eastAsia" w:ascii="楷体_GB2312" w:hAnsi="楷体_GB2312" w:eastAsia="楷体_GB2312" w:cs="楷体_GB2312"/>
          <w:b/>
          <w:bCs/>
          <w:color w:val="auto"/>
          <w:kern w:val="44"/>
          <w:sz w:val="21"/>
          <w:szCs w:val="21"/>
          <w:lang w:val="en-US" w:eastAsia="zh-CN" w:bidi="ar-SA"/>
        </w:rPr>
        <w:t>1</w:t>
      </w:r>
      <w:r>
        <w:rPr>
          <w:rFonts w:hint="eastAsia" w:ascii="楷体_GB2312" w:hAnsi="楷体_GB2312" w:eastAsia="楷体_GB2312" w:cs="楷体_GB2312"/>
          <w:b/>
          <w:bCs/>
          <w:color w:val="auto"/>
          <w:kern w:val="44"/>
          <w:sz w:val="21"/>
          <w:szCs w:val="21"/>
          <w:lang w:val="zh-CN" w:eastAsia="zh-CN" w:bidi="ar-SA"/>
        </w:rPr>
        <w:t>-</w:t>
      </w:r>
      <w:r>
        <w:rPr>
          <w:rFonts w:hint="eastAsia" w:ascii="楷体_GB2312" w:hAnsi="楷体_GB2312" w:eastAsia="楷体_GB2312" w:cs="楷体_GB2312"/>
          <w:b/>
          <w:bCs/>
          <w:color w:val="auto"/>
          <w:kern w:val="44"/>
          <w:sz w:val="21"/>
          <w:szCs w:val="21"/>
          <w:lang w:val="en-US" w:eastAsia="zh-CN" w:bidi="ar-SA"/>
        </w:rPr>
        <w:t>2</w:t>
      </w:r>
      <w:r>
        <w:rPr>
          <w:rFonts w:hint="eastAsia" w:ascii="楷体_GB2312" w:hAnsi="楷体_GB2312" w:eastAsia="楷体_GB2312" w:cs="楷体_GB2312"/>
          <w:b/>
          <w:bCs/>
          <w:color w:val="auto"/>
          <w:kern w:val="44"/>
          <w:sz w:val="21"/>
          <w:szCs w:val="21"/>
          <w:lang w:val="zh-CN" w:eastAsia="zh-CN" w:bidi="ar-SA"/>
        </w:rPr>
        <w:t>】</w:t>
      </w:r>
      <w:r>
        <w:rPr>
          <w:rFonts w:hint="eastAsia" w:ascii="楷体_GB2312" w:hAnsi="楷体_GB2312" w:eastAsia="楷体_GB2312" w:cs="楷体_GB2312"/>
          <w:b/>
          <w:bCs/>
          <w:color w:val="auto"/>
          <w:kern w:val="44"/>
          <w:sz w:val="21"/>
          <w:szCs w:val="21"/>
          <w:lang w:val="en-US" w:eastAsia="zh-CN" w:bidi="ar-SA"/>
        </w:rPr>
        <w:t>杭州市旅游职业学校积极改善办学</w:t>
      </w:r>
      <w:r>
        <w:rPr>
          <w:rFonts w:hint="eastAsia" w:ascii="楷体_GB2312" w:hAnsi="楷体_GB2312" w:eastAsia="楷体_GB2312" w:cs="楷体_GB2312"/>
          <w:b/>
          <w:bCs/>
          <w:color w:val="auto"/>
          <w:kern w:val="44"/>
          <w:sz w:val="21"/>
          <w:szCs w:val="21"/>
          <w:lang w:val="zh-CN" w:eastAsia="zh-CN" w:bidi="ar-SA"/>
        </w:rPr>
        <w:t>条件</w:t>
      </w:r>
    </w:p>
    <w:p>
      <w:pPr>
        <w:widowControl/>
        <w:shd w:val="clear" w:color="auto" w:fill="FFFFFF"/>
        <w:wordWrap/>
        <w:spacing w:beforeLines="0" w:afterLines="0" w:line="360" w:lineRule="auto"/>
        <w:ind w:left="0" w:leftChars="0" w:right="0" w:firstLine="420" w:firstLineChars="200"/>
        <w:jc w:val="left"/>
        <w:textAlignment w:val="baseline"/>
        <w:outlineLvl w:val="0"/>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zh-CN" w:eastAsia="zh-CN"/>
        </w:rPr>
        <w:t>杭州市旅游职业学校教学设备总值7328.22万元，生均 32788 元。</w:t>
      </w:r>
      <w:r>
        <w:rPr>
          <w:rFonts w:hint="eastAsia" w:ascii="仿宋_GB2312" w:hAnsi="仿宋_GB2312" w:eastAsia="仿宋_GB2312" w:cs="仿宋_GB2312"/>
          <w:sz w:val="21"/>
          <w:szCs w:val="21"/>
          <w:lang w:val="en-US" w:eastAsia="zh-CN"/>
        </w:rPr>
        <w:t>2020年新增</w:t>
      </w:r>
      <w:r>
        <w:rPr>
          <w:rFonts w:hint="eastAsia" w:ascii="仿宋_GB2312" w:hAnsi="仿宋_GB2312" w:eastAsia="仿宋_GB2312" w:cs="仿宋_GB2312"/>
          <w:sz w:val="21"/>
          <w:szCs w:val="21"/>
          <w:lang w:val="zh-CN" w:eastAsia="zh-CN"/>
        </w:rPr>
        <w:t>教学仪器设备总值为1466.77万元。学校专业实训工位逐渐增加，目前共有实训工位2312个：其中旅游专业260个，酒店专业455个，园林专业550个，金融专业203个，商务专业424个，公共课程420个。为提升学生阅读能力，便于学生查阅学习，学校购入大量图书。目前，学校图书馆藏书总量为115.16 万册，其中纸质图书15.16万册（生均67.8册），比 2019 年增加1795册。</w:t>
      </w:r>
    </w:p>
    <w:p>
      <w:pPr>
        <w:wordWrap/>
        <w:adjustRightInd/>
        <w:snapToGrid/>
        <w:spacing w:before="157" w:beforeLines="50" w:afterLines="0" w:line="360" w:lineRule="auto"/>
        <w:ind w:firstLine="421" w:firstLineChars="200"/>
        <w:textAlignment w:val="auto"/>
        <w:rPr>
          <w:rFonts w:hint="eastAsia" w:ascii="宋体" w:hAnsi="宋体" w:eastAsia="宋体" w:cs="宋体"/>
          <w:color w:val="auto"/>
          <w:kern w:val="0"/>
          <w:sz w:val="21"/>
          <w:szCs w:val="21"/>
        </w:rPr>
      </w:pPr>
      <w:r>
        <w:rPr>
          <w:rFonts w:hint="eastAsia" w:ascii="宋体" w:hAnsi="宋体" w:eastAsia="宋体" w:cs="仿宋_GB2312"/>
          <w:b/>
          <w:kern w:val="0"/>
          <w:sz w:val="21"/>
          <w:szCs w:val="21"/>
        </w:rPr>
        <w:t>生均指标增长</w:t>
      </w:r>
      <w:r>
        <w:rPr>
          <w:rFonts w:hint="eastAsia" w:ascii="宋体" w:hAnsi="宋体" w:cs="仿宋_GB2312"/>
          <w:b/>
          <w:kern w:val="0"/>
          <w:sz w:val="21"/>
          <w:szCs w:val="21"/>
          <w:lang w:eastAsia="zh-CN"/>
        </w:rPr>
        <w:t>，</w:t>
      </w:r>
      <w:r>
        <w:rPr>
          <w:rFonts w:hint="eastAsia" w:ascii="宋体" w:hAnsi="宋体" w:eastAsia="宋体" w:cs="仿宋_GB2312"/>
          <w:b/>
          <w:kern w:val="0"/>
          <w:sz w:val="21"/>
          <w:szCs w:val="21"/>
        </w:rPr>
        <w:t>标准适度超前</w:t>
      </w:r>
      <w:r>
        <w:rPr>
          <w:rFonts w:hint="eastAsia" w:ascii="宋体" w:hAnsi="宋体" w:eastAsia="宋体" w:cs="宋体"/>
          <w:b/>
          <w:bCs/>
          <w:color w:val="auto"/>
          <w:sz w:val="21"/>
          <w:szCs w:val="21"/>
          <w:lang w:val="en-US" w:eastAsia="zh-CN"/>
        </w:rPr>
        <w:t>。</w:t>
      </w:r>
      <w:r>
        <w:rPr>
          <w:rFonts w:hint="eastAsia" w:ascii="宋体" w:hAnsi="宋体" w:eastAsia="宋体" w:cs="宋体"/>
          <w:color w:val="auto"/>
          <w:kern w:val="0"/>
          <w:sz w:val="21"/>
          <w:szCs w:val="21"/>
        </w:rPr>
        <w:t>通过综合性品牌实训基地、示范性校企合作共同体、技能名师工作室以及教学实训车间建设，保证设施设备足额投入并适度超前，生均各项指标略有增长(表3)</w:t>
      </w:r>
      <w:r>
        <w:rPr>
          <w:rFonts w:hint="eastAsia" w:ascii="宋体" w:hAnsi="宋体" w:cs="宋体"/>
          <w:color w:val="auto"/>
          <w:kern w:val="0"/>
          <w:sz w:val="21"/>
          <w:szCs w:val="21"/>
          <w:lang w:eastAsia="zh-CN"/>
        </w:rPr>
        <w:t>，</w:t>
      </w:r>
      <w:r>
        <w:rPr>
          <w:rFonts w:hint="eastAsia" w:ascii="宋体" w:hAnsi="宋体" w:eastAsia="宋体" w:cs="宋体"/>
          <w:color w:val="auto"/>
          <w:kern w:val="0"/>
          <w:sz w:val="21"/>
          <w:szCs w:val="21"/>
        </w:rPr>
        <w:t>设施设备生均指标普遍高于国家标准 (表4)。中职学校配备的专业设施设备，满足了学生校内专业实习实训的需要，也满足了社会职业培训和专业技能考核鉴定的需要。</w:t>
      </w:r>
    </w:p>
    <w:p>
      <w:pPr>
        <w:wordWrap/>
        <w:spacing w:beforeLines="0" w:afterLines="0" w:line="360" w:lineRule="auto"/>
        <w:ind w:firstLine="105" w:firstLineChars="50"/>
        <w:jc w:val="center"/>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表3 2019-2020年杭州市中等职业学校生均各项指标情况</w:t>
      </w:r>
    </w:p>
    <w:tbl>
      <w:tblPr>
        <w:tblStyle w:val="23"/>
        <w:tblW w:w="84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885"/>
        <w:gridCol w:w="1132"/>
        <w:gridCol w:w="1190"/>
        <w:gridCol w:w="1210"/>
        <w:gridCol w:w="1143"/>
        <w:gridCol w:w="993"/>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tcBorders>
              <w:top w:val="single" w:color="auto" w:sz="4" w:space="0"/>
              <w:left w:val="single" w:color="auto" w:sz="4" w:space="0"/>
              <w:bottom w:val="single" w:color="auto" w:sz="4" w:space="0"/>
              <w:right w:val="single" w:color="auto" w:sz="4" w:space="0"/>
              <w:tl2br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 xml:space="preserve">   项目</w:t>
            </w:r>
          </w:p>
          <w:p>
            <w:pPr>
              <w:wordWrap/>
              <w:spacing w:beforeLines="0" w:afterLines="0" w:line="400" w:lineRule="exact"/>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年份</w:t>
            </w:r>
          </w:p>
        </w:tc>
        <w:tc>
          <w:tcPr>
            <w:tcW w:w="885"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在校生数</w:t>
            </w:r>
          </w:p>
        </w:tc>
        <w:tc>
          <w:tcPr>
            <w:tcW w:w="1132" w:type="dxa"/>
            <w:tcBorders>
              <w:top w:val="single" w:color="auto" w:sz="4" w:space="0"/>
              <w:left w:val="single" w:color="auto" w:sz="4" w:space="0"/>
              <w:bottom w:val="single" w:color="auto" w:sz="4" w:space="0"/>
              <w:right w:val="single" w:color="auto" w:sz="4" w:space="0"/>
            </w:tcBorders>
            <w:vAlign w:val="top"/>
          </w:tcPr>
          <w:p>
            <w:pPr>
              <w:wordWrap/>
              <w:spacing w:beforeLines="0" w:afterLines="0" w:line="400" w:lineRule="exact"/>
              <w:jc w:val="center"/>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生均占地面积（平方米）</w:t>
            </w:r>
          </w:p>
        </w:tc>
        <w:tc>
          <w:tcPr>
            <w:tcW w:w="1190" w:type="dxa"/>
            <w:tcBorders>
              <w:top w:val="single" w:color="auto" w:sz="4" w:space="0"/>
              <w:left w:val="single" w:color="auto" w:sz="4" w:space="0"/>
              <w:bottom w:val="single" w:color="auto" w:sz="4" w:space="0"/>
              <w:right w:val="single" w:color="auto" w:sz="4" w:space="0"/>
            </w:tcBorders>
            <w:vAlign w:val="top"/>
          </w:tcPr>
          <w:p>
            <w:pPr>
              <w:wordWrap/>
              <w:spacing w:beforeLines="0" w:afterLines="0" w:line="400" w:lineRule="exact"/>
              <w:jc w:val="center"/>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生均建筑面积（平方米）</w:t>
            </w:r>
          </w:p>
        </w:tc>
        <w:tc>
          <w:tcPr>
            <w:tcW w:w="1210" w:type="dxa"/>
            <w:tcBorders>
              <w:top w:val="single" w:color="auto" w:sz="4" w:space="0"/>
              <w:left w:val="single" w:color="auto" w:sz="4" w:space="0"/>
              <w:bottom w:val="single" w:color="auto" w:sz="4" w:space="0"/>
              <w:right w:val="single" w:color="auto" w:sz="4" w:space="0"/>
            </w:tcBorders>
            <w:vAlign w:val="top"/>
          </w:tcPr>
          <w:p>
            <w:pPr>
              <w:wordWrap/>
              <w:spacing w:beforeLines="0" w:afterLines="0" w:line="400" w:lineRule="exact"/>
              <w:jc w:val="center"/>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生均固定资产值（万元）</w:t>
            </w:r>
          </w:p>
        </w:tc>
        <w:tc>
          <w:tcPr>
            <w:tcW w:w="1143" w:type="dxa"/>
            <w:tcBorders>
              <w:top w:val="single" w:color="auto" w:sz="4" w:space="0"/>
              <w:left w:val="single" w:color="auto" w:sz="4" w:space="0"/>
              <w:bottom w:val="single" w:color="auto" w:sz="4" w:space="0"/>
              <w:right w:val="single" w:color="auto" w:sz="4" w:space="0"/>
            </w:tcBorders>
            <w:vAlign w:val="top"/>
          </w:tcPr>
          <w:p>
            <w:pPr>
              <w:wordWrap/>
              <w:spacing w:beforeLines="0" w:afterLines="0" w:line="400" w:lineRule="exact"/>
              <w:jc w:val="center"/>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生均仪器设备值（万元）</w:t>
            </w:r>
          </w:p>
        </w:tc>
        <w:tc>
          <w:tcPr>
            <w:tcW w:w="993"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生均图书（册）</w:t>
            </w:r>
          </w:p>
        </w:tc>
        <w:tc>
          <w:tcPr>
            <w:tcW w:w="852" w:type="dxa"/>
            <w:tcBorders>
              <w:top w:val="single" w:color="auto" w:sz="4" w:space="0"/>
              <w:left w:val="single" w:color="auto" w:sz="4" w:space="0"/>
              <w:bottom w:val="single" w:color="auto" w:sz="4" w:space="0"/>
              <w:right w:val="single" w:color="auto" w:sz="4" w:space="0"/>
            </w:tcBorders>
            <w:vAlign w:val="top"/>
          </w:tcPr>
          <w:p>
            <w:pPr>
              <w:wordWrap/>
              <w:spacing w:beforeLines="0" w:afterLines="0" w:line="400" w:lineRule="exact"/>
              <w:jc w:val="center"/>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生均计算机（台）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2019年</w:t>
            </w:r>
          </w:p>
        </w:tc>
        <w:tc>
          <w:tcPr>
            <w:tcW w:w="885"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56711</w:t>
            </w:r>
          </w:p>
        </w:tc>
        <w:tc>
          <w:tcPr>
            <w:tcW w:w="1132"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35.57 </w:t>
            </w:r>
          </w:p>
        </w:tc>
        <w:tc>
          <w:tcPr>
            <w:tcW w:w="1190"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24.31 </w:t>
            </w:r>
          </w:p>
        </w:tc>
        <w:tc>
          <w:tcPr>
            <w:tcW w:w="1210"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6.37 </w:t>
            </w:r>
          </w:p>
        </w:tc>
        <w:tc>
          <w:tcPr>
            <w:tcW w:w="1143"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1.41 </w:t>
            </w:r>
          </w:p>
        </w:tc>
        <w:tc>
          <w:tcPr>
            <w:tcW w:w="993"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50.13 </w:t>
            </w:r>
          </w:p>
        </w:tc>
        <w:tc>
          <w:tcPr>
            <w:tcW w:w="852"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0.49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2020年</w:t>
            </w:r>
          </w:p>
        </w:tc>
        <w:tc>
          <w:tcPr>
            <w:tcW w:w="885"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59030</w:t>
            </w:r>
          </w:p>
        </w:tc>
        <w:tc>
          <w:tcPr>
            <w:tcW w:w="1132"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36.00</w:t>
            </w:r>
          </w:p>
        </w:tc>
        <w:tc>
          <w:tcPr>
            <w:tcW w:w="1190"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25.41</w:t>
            </w:r>
          </w:p>
        </w:tc>
        <w:tc>
          <w:tcPr>
            <w:tcW w:w="1210"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6.90</w:t>
            </w:r>
          </w:p>
        </w:tc>
        <w:tc>
          <w:tcPr>
            <w:tcW w:w="1143"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1.49</w:t>
            </w:r>
          </w:p>
        </w:tc>
        <w:tc>
          <w:tcPr>
            <w:tcW w:w="993"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49.94</w:t>
            </w:r>
          </w:p>
        </w:tc>
        <w:tc>
          <w:tcPr>
            <w:tcW w:w="852"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0.49</w:t>
            </w:r>
          </w:p>
        </w:tc>
      </w:tr>
    </w:tbl>
    <w:p>
      <w:pPr>
        <w:wordWrap/>
        <w:spacing w:beforeLines="0" w:afterLines="0" w:line="360" w:lineRule="auto"/>
        <w:ind w:firstLine="420" w:firstLineChars="200"/>
        <w:jc w:val="left"/>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数据来源：《杭州市教育事业</w:t>
      </w:r>
      <w:r>
        <w:rPr>
          <w:rFonts w:hint="eastAsia" w:ascii="仿宋_GB2312" w:hAnsi="仿宋_GB2312" w:eastAsia="仿宋_GB2312" w:cs="仿宋_GB2312"/>
          <w:color w:val="auto"/>
          <w:sz w:val="21"/>
          <w:szCs w:val="21"/>
          <w:lang w:val="en-US" w:eastAsia="zh-CN"/>
        </w:rPr>
        <w:t>统计资料》（</w:t>
      </w:r>
      <w:r>
        <w:rPr>
          <w:rFonts w:hint="eastAsia" w:ascii="仿宋_GB2312" w:hAnsi="仿宋_GB2312" w:eastAsia="仿宋_GB2312" w:cs="仿宋_GB2312"/>
          <w:color w:val="auto"/>
          <w:sz w:val="21"/>
          <w:szCs w:val="21"/>
        </w:rPr>
        <w:t>201</w:t>
      </w:r>
      <w:r>
        <w:rPr>
          <w:rFonts w:hint="eastAsia" w:ascii="仿宋_GB2312" w:hAnsi="仿宋_GB2312" w:eastAsia="仿宋_GB2312" w:cs="仿宋_GB2312"/>
          <w:color w:val="auto"/>
          <w:sz w:val="21"/>
          <w:szCs w:val="21"/>
          <w:lang w:val="en-US" w:eastAsia="zh-CN"/>
        </w:rPr>
        <w:t>9/</w:t>
      </w:r>
      <w:r>
        <w:rPr>
          <w:rFonts w:hint="eastAsia" w:ascii="仿宋_GB2312" w:hAnsi="仿宋_GB2312" w:eastAsia="仿宋_GB2312" w:cs="仿宋_GB2312"/>
          <w:color w:val="auto"/>
          <w:sz w:val="21"/>
          <w:szCs w:val="21"/>
        </w:rPr>
        <w:t>20</w:t>
      </w:r>
      <w:r>
        <w:rPr>
          <w:rFonts w:hint="eastAsia" w:ascii="仿宋_GB2312" w:hAnsi="仿宋_GB2312" w:eastAsia="仿宋_GB2312" w:cs="仿宋_GB2312"/>
          <w:color w:val="auto"/>
          <w:sz w:val="21"/>
          <w:szCs w:val="21"/>
          <w:lang w:eastAsia="zh-CN"/>
        </w:rPr>
        <w:t>2</w:t>
      </w:r>
      <w:r>
        <w:rPr>
          <w:rFonts w:hint="eastAsia" w:ascii="仿宋_GB2312" w:hAnsi="仿宋_GB2312" w:eastAsia="仿宋_GB2312" w:cs="仿宋_GB2312"/>
          <w:color w:val="auto"/>
          <w:sz w:val="21"/>
          <w:szCs w:val="21"/>
          <w:lang w:val="en-US" w:eastAsia="zh-CN"/>
        </w:rPr>
        <w:t>0</w:t>
      </w:r>
      <w:r>
        <w:rPr>
          <w:rFonts w:hint="eastAsia" w:ascii="仿宋_GB2312" w:hAnsi="仿宋_GB2312" w:eastAsia="仿宋_GB2312" w:cs="仿宋_GB2312"/>
          <w:color w:val="auto"/>
          <w:sz w:val="21"/>
          <w:szCs w:val="21"/>
        </w:rPr>
        <w:t>学年</w:t>
      </w:r>
      <w:r>
        <w:rPr>
          <w:rFonts w:hint="eastAsia" w:ascii="仿宋_GB2312" w:hAnsi="仿宋_GB2312" w:eastAsia="仿宋_GB2312" w:cs="仿宋_GB2312"/>
          <w:color w:val="auto"/>
          <w:sz w:val="21"/>
          <w:szCs w:val="21"/>
          <w:lang w:val="en-US" w:eastAsia="zh-CN"/>
        </w:rPr>
        <w:t>初</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20</w:t>
      </w:r>
      <w:r>
        <w:rPr>
          <w:rFonts w:hint="eastAsia" w:ascii="仿宋_GB2312" w:hAnsi="仿宋_GB2312" w:eastAsia="仿宋_GB2312" w:cs="仿宋_GB2312"/>
          <w:color w:val="auto"/>
          <w:sz w:val="21"/>
          <w:szCs w:val="21"/>
          <w:lang w:eastAsia="zh-CN"/>
        </w:rPr>
        <w:t>2</w:t>
      </w:r>
      <w:r>
        <w:rPr>
          <w:rFonts w:hint="eastAsia" w:ascii="仿宋_GB2312" w:hAnsi="仿宋_GB2312" w:eastAsia="仿宋_GB2312" w:cs="仿宋_GB2312"/>
          <w:color w:val="auto"/>
          <w:sz w:val="21"/>
          <w:szCs w:val="21"/>
          <w:lang w:val="en-US" w:eastAsia="zh-CN"/>
        </w:rPr>
        <w:t>0/</w:t>
      </w:r>
      <w:r>
        <w:rPr>
          <w:rFonts w:hint="eastAsia" w:ascii="仿宋_GB2312" w:hAnsi="仿宋_GB2312" w:eastAsia="仿宋_GB2312" w:cs="仿宋_GB2312"/>
          <w:color w:val="auto"/>
          <w:sz w:val="21"/>
          <w:szCs w:val="21"/>
        </w:rPr>
        <w:t>202</w:t>
      </w: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rPr>
        <w:t>学年初</w:t>
      </w:r>
      <w:r>
        <w:rPr>
          <w:rFonts w:hint="eastAsia" w:ascii="仿宋_GB2312" w:hAnsi="仿宋_GB2312" w:eastAsia="仿宋_GB2312" w:cs="仿宋_GB2312"/>
          <w:color w:val="auto"/>
          <w:sz w:val="21"/>
          <w:szCs w:val="21"/>
          <w:lang w:val="en-US" w:eastAsia="zh-CN"/>
        </w:rPr>
        <w:t>）</w:t>
      </w:r>
    </w:p>
    <w:p>
      <w:pPr>
        <w:wordWrap/>
        <w:spacing w:beforeLines="0" w:afterLines="0" w:line="360" w:lineRule="auto"/>
        <w:ind w:firstLine="105" w:firstLineChars="50"/>
        <w:jc w:val="center"/>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表4 2020年杭州市中等职业学校设施设备生均情况</w:t>
      </w:r>
    </w:p>
    <w:tbl>
      <w:tblPr>
        <w:tblStyle w:val="23"/>
        <w:tblW w:w="8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4"/>
        <w:gridCol w:w="1607"/>
        <w:gridCol w:w="1380"/>
        <w:gridCol w:w="1410"/>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04"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项  目</w:t>
            </w:r>
          </w:p>
        </w:tc>
        <w:tc>
          <w:tcPr>
            <w:tcW w:w="1607"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杭州2020年</w:t>
            </w:r>
          </w:p>
        </w:tc>
        <w:tc>
          <w:tcPr>
            <w:tcW w:w="1380"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国家标准</w:t>
            </w:r>
          </w:p>
        </w:tc>
        <w:tc>
          <w:tcPr>
            <w:tcW w:w="1410"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超标数值</w:t>
            </w:r>
          </w:p>
        </w:tc>
        <w:tc>
          <w:tcPr>
            <w:tcW w:w="1219"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超标幅度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04"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生均占地面积（平方米）</w:t>
            </w:r>
          </w:p>
        </w:tc>
        <w:tc>
          <w:tcPr>
            <w:tcW w:w="1607"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36.00</w:t>
            </w:r>
          </w:p>
        </w:tc>
        <w:tc>
          <w:tcPr>
            <w:tcW w:w="1380"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33</w:t>
            </w:r>
          </w:p>
        </w:tc>
        <w:tc>
          <w:tcPr>
            <w:tcW w:w="1410"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3</w:t>
            </w:r>
            <w:r>
              <w:rPr>
                <w:rFonts w:hint="eastAsia" w:ascii="仿宋_GB2312" w:hAnsi="仿宋_GB2312" w:eastAsia="仿宋_GB2312" w:cs="仿宋_GB2312"/>
                <w:color w:val="auto"/>
                <w:sz w:val="21"/>
                <w:szCs w:val="21"/>
                <w:lang w:val="en-US" w:eastAsia="zh-CN"/>
              </w:rPr>
              <w:t>.00</w:t>
            </w:r>
          </w:p>
        </w:tc>
        <w:tc>
          <w:tcPr>
            <w:tcW w:w="1219"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9</w:t>
            </w:r>
            <w:r>
              <w:rPr>
                <w:rFonts w:hint="eastAsia" w:ascii="仿宋_GB2312" w:hAnsi="仿宋_GB2312" w:eastAsia="仿宋_GB2312" w:cs="仿宋_GB2312"/>
                <w:color w:val="auto"/>
                <w:sz w:val="21"/>
                <w:szCs w:val="21"/>
                <w:lang w:val="en-US" w:eastAsia="zh-CN"/>
              </w:rPr>
              <w:t>.09</w:t>
            </w: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04"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生均建筑面积（平方米）</w:t>
            </w:r>
          </w:p>
        </w:tc>
        <w:tc>
          <w:tcPr>
            <w:tcW w:w="1607"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25.41</w:t>
            </w:r>
          </w:p>
        </w:tc>
        <w:tc>
          <w:tcPr>
            <w:tcW w:w="1380"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20</w:t>
            </w:r>
          </w:p>
        </w:tc>
        <w:tc>
          <w:tcPr>
            <w:tcW w:w="1410"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5</w:t>
            </w:r>
            <w:r>
              <w:rPr>
                <w:rFonts w:hint="eastAsia" w:ascii="仿宋_GB2312" w:hAnsi="仿宋_GB2312" w:eastAsia="仿宋_GB2312" w:cs="仿宋_GB2312"/>
                <w:color w:val="auto"/>
                <w:sz w:val="21"/>
                <w:szCs w:val="21"/>
                <w:lang w:val="en-US" w:eastAsia="zh-CN"/>
              </w:rPr>
              <w:t>.41</w:t>
            </w:r>
          </w:p>
        </w:tc>
        <w:tc>
          <w:tcPr>
            <w:tcW w:w="1219"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2</w:t>
            </w:r>
            <w:r>
              <w:rPr>
                <w:rFonts w:hint="eastAsia" w:ascii="仿宋_GB2312" w:hAnsi="仿宋_GB2312" w:eastAsia="仿宋_GB2312" w:cs="仿宋_GB2312"/>
                <w:color w:val="auto"/>
                <w:sz w:val="21"/>
                <w:szCs w:val="21"/>
                <w:lang w:val="en-US" w:eastAsia="zh-CN"/>
              </w:rPr>
              <w:t>7.05</w:t>
            </w: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04"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生均仪器设备值（万元）</w:t>
            </w:r>
          </w:p>
        </w:tc>
        <w:tc>
          <w:tcPr>
            <w:tcW w:w="1607"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1.49</w:t>
            </w:r>
          </w:p>
        </w:tc>
        <w:tc>
          <w:tcPr>
            <w:tcW w:w="1380"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0.3</w:t>
            </w:r>
          </w:p>
        </w:tc>
        <w:tc>
          <w:tcPr>
            <w:tcW w:w="1410"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w:t>
            </w:r>
            <w:r>
              <w:rPr>
                <w:rFonts w:hint="eastAsia" w:ascii="仿宋_GB2312" w:hAnsi="仿宋_GB2312" w:eastAsia="仿宋_GB2312" w:cs="仿宋_GB2312"/>
                <w:color w:val="auto"/>
                <w:sz w:val="21"/>
                <w:szCs w:val="21"/>
                <w:lang w:val="en-US" w:eastAsia="zh-CN"/>
              </w:rPr>
              <w:t>19</w:t>
            </w:r>
          </w:p>
        </w:tc>
        <w:tc>
          <w:tcPr>
            <w:tcW w:w="1219"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3</w:t>
            </w:r>
            <w:r>
              <w:rPr>
                <w:rFonts w:hint="eastAsia" w:ascii="仿宋_GB2312" w:hAnsi="仿宋_GB2312" w:eastAsia="仿宋_GB2312" w:cs="仿宋_GB2312"/>
                <w:color w:val="auto"/>
                <w:sz w:val="21"/>
                <w:szCs w:val="21"/>
                <w:lang w:val="en-US" w:eastAsia="zh-CN"/>
              </w:rPr>
              <w:t>96.67</w:t>
            </w: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04"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生均图书（册）</w:t>
            </w:r>
          </w:p>
        </w:tc>
        <w:tc>
          <w:tcPr>
            <w:tcW w:w="1607"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49.94</w:t>
            </w:r>
          </w:p>
        </w:tc>
        <w:tc>
          <w:tcPr>
            <w:tcW w:w="1380"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30</w:t>
            </w:r>
          </w:p>
        </w:tc>
        <w:tc>
          <w:tcPr>
            <w:tcW w:w="1410"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1</w:t>
            </w:r>
            <w:r>
              <w:rPr>
                <w:rFonts w:hint="eastAsia" w:ascii="仿宋_GB2312" w:hAnsi="仿宋_GB2312" w:eastAsia="仿宋_GB2312" w:cs="仿宋_GB2312"/>
                <w:color w:val="auto"/>
                <w:sz w:val="21"/>
                <w:szCs w:val="21"/>
                <w:lang w:val="en-US" w:eastAsia="zh-CN"/>
              </w:rPr>
              <w:t>9.94</w:t>
            </w:r>
          </w:p>
        </w:tc>
        <w:tc>
          <w:tcPr>
            <w:tcW w:w="1219"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6</w:t>
            </w:r>
            <w:r>
              <w:rPr>
                <w:rFonts w:hint="eastAsia" w:ascii="仿宋_GB2312" w:hAnsi="仿宋_GB2312" w:eastAsia="仿宋_GB2312" w:cs="仿宋_GB2312"/>
                <w:color w:val="auto"/>
                <w:sz w:val="21"/>
                <w:szCs w:val="21"/>
                <w:lang w:val="en-US" w:eastAsia="zh-CN"/>
              </w:rPr>
              <w:t>6.47</w:t>
            </w: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04"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生均计算机（台）</w:t>
            </w:r>
          </w:p>
        </w:tc>
        <w:tc>
          <w:tcPr>
            <w:tcW w:w="1607"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0.49</w:t>
            </w:r>
          </w:p>
        </w:tc>
        <w:tc>
          <w:tcPr>
            <w:tcW w:w="1380"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0.15</w:t>
            </w:r>
          </w:p>
        </w:tc>
        <w:tc>
          <w:tcPr>
            <w:tcW w:w="1410"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0.34</w:t>
            </w:r>
          </w:p>
        </w:tc>
        <w:tc>
          <w:tcPr>
            <w:tcW w:w="1219"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226.67%</w:t>
            </w:r>
          </w:p>
        </w:tc>
      </w:tr>
    </w:tbl>
    <w:p>
      <w:pPr>
        <w:wordWrap/>
        <w:spacing w:beforeLines="0" w:afterLines="0" w:line="360" w:lineRule="exact"/>
        <w:ind w:firstLine="420" w:firstLineChars="20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数据来源：国家标准详见《教育部关于印发〈中等职业学校设置标准〉的通知》（教职成〔2010〕12号）</w:t>
      </w:r>
    </w:p>
    <w:p>
      <w:pPr>
        <w:keepNext w:val="0"/>
        <w:keepLines w:val="0"/>
        <w:wordWrap/>
        <w:adjustRightInd/>
        <w:snapToGrid/>
        <w:spacing w:before="157" w:beforeLines="50" w:after="0" w:afterLines="0" w:line="360" w:lineRule="auto"/>
        <w:ind w:left="0" w:leftChars="0" w:right="0" w:firstLine="450" w:firstLineChars="150"/>
        <w:jc w:val="left"/>
        <w:textAlignment w:val="auto"/>
        <w:outlineLvl w:val="9"/>
        <w:rPr>
          <w:rFonts w:hint="eastAsia" w:ascii="黑体" w:hAnsi="黑体" w:eastAsia="黑体" w:cs="黑体"/>
          <w:b w:val="0"/>
          <w:bCs w:val="0"/>
          <w:color w:val="auto"/>
          <w:kern w:val="44"/>
          <w:sz w:val="30"/>
          <w:szCs w:val="30"/>
          <w:lang w:val="en-US" w:eastAsia="zh-CN"/>
        </w:rPr>
      </w:pPr>
      <w:bookmarkStart w:id="45" w:name="_Toc1492449369_WPSOffice_Level2"/>
      <w:bookmarkStart w:id="46" w:name="_Toc28351850"/>
      <w:bookmarkStart w:id="47" w:name="_Toc1136307964_WPSOffice_Level2"/>
      <w:bookmarkStart w:id="48" w:name="_Toc29046987"/>
      <w:bookmarkStart w:id="49" w:name="_Toc23862"/>
      <w:r>
        <w:rPr>
          <w:rFonts w:hint="eastAsia" w:ascii="黑体" w:hAnsi="黑体" w:eastAsia="黑体" w:cs="黑体"/>
          <w:b w:val="0"/>
          <w:bCs w:val="0"/>
          <w:color w:val="auto"/>
          <w:kern w:val="44"/>
          <w:sz w:val="30"/>
          <w:szCs w:val="30"/>
          <w:lang w:val="en-US" w:eastAsia="zh-CN"/>
        </w:rPr>
        <w:t>1.3教师队伍</w:t>
      </w:r>
      <w:bookmarkEnd w:id="45"/>
      <w:bookmarkEnd w:id="46"/>
      <w:bookmarkEnd w:id="47"/>
      <w:bookmarkEnd w:id="48"/>
      <w:bookmarkEnd w:id="49"/>
    </w:p>
    <w:p>
      <w:pPr>
        <w:wordWrap/>
        <w:adjustRightInd/>
        <w:snapToGrid/>
        <w:spacing w:beforeLines="0" w:afterLines="0" w:line="360" w:lineRule="auto"/>
        <w:ind w:firstLine="421" w:firstLineChars="200"/>
        <w:jc w:val="left"/>
        <w:textAlignment w:val="auto"/>
        <w:rPr>
          <w:rFonts w:hint="eastAsia" w:ascii="宋体" w:hAnsi="宋体" w:eastAsia="宋体" w:cs="宋体"/>
          <w:color w:val="auto"/>
          <w:kern w:val="0"/>
          <w:sz w:val="21"/>
          <w:szCs w:val="21"/>
        </w:rPr>
      </w:pPr>
      <w:r>
        <w:rPr>
          <w:rFonts w:hint="eastAsia" w:ascii="宋体" w:hAnsi="宋体" w:eastAsia="宋体" w:cs="仿宋_GB2312"/>
          <w:b/>
          <w:kern w:val="0"/>
          <w:sz w:val="21"/>
          <w:szCs w:val="21"/>
        </w:rPr>
        <w:t>队伍结构合理，数量相对充足。</w:t>
      </w:r>
      <w:r>
        <w:rPr>
          <w:rFonts w:hint="eastAsia" w:ascii="宋体" w:hAnsi="宋体" w:eastAsia="宋体" w:cs="宋体"/>
          <w:color w:val="auto"/>
          <w:kern w:val="0"/>
          <w:sz w:val="21"/>
          <w:szCs w:val="21"/>
        </w:rPr>
        <w:t>从总量看</w:t>
      </w:r>
      <w:r>
        <w:rPr>
          <w:rFonts w:hint="eastAsia" w:ascii="宋体" w:hAnsi="宋体" w:eastAsia="宋体" w:cs="宋体"/>
          <w:b w:val="0"/>
          <w:bCs/>
          <w:color w:val="auto"/>
          <w:kern w:val="0"/>
          <w:sz w:val="21"/>
          <w:szCs w:val="21"/>
        </w:rPr>
        <w:t>，</w:t>
      </w:r>
      <w:r>
        <w:rPr>
          <w:rFonts w:hint="eastAsia" w:ascii="宋体" w:hAnsi="宋体" w:eastAsia="宋体" w:cs="宋体"/>
          <w:color w:val="auto"/>
          <w:kern w:val="0"/>
          <w:sz w:val="21"/>
          <w:szCs w:val="21"/>
        </w:rPr>
        <w:t>2020年杭州市中等职业学校教职工数52</w:t>
      </w:r>
      <w:r>
        <w:rPr>
          <w:rFonts w:hint="eastAsia" w:ascii="宋体" w:hAnsi="宋体" w:cs="宋体"/>
          <w:color w:val="auto"/>
          <w:kern w:val="0"/>
          <w:sz w:val="21"/>
          <w:szCs w:val="21"/>
          <w:lang w:eastAsia="zh-CN"/>
        </w:rPr>
        <w:t>5</w:t>
      </w:r>
      <w:r>
        <w:rPr>
          <w:rFonts w:hint="eastAsia" w:ascii="宋体" w:hAnsi="宋体" w:cs="宋体"/>
          <w:color w:val="auto"/>
          <w:kern w:val="0"/>
          <w:sz w:val="21"/>
          <w:szCs w:val="21"/>
          <w:lang w:val="en-US" w:eastAsia="zh-CN"/>
        </w:rPr>
        <w:t>3</w:t>
      </w:r>
      <w:r>
        <w:rPr>
          <w:rFonts w:hint="eastAsia" w:ascii="宋体" w:hAnsi="宋体" w:eastAsia="宋体" w:cs="宋体"/>
          <w:color w:val="auto"/>
          <w:kern w:val="0"/>
          <w:sz w:val="21"/>
          <w:szCs w:val="21"/>
        </w:rPr>
        <w:t>人，比2019年增加</w:t>
      </w:r>
      <w:r>
        <w:rPr>
          <w:rFonts w:hint="eastAsia" w:ascii="宋体" w:hAnsi="宋体" w:cs="宋体"/>
          <w:color w:val="auto"/>
          <w:kern w:val="0"/>
          <w:sz w:val="21"/>
          <w:szCs w:val="21"/>
          <w:lang w:eastAsia="zh-CN"/>
        </w:rPr>
        <w:t>2</w:t>
      </w:r>
      <w:r>
        <w:rPr>
          <w:rFonts w:hint="eastAsia" w:ascii="宋体" w:hAnsi="宋体" w:cs="宋体"/>
          <w:color w:val="auto"/>
          <w:kern w:val="0"/>
          <w:sz w:val="21"/>
          <w:szCs w:val="21"/>
          <w:lang w:val="en-US" w:eastAsia="zh-CN"/>
        </w:rPr>
        <w:t>2</w:t>
      </w:r>
      <w:r>
        <w:rPr>
          <w:rFonts w:hint="eastAsia" w:ascii="宋体" w:hAnsi="宋体" w:eastAsia="宋体" w:cs="宋体"/>
          <w:color w:val="auto"/>
          <w:kern w:val="0"/>
          <w:sz w:val="21"/>
          <w:szCs w:val="21"/>
        </w:rPr>
        <w:t>人，其中，专任教师数</w:t>
      </w:r>
      <w:r>
        <w:rPr>
          <w:rFonts w:hint="eastAsia" w:ascii="宋体" w:hAnsi="宋体" w:cs="宋体"/>
          <w:color w:val="auto"/>
          <w:kern w:val="0"/>
          <w:sz w:val="21"/>
          <w:szCs w:val="21"/>
          <w:lang w:eastAsia="zh-CN"/>
        </w:rPr>
        <w:t>4</w:t>
      </w:r>
      <w:r>
        <w:rPr>
          <w:rFonts w:hint="eastAsia" w:ascii="宋体" w:hAnsi="宋体" w:cs="宋体"/>
          <w:color w:val="auto"/>
          <w:kern w:val="0"/>
          <w:sz w:val="21"/>
          <w:szCs w:val="21"/>
          <w:lang w:val="en-US" w:eastAsia="zh-CN"/>
        </w:rPr>
        <w:t>702</w:t>
      </w:r>
      <w:r>
        <w:rPr>
          <w:rFonts w:hint="eastAsia" w:ascii="宋体" w:hAnsi="宋体" w:eastAsia="宋体" w:cs="宋体"/>
          <w:color w:val="auto"/>
          <w:kern w:val="0"/>
          <w:sz w:val="21"/>
          <w:szCs w:val="21"/>
        </w:rPr>
        <w:t>人，占教职工数的比例从8</w:t>
      </w:r>
      <w:r>
        <w:rPr>
          <w:rFonts w:hint="eastAsia" w:ascii="宋体" w:hAnsi="宋体" w:cs="宋体"/>
          <w:color w:val="auto"/>
          <w:kern w:val="0"/>
          <w:sz w:val="21"/>
          <w:szCs w:val="21"/>
          <w:lang w:eastAsia="zh-CN"/>
        </w:rPr>
        <w:t>9</w:t>
      </w:r>
      <w:r>
        <w:rPr>
          <w:rFonts w:hint="eastAsia" w:ascii="宋体" w:hAnsi="宋体" w:cs="宋体"/>
          <w:color w:val="auto"/>
          <w:kern w:val="0"/>
          <w:sz w:val="21"/>
          <w:szCs w:val="21"/>
          <w:lang w:val="en-US" w:eastAsia="zh-CN"/>
        </w:rPr>
        <w:t>.07</w:t>
      </w:r>
      <w:r>
        <w:rPr>
          <w:rFonts w:hint="eastAsia" w:ascii="宋体" w:hAnsi="宋体" w:eastAsia="宋体" w:cs="宋体"/>
          <w:color w:val="auto"/>
          <w:kern w:val="0"/>
          <w:sz w:val="21"/>
          <w:szCs w:val="21"/>
        </w:rPr>
        <w:t>%增</w:t>
      </w:r>
      <w:r>
        <w:rPr>
          <w:rFonts w:hint="eastAsia" w:ascii="宋体" w:hAnsi="宋体" w:cs="宋体"/>
          <w:color w:val="auto"/>
          <w:kern w:val="0"/>
          <w:sz w:val="21"/>
          <w:szCs w:val="21"/>
          <w:lang w:eastAsia="zh-CN"/>
        </w:rPr>
        <w:t>至</w:t>
      </w:r>
      <w:r>
        <w:rPr>
          <w:rFonts w:hint="eastAsia" w:ascii="宋体" w:hAnsi="宋体" w:eastAsia="宋体" w:cs="宋体"/>
          <w:color w:val="auto"/>
          <w:kern w:val="0"/>
          <w:sz w:val="21"/>
          <w:szCs w:val="21"/>
        </w:rPr>
        <w:t>89.</w:t>
      </w:r>
      <w:r>
        <w:rPr>
          <w:rFonts w:hint="eastAsia" w:ascii="宋体" w:hAnsi="宋体" w:cs="宋体"/>
          <w:color w:val="auto"/>
          <w:kern w:val="0"/>
          <w:sz w:val="21"/>
          <w:szCs w:val="21"/>
          <w:lang w:val="en-US" w:eastAsia="zh-CN"/>
        </w:rPr>
        <w:t>51</w:t>
      </w:r>
      <w:r>
        <w:rPr>
          <w:rFonts w:hint="eastAsia" w:ascii="宋体" w:hAnsi="宋体" w:eastAsia="宋体" w:cs="宋体"/>
          <w:color w:val="auto"/>
          <w:kern w:val="0"/>
          <w:sz w:val="21"/>
          <w:szCs w:val="21"/>
        </w:rPr>
        <w:t>%。从专业课教师配置看</w:t>
      </w:r>
      <w:r>
        <w:rPr>
          <w:rFonts w:hint="eastAsia" w:ascii="宋体" w:hAnsi="宋体" w:cs="宋体"/>
          <w:b w:val="0"/>
          <w:bCs/>
          <w:color w:val="auto"/>
          <w:kern w:val="0"/>
          <w:sz w:val="21"/>
          <w:szCs w:val="21"/>
          <w:lang w:eastAsia="zh-CN"/>
        </w:rPr>
        <w:t>，</w:t>
      </w:r>
      <w:r>
        <w:rPr>
          <w:rFonts w:hint="eastAsia" w:ascii="宋体" w:hAnsi="宋体" w:eastAsia="宋体" w:cs="宋体"/>
          <w:color w:val="auto"/>
          <w:kern w:val="0"/>
          <w:sz w:val="21"/>
          <w:szCs w:val="21"/>
        </w:rPr>
        <w:t>2020年专业课教师人数为2</w:t>
      </w:r>
      <w:r>
        <w:rPr>
          <w:rFonts w:hint="eastAsia" w:ascii="宋体" w:hAnsi="宋体" w:cs="宋体"/>
          <w:color w:val="auto"/>
          <w:kern w:val="0"/>
          <w:sz w:val="21"/>
          <w:szCs w:val="21"/>
          <w:lang w:val="en-US" w:eastAsia="zh-CN"/>
        </w:rPr>
        <w:t>287</w:t>
      </w:r>
      <w:r>
        <w:rPr>
          <w:rFonts w:hint="eastAsia" w:ascii="宋体" w:hAnsi="宋体" w:eastAsia="宋体" w:cs="宋体"/>
          <w:color w:val="auto"/>
          <w:kern w:val="0"/>
          <w:sz w:val="21"/>
          <w:szCs w:val="21"/>
        </w:rPr>
        <w:t>人，占专任教师数</w:t>
      </w:r>
      <w:r>
        <w:rPr>
          <w:rFonts w:hint="eastAsia" w:ascii="宋体" w:hAnsi="宋体" w:cs="宋体"/>
          <w:color w:val="auto"/>
          <w:kern w:val="0"/>
          <w:sz w:val="21"/>
          <w:szCs w:val="21"/>
          <w:lang w:eastAsia="zh-CN"/>
        </w:rPr>
        <w:t>的4</w:t>
      </w:r>
      <w:r>
        <w:rPr>
          <w:rFonts w:hint="eastAsia" w:ascii="宋体" w:hAnsi="宋体" w:cs="宋体"/>
          <w:color w:val="auto"/>
          <w:kern w:val="0"/>
          <w:sz w:val="21"/>
          <w:szCs w:val="21"/>
          <w:lang w:val="en-US" w:eastAsia="zh-CN"/>
        </w:rPr>
        <w:t>8.64</w:t>
      </w:r>
      <w:r>
        <w:rPr>
          <w:rFonts w:hint="eastAsia" w:ascii="宋体" w:hAnsi="宋体" w:eastAsia="宋体" w:cs="宋体"/>
          <w:color w:val="auto"/>
          <w:kern w:val="0"/>
          <w:sz w:val="21"/>
          <w:szCs w:val="21"/>
        </w:rPr>
        <w:t>%，其中，外聘兼职教师</w:t>
      </w:r>
      <w:r>
        <w:rPr>
          <w:rFonts w:hint="eastAsia" w:ascii="宋体" w:hAnsi="宋体" w:cs="宋体"/>
          <w:color w:val="auto"/>
          <w:kern w:val="0"/>
          <w:sz w:val="21"/>
          <w:szCs w:val="21"/>
          <w:lang w:eastAsia="zh-CN"/>
        </w:rPr>
        <w:t>4</w:t>
      </w:r>
      <w:r>
        <w:rPr>
          <w:rFonts w:hint="eastAsia" w:ascii="宋体" w:hAnsi="宋体" w:cs="宋体"/>
          <w:color w:val="auto"/>
          <w:kern w:val="0"/>
          <w:sz w:val="21"/>
          <w:szCs w:val="21"/>
          <w:lang w:val="en-US" w:eastAsia="zh-CN"/>
        </w:rPr>
        <w:t>01</w:t>
      </w:r>
      <w:r>
        <w:rPr>
          <w:rFonts w:hint="eastAsia" w:ascii="宋体" w:hAnsi="宋体" w:eastAsia="宋体" w:cs="宋体"/>
          <w:color w:val="auto"/>
          <w:kern w:val="0"/>
          <w:sz w:val="21"/>
          <w:szCs w:val="21"/>
        </w:rPr>
        <w:t>人。从学历结构看（表5），专任教师本科以上学历</w:t>
      </w:r>
      <w:r>
        <w:rPr>
          <w:rFonts w:hint="eastAsia" w:ascii="宋体" w:hAnsi="宋体" w:cs="宋体"/>
          <w:color w:val="auto"/>
          <w:kern w:val="0"/>
          <w:sz w:val="21"/>
          <w:szCs w:val="21"/>
          <w:lang w:eastAsia="zh-CN"/>
        </w:rPr>
        <w:t>4</w:t>
      </w:r>
      <w:r>
        <w:rPr>
          <w:rFonts w:hint="eastAsia" w:ascii="宋体" w:hAnsi="宋体" w:cs="宋体"/>
          <w:color w:val="auto"/>
          <w:kern w:val="0"/>
          <w:sz w:val="21"/>
          <w:szCs w:val="21"/>
          <w:lang w:val="en-US" w:eastAsia="zh-CN"/>
        </w:rPr>
        <w:t>664</w:t>
      </w:r>
      <w:r>
        <w:rPr>
          <w:rFonts w:hint="eastAsia" w:ascii="宋体" w:hAnsi="宋体" w:eastAsia="宋体" w:cs="宋体"/>
          <w:color w:val="auto"/>
          <w:kern w:val="0"/>
          <w:sz w:val="21"/>
          <w:szCs w:val="21"/>
        </w:rPr>
        <w:t>人，占专任教师总数的</w:t>
      </w:r>
      <w:r>
        <w:rPr>
          <w:rFonts w:hint="eastAsia" w:ascii="宋体" w:hAnsi="宋体" w:cs="宋体"/>
          <w:color w:val="auto"/>
          <w:kern w:val="0"/>
          <w:sz w:val="21"/>
          <w:szCs w:val="21"/>
          <w:lang w:eastAsia="zh-CN"/>
        </w:rPr>
        <w:t>9</w:t>
      </w:r>
      <w:r>
        <w:rPr>
          <w:rFonts w:hint="eastAsia" w:ascii="宋体" w:hAnsi="宋体" w:cs="宋体"/>
          <w:color w:val="auto"/>
          <w:kern w:val="0"/>
          <w:sz w:val="21"/>
          <w:szCs w:val="21"/>
          <w:lang w:val="en-US" w:eastAsia="zh-CN"/>
        </w:rPr>
        <w:t>9.19</w:t>
      </w:r>
      <w:r>
        <w:rPr>
          <w:rFonts w:hint="eastAsia" w:ascii="宋体" w:hAnsi="宋体" w:eastAsia="宋体" w:cs="宋体"/>
          <w:color w:val="auto"/>
          <w:kern w:val="0"/>
          <w:sz w:val="21"/>
          <w:szCs w:val="21"/>
        </w:rPr>
        <w:t>%，其中硕士研究生及以上学历 6</w:t>
      </w:r>
      <w:r>
        <w:rPr>
          <w:rFonts w:hint="eastAsia" w:ascii="宋体" w:hAnsi="宋体" w:cs="宋体"/>
          <w:color w:val="auto"/>
          <w:kern w:val="0"/>
          <w:sz w:val="21"/>
          <w:szCs w:val="21"/>
          <w:lang w:val="en-US" w:eastAsia="zh-CN"/>
        </w:rPr>
        <w:t>99</w:t>
      </w:r>
      <w:r>
        <w:rPr>
          <w:rFonts w:hint="eastAsia" w:ascii="宋体" w:hAnsi="宋体" w:eastAsia="宋体" w:cs="宋体"/>
          <w:color w:val="auto"/>
          <w:kern w:val="0"/>
          <w:sz w:val="21"/>
          <w:szCs w:val="21"/>
        </w:rPr>
        <w:t>人，占专任教师总数的 1</w:t>
      </w:r>
      <w:r>
        <w:rPr>
          <w:rFonts w:hint="eastAsia" w:ascii="宋体" w:hAnsi="宋体" w:cs="宋体"/>
          <w:color w:val="auto"/>
          <w:kern w:val="0"/>
          <w:sz w:val="21"/>
          <w:szCs w:val="21"/>
          <w:lang w:val="en-US" w:eastAsia="zh-CN"/>
        </w:rPr>
        <w:t>4</w:t>
      </w:r>
      <w:r>
        <w:rPr>
          <w:rFonts w:hint="eastAsia" w:ascii="宋体" w:hAnsi="宋体" w:eastAsia="宋体" w:cs="宋体"/>
          <w:color w:val="auto"/>
          <w:kern w:val="0"/>
          <w:sz w:val="21"/>
          <w:szCs w:val="21"/>
        </w:rPr>
        <w:t>.87%；从职称级别看（表6），专任教师</w:t>
      </w:r>
      <w:r>
        <w:rPr>
          <w:rFonts w:hint="eastAsia" w:ascii="宋体" w:hAnsi="宋体" w:cs="宋体"/>
          <w:color w:val="auto"/>
          <w:kern w:val="0"/>
          <w:sz w:val="21"/>
          <w:szCs w:val="21"/>
          <w:lang w:eastAsia="zh-CN"/>
        </w:rPr>
        <w:t>中</w:t>
      </w:r>
      <w:r>
        <w:rPr>
          <w:rFonts w:hint="eastAsia" w:ascii="宋体" w:hAnsi="宋体" w:eastAsia="宋体" w:cs="宋体"/>
          <w:color w:val="auto"/>
          <w:kern w:val="0"/>
          <w:sz w:val="21"/>
          <w:szCs w:val="21"/>
        </w:rPr>
        <w:t>高级职称教师15</w:t>
      </w:r>
      <w:r>
        <w:rPr>
          <w:rFonts w:hint="eastAsia" w:ascii="宋体" w:hAnsi="宋体" w:cs="宋体"/>
          <w:color w:val="auto"/>
          <w:kern w:val="0"/>
          <w:sz w:val="21"/>
          <w:szCs w:val="21"/>
          <w:lang w:val="en-US" w:eastAsia="zh-CN"/>
        </w:rPr>
        <w:t>87</w:t>
      </w:r>
      <w:r>
        <w:rPr>
          <w:rFonts w:hint="eastAsia" w:ascii="宋体" w:hAnsi="宋体" w:eastAsia="宋体" w:cs="宋体"/>
          <w:color w:val="auto"/>
          <w:kern w:val="0"/>
          <w:sz w:val="21"/>
          <w:szCs w:val="21"/>
        </w:rPr>
        <w:t>人，占专任教师总数的3</w:t>
      </w:r>
      <w:r>
        <w:rPr>
          <w:rFonts w:hint="eastAsia" w:ascii="宋体" w:hAnsi="宋体" w:cs="宋体"/>
          <w:color w:val="auto"/>
          <w:kern w:val="0"/>
          <w:sz w:val="21"/>
          <w:szCs w:val="21"/>
          <w:lang w:val="en-US" w:eastAsia="zh-CN"/>
        </w:rPr>
        <w:t>3.75</w:t>
      </w:r>
      <w:r>
        <w:rPr>
          <w:rFonts w:hint="eastAsia" w:ascii="宋体" w:hAnsi="宋体" w:eastAsia="宋体" w:cs="宋体"/>
          <w:color w:val="auto"/>
          <w:kern w:val="0"/>
          <w:sz w:val="21"/>
          <w:szCs w:val="21"/>
        </w:rPr>
        <w:t>%。</w:t>
      </w:r>
    </w:p>
    <w:p>
      <w:pPr>
        <w:wordWrap/>
        <w:spacing w:beforeLines="0" w:afterLines="0" w:line="360" w:lineRule="auto"/>
        <w:ind w:firstLine="105" w:firstLineChars="50"/>
        <w:jc w:val="center"/>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表5  2019-2020年杭州市中等职业学校教师学历结构</w:t>
      </w:r>
      <w:r>
        <w:rPr>
          <w:rFonts w:hint="eastAsia" w:ascii="宋体" w:hAnsi="宋体" w:cs="宋体"/>
          <w:b/>
          <w:color w:val="auto"/>
          <w:sz w:val="21"/>
          <w:szCs w:val="21"/>
          <w:lang w:val="en-US" w:eastAsia="zh-CN"/>
        </w:rPr>
        <w:t>情况</w:t>
      </w:r>
    </w:p>
    <w:tbl>
      <w:tblPr>
        <w:tblStyle w:val="23"/>
        <w:tblW w:w="8112" w:type="dxa"/>
        <w:tblInd w:w="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3"/>
        <w:gridCol w:w="1552"/>
        <w:gridCol w:w="1552"/>
        <w:gridCol w:w="1552"/>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3" w:type="dxa"/>
            <w:vMerge w:val="restart"/>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学历</w:t>
            </w:r>
          </w:p>
        </w:tc>
        <w:tc>
          <w:tcPr>
            <w:tcW w:w="3104" w:type="dxa"/>
            <w:gridSpan w:val="2"/>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2019年</w:t>
            </w:r>
          </w:p>
        </w:tc>
        <w:tc>
          <w:tcPr>
            <w:tcW w:w="3105" w:type="dxa"/>
            <w:gridSpan w:val="2"/>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3" w:type="dxa"/>
            <w:vMerge w:val="continue"/>
            <w:tcBorders>
              <w:top w:val="single" w:color="auto" w:sz="4" w:space="0"/>
              <w:left w:val="single" w:color="auto" w:sz="4" w:space="0"/>
              <w:bottom w:val="single" w:color="auto" w:sz="4" w:space="0"/>
              <w:right w:val="single" w:color="auto" w:sz="4" w:space="0"/>
            </w:tcBorders>
            <w:vAlign w:val="center"/>
          </w:tcPr>
          <w:p>
            <w:pPr>
              <w:widowControl/>
              <w:wordWrap/>
              <w:spacing w:beforeLines="0" w:afterLines="0" w:line="400" w:lineRule="exact"/>
              <w:jc w:val="left"/>
              <w:textAlignment w:val="auto"/>
              <w:rPr>
                <w:rFonts w:hint="eastAsia" w:ascii="仿宋_GB2312" w:hAnsi="仿宋_GB2312" w:eastAsia="仿宋_GB2312" w:cs="仿宋_GB2312"/>
                <w:color w:val="auto"/>
                <w:sz w:val="21"/>
                <w:szCs w:val="21"/>
              </w:rPr>
            </w:pPr>
          </w:p>
        </w:tc>
        <w:tc>
          <w:tcPr>
            <w:tcW w:w="1552"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人数</w:t>
            </w:r>
          </w:p>
        </w:tc>
        <w:tc>
          <w:tcPr>
            <w:tcW w:w="1552"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占比</w:t>
            </w:r>
          </w:p>
        </w:tc>
        <w:tc>
          <w:tcPr>
            <w:tcW w:w="1552"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人数</w:t>
            </w:r>
          </w:p>
        </w:tc>
        <w:tc>
          <w:tcPr>
            <w:tcW w:w="1553"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3"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硕士研究生</w:t>
            </w:r>
            <w:r>
              <w:rPr>
                <w:rFonts w:hint="eastAsia" w:ascii="仿宋_GB2312" w:hAnsi="仿宋_GB2312" w:eastAsia="仿宋_GB2312" w:cs="仿宋_GB2312"/>
                <w:color w:val="auto"/>
                <w:sz w:val="21"/>
                <w:szCs w:val="21"/>
                <w:lang w:val="en-US" w:eastAsia="zh-CN"/>
              </w:rPr>
              <w:t>及以上</w:t>
            </w:r>
          </w:p>
        </w:tc>
        <w:tc>
          <w:tcPr>
            <w:tcW w:w="1552" w:type="dxa"/>
            <w:tcBorders>
              <w:top w:val="single" w:color="auto" w:sz="4" w:space="0"/>
              <w:left w:val="single" w:color="auto" w:sz="4" w:space="0"/>
              <w:bottom w:val="single" w:color="auto" w:sz="4" w:space="0"/>
              <w:right w:val="single" w:color="auto" w:sz="4" w:space="0"/>
            </w:tcBorders>
            <w:vAlign w:val="center"/>
          </w:tcPr>
          <w:p>
            <w:pPr>
              <w:pStyle w:val="49"/>
              <w:wordWrap/>
              <w:spacing w:beforeLines="0" w:afterLines="0" w:line="400" w:lineRule="exact"/>
              <w:ind w:left="0" w:right="0"/>
              <w:textAlignment w:val="auto"/>
              <w:rPr>
                <w:rFonts w:hint="eastAsia" w:ascii="仿宋_GB2312" w:hAnsi="仿宋_GB2312" w:eastAsia="仿宋_GB2312" w:cs="仿宋_GB2312"/>
                <w:color w:val="auto"/>
                <w:kern w:val="2"/>
                <w:sz w:val="21"/>
                <w:szCs w:val="21"/>
                <w:lang w:val="en-US"/>
              </w:rPr>
            </w:pPr>
            <w:r>
              <w:rPr>
                <w:rFonts w:hint="eastAsia" w:ascii="仿宋_GB2312" w:hAnsi="仿宋_GB2312" w:eastAsia="仿宋_GB2312" w:cs="仿宋_GB2312"/>
                <w:color w:val="auto"/>
                <w:sz w:val="21"/>
                <w:szCs w:val="21"/>
              </w:rPr>
              <w:t>646</w:t>
            </w:r>
          </w:p>
        </w:tc>
        <w:tc>
          <w:tcPr>
            <w:tcW w:w="1552" w:type="dxa"/>
            <w:tcBorders>
              <w:top w:val="single" w:color="auto" w:sz="4" w:space="0"/>
              <w:left w:val="single" w:color="auto" w:sz="4" w:space="0"/>
              <w:bottom w:val="single" w:color="auto" w:sz="4" w:space="0"/>
              <w:right w:val="single" w:color="auto" w:sz="4" w:space="0"/>
            </w:tcBorders>
            <w:vAlign w:val="center"/>
          </w:tcPr>
          <w:p>
            <w:pPr>
              <w:pStyle w:val="49"/>
              <w:wordWrap/>
              <w:spacing w:beforeLines="0" w:afterLines="0" w:line="400" w:lineRule="exact"/>
              <w:ind w:left="0" w:right="0"/>
              <w:jc w:val="both"/>
              <w:textAlignment w:val="auto"/>
              <w:rPr>
                <w:rFonts w:hint="eastAsia" w:ascii="仿宋_GB2312" w:hAnsi="仿宋_GB2312" w:eastAsia="仿宋_GB2312" w:cs="仿宋_GB2312"/>
                <w:color w:val="auto"/>
                <w:kern w:val="2"/>
                <w:sz w:val="21"/>
                <w:szCs w:val="21"/>
                <w:lang w:val="en-US"/>
              </w:rPr>
            </w:pP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t>13.87%</w:t>
            </w:r>
          </w:p>
        </w:tc>
        <w:tc>
          <w:tcPr>
            <w:tcW w:w="1552"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699</w:t>
            </w:r>
          </w:p>
        </w:tc>
        <w:tc>
          <w:tcPr>
            <w:tcW w:w="1553"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14.86%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3"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本科</w:t>
            </w:r>
          </w:p>
        </w:tc>
        <w:tc>
          <w:tcPr>
            <w:tcW w:w="1552" w:type="dxa"/>
            <w:tcBorders>
              <w:top w:val="single" w:color="auto" w:sz="4" w:space="0"/>
              <w:left w:val="single" w:color="auto" w:sz="4" w:space="0"/>
              <w:bottom w:val="single" w:color="auto" w:sz="4" w:space="0"/>
              <w:right w:val="single" w:color="auto" w:sz="4" w:space="0"/>
            </w:tcBorders>
            <w:vAlign w:val="center"/>
          </w:tcPr>
          <w:p>
            <w:pPr>
              <w:pStyle w:val="49"/>
              <w:wordWrap/>
              <w:spacing w:beforeLines="0" w:afterLines="0" w:line="400" w:lineRule="exact"/>
              <w:ind w:left="0" w:right="0"/>
              <w:textAlignment w:val="auto"/>
              <w:rPr>
                <w:rFonts w:hint="eastAsia" w:ascii="仿宋_GB2312" w:hAnsi="仿宋_GB2312" w:eastAsia="仿宋_GB2312" w:cs="仿宋_GB2312"/>
                <w:color w:val="auto"/>
                <w:kern w:val="2"/>
                <w:sz w:val="21"/>
                <w:szCs w:val="21"/>
                <w:lang w:val="en-US"/>
              </w:rPr>
            </w:pPr>
            <w:r>
              <w:rPr>
                <w:rFonts w:hint="eastAsia" w:ascii="仿宋_GB2312" w:hAnsi="仿宋_GB2312" w:eastAsia="仿宋_GB2312" w:cs="仿宋_GB2312"/>
                <w:color w:val="auto"/>
                <w:sz w:val="21"/>
                <w:szCs w:val="21"/>
              </w:rPr>
              <w:t>3961</w:t>
            </w:r>
          </w:p>
        </w:tc>
        <w:tc>
          <w:tcPr>
            <w:tcW w:w="1552" w:type="dxa"/>
            <w:tcBorders>
              <w:top w:val="single" w:color="auto" w:sz="4" w:space="0"/>
              <w:left w:val="single" w:color="auto" w:sz="4" w:space="0"/>
              <w:bottom w:val="single" w:color="auto" w:sz="4" w:space="0"/>
              <w:right w:val="single" w:color="auto" w:sz="4" w:space="0"/>
            </w:tcBorders>
            <w:vAlign w:val="center"/>
          </w:tcPr>
          <w:p>
            <w:pPr>
              <w:pStyle w:val="49"/>
              <w:wordWrap/>
              <w:spacing w:beforeLines="0" w:afterLines="0" w:line="400" w:lineRule="exact"/>
              <w:ind w:left="0" w:right="0"/>
              <w:textAlignment w:val="auto"/>
              <w:rPr>
                <w:rFonts w:hint="eastAsia" w:ascii="仿宋_GB2312" w:hAnsi="仿宋_GB2312" w:eastAsia="仿宋_GB2312" w:cs="仿宋_GB2312"/>
                <w:color w:val="auto"/>
                <w:kern w:val="2"/>
                <w:sz w:val="21"/>
                <w:szCs w:val="21"/>
                <w:lang w:val="en-US"/>
              </w:rPr>
            </w:pP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t>85.02%</w:t>
            </w:r>
          </w:p>
        </w:tc>
        <w:tc>
          <w:tcPr>
            <w:tcW w:w="1552"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3965</w:t>
            </w:r>
          </w:p>
        </w:tc>
        <w:tc>
          <w:tcPr>
            <w:tcW w:w="1553"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84.33%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3"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专科</w:t>
            </w:r>
          </w:p>
        </w:tc>
        <w:tc>
          <w:tcPr>
            <w:tcW w:w="1552" w:type="dxa"/>
            <w:tcBorders>
              <w:top w:val="single" w:color="auto" w:sz="4" w:space="0"/>
              <w:left w:val="single" w:color="auto" w:sz="4" w:space="0"/>
              <w:bottom w:val="single" w:color="auto" w:sz="4" w:space="0"/>
              <w:right w:val="single" w:color="auto" w:sz="4" w:space="0"/>
            </w:tcBorders>
            <w:vAlign w:val="center"/>
          </w:tcPr>
          <w:p>
            <w:pPr>
              <w:pStyle w:val="49"/>
              <w:wordWrap/>
              <w:spacing w:beforeLines="0" w:afterLines="0" w:line="400" w:lineRule="exact"/>
              <w:ind w:left="0" w:right="0"/>
              <w:textAlignment w:val="auto"/>
              <w:rPr>
                <w:rFonts w:hint="eastAsia" w:ascii="仿宋_GB2312" w:hAnsi="仿宋_GB2312" w:eastAsia="仿宋_GB2312" w:cs="仿宋_GB2312"/>
                <w:color w:val="auto"/>
                <w:kern w:val="2"/>
                <w:sz w:val="21"/>
                <w:szCs w:val="21"/>
                <w:lang w:val="en-US"/>
              </w:rPr>
            </w:pPr>
            <w:r>
              <w:rPr>
                <w:rFonts w:hint="eastAsia" w:ascii="仿宋_GB2312" w:hAnsi="仿宋_GB2312" w:eastAsia="仿宋_GB2312" w:cs="仿宋_GB2312"/>
                <w:color w:val="auto"/>
                <w:sz w:val="21"/>
                <w:szCs w:val="21"/>
              </w:rPr>
              <w:t>51</w:t>
            </w:r>
          </w:p>
        </w:tc>
        <w:tc>
          <w:tcPr>
            <w:tcW w:w="1552" w:type="dxa"/>
            <w:tcBorders>
              <w:top w:val="single" w:color="auto" w:sz="4" w:space="0"/>
              <w:left w:val="single" w:color="auto" w:sz="4" w:space="0"/>
              <w:bottom w:val="single" w:color="auto" w:sz="4" w:space="0"/>
              <w:right w:val="single" w:color="auto" w:sz="4" w:space="0"/>
            </w:tcBorders>
            <w:vAlign w:val="center"/>
          </w:tcPr>
          <w:p>
            <w:pPr>
              <w:pStyle w:val="49"/>
              <w:wordWrap/>
              <w:spacing w:beforeLines="0" w:afterLines="0" w:line="400" w:lineRule="exact"/>
              <w:ind w:left="0" w:right="0"/>
              <w:textAlignment w:val="auto"/>
              <w:rPr>
                <w:rFonts w:hint="eastAsia" w:ascii="仿宋_GB2312" w:hAnsi="仿宋_GB2312" w:eastAsia="仿宋_GB2312" w:cs="仿宋_GB2312"/>
                <w:color w:val="auto"/>
                <w:kern w:val="2"/>
                <w:sz w:val="21"/>
                <w:szCs w:val="21"/>
                <w:lang w:val="en-US"/>
              </w:rPr>
            </w:pPr>
            <w:r>
              <w:rPr>
                <w:rFonts w:hint="eastAsia" w:ascii="仿宋_GB2312" w:hAnsi="仿宋_GB2312" w:eastAsia="仿宋_GB2312" w:cs="仿宋_GB2312"/>
                <w:color w:val="auto"/>
                <w:sz w:val="21"/>
                <w:szCs w:val="21"/>
              </w:rPr>
              <w:t>1.09%</w:t>
            </w:r>
          </w:p>
        </w:tc>
        <w:tc>
          <w:tcPr>
            <w:tcW w:w="1552"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38</w:t>
            </w:r>
          </w:p>
        </w:tc>
        <w:tc>
          <w:tcPr>
            <w:tcW w:w="1553"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3"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高中及以下</w:t>
            </w:r>
          </w:p>
        </w:tc>
        <w:tc>
          <w:tcPr>
            <w:tcW w:w="1552" w:type="dxa"/>
            <w:tcBorders>
              <w:top w:val="single" w:color="auto" w:sz="4" w:space="0"/>
              <w:left w:val="single" w:color="auto" w:sz="4" w:space="0"/>
              <w:bottom w:val="single" w:color="auto" w:sz="4" w:space="0"/>
              <w:right w:val="single" w:color="auto" w:sz="4" w:space="0"/>
            </w:tcBorders>
            <w:vAlign w:val="center"/>
          </w:tcPr>
          <w:p>
            <w:pPr>
              <w:pStyle w:val="49"/>
              <w:wordWrap/>
              <w:spacing w:beforeLines="0" w:afterLines="0" w:line="400" w:lineRule="exact"/>
              <w:ind w:left="0"/>
              <w:textAlignment w:val="auto"/>
              <w:rPr>
                <w:rFonts w:hint="eastAsia" w:ascii="仿宋_GB2312" w:hAnsi="仿宋_GB2312" w:eastAsia="仿宋_GB2312" w:cs="仿宋_GB2312"/>
                <w:color w:val="auto"/>
                <w:kern w:val="2"/>
                <w:sz w:val="21"/>
                <w:szCs w:val="21"/>
                <w:lang w:val="en-US"/>
              </w:rPr>
            </w:pPr>
            <w:r>
              <w:rPr>
                <w:rFonts w:hint="eastAsia" w:ascii="仿宋_GB2312" w:hAnsi="仿宋_GB2312" w:eastAsia="仿宋_GB2312" w:cs="仿宋_GB2312"/>
                <w:color w:val="auto"/>
                <w:sz w:val="21"/>
                <w:szCs w:val="21"/>
              </w:rPr>
              <w:t>1</w:t>
            </w:r>
          </w:p>
        </w:tc>
        <w:tc>
          <w:tcPr>
            <w:tcW w:w="1552" w:type="dxa"/>
            <w:tcBorders>
              <w:top w:val="single" w:color="auto" w:sz="4" w:space="0"/>
              <w:left w:val="single" w:color="auto" w:sz="4" w:space="0"/>
              <w:bottom w:val="single" w:color="auto" w:sz="4" w:space="0"/>
              <w:right w:val="single" w:color="auto" w:sz="4" w:space="0"/>
            </w:tcBorders>
            <w:vAlign w:val="center"/>
          </w:tcPr>
          <w:p>
            <w:pPr>
              <w:pStyle w:val="49"/>
              <w:wordWrap/>
              <w:spacing w:beforeLines="0" w:afterLines="0" w:line="400" w:lineRule="exact"/>
              <w:ind w:left="0" w:right="0"/>
              <w:textAlignment w:val="auto"/>
              <w:rPr>
                <w:rFonts w:hint="eastAsia" w:ascii="仿宋_GB2312" w:hAnsi="仿宋_GB2312" w:eastAsia="仿宋_GB2312" w:cs="仿宋_GB2312"/>
                <w:color w:val="auto"/>
                <w:kern w:val="2"/>
                <w:sz w:val="21"/>
                <w:szCs w:val="21"/>
                <w:lang w:val="en-US"/>
              </w:rPr>
            </w:pPr>
            <w:r>
              <w:rPr>
                <w:rFonts w:hint="eastAsia" w:ascii="仿宋_GB2312" w:hAnsi="仿宋_GB2312" w:eastAsia="仿宋_GB2312" w:cs="仿宋_GB2312"/>
                <w:color w:val="auto"/>
                <w:sz w:val="21"/>
                <w:szCs w:val="21"/>
              </w:rPr>
              <w:t>0.02%</w:t>
            </w:r>
          </w:p>
        </w:tc>
        <w:tc>
          <w:tcPr>
            <w:tcW w:w="1552"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0</w:t>
            </w:r>
          </w:p>
        </w:tc>
        <w:tc>
          <w:tcPr>
            <w:tcW w:w="1553"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w:t>
            </w:r>
          </w:p>
        </w:tc>
      </w:tr>
    </w:tbl>
    <w:p>
      <w:pPr>
        <w:spacing w:beforeLines="0" w:afterLines="0" w:line="360" w:lineRule="auto"/>
        <w:ind w:firstLine="420" w:firstLineChars="200"/>
        <w:jc w:val="left"/>
        <w:rPr>
          <w:rFonts w:hint="eastAsia" w:ascii="楷体" w:hAnsi="楷体" w:eastAsia="楷体" w:cs="楷体"/>
          <w:color w:val="auto"/>
          <w:sz w:val="21"/>
          <w:szCs w:val="21"/>
          <w:lang w:eastAsia="zh-CN"/>
        </w:rPr>
      </w:pPr>
      <w:r>
        <w:rPr>
          <w:rFonts w:hint="eastAsia" w:ascii="仿宋_GB2312" w:hAnsi="仿宋_GB2312" w:eastAsia="仿宋_GB2312" w:cs="仿宋_GB2312"/>
          <w:color w:val="auto"/>
          <w:sz w:val="21"/>
          <w:szCs w:val="21"/>
        </w:rPr>
        <w:t>数据来源：《杭州市教育事业</w:t>
      </w:r>
      <w:r>
        <w:rPr>
          <w:rFonts w:hint="eastAsia" w:ascii="仿宋_GB2312" w:hAnsi="仿宋_GB2312" w:eastAsia="仿宋_GB2312" w:cs="仿宋_GB2312"/>
          <w:color w:val="auto"/>
          <w:sz w:val="21"/>
          <w:szCs w:val="21"/>
          <w:lang w:val="en-US" w:eastAsia="zh-CN"/>
        </w:rPr>
        <w:t>统计资料》（</w:t>
      </w:r>
      <w:r>
        <w:rPr>
          <w:rFonts w:hint="eastAsia" w:ascii="仿宋_GB2312" w:hAnsi="仿宋_GB2312" w:eastAsia="仿宋_GB2312" w:cs="仿宋_GB2312"/>
          <w:color w:val="auto"/>
          <w:sz w:val="21"/>
          <w:szCs w:val="21"/>
        </w:rPr>
        <w:t>201</w:t>
      </w:r>
      <w:r>
        <w:rPr>
          <w:rFonts w:hint="eastAsia" w:ascii="仿宋_GB2312" w:hAnsi="仿宋_GB2312" w:eastAsia="仿宋_GB2312" w:cs="仿宋_GB2312"/>
          <w:color w:val="auto"/>
          <w:sz w:val="21"/>
          <w:szCs w:val="21"/>
          <w:lang w:val="en-US" w:eastAsia="zh-CN"/>
        </w:rPr>
        <w:t>9/</w:t>
      </w:r>
      <w:r>
        <w:rPr>
          <w:rFonts w:hint="eastAsia" w:ascii="仿宋_GB2312" w:hAnsi="仿宋_GB2312" w:eastAsia="仿宋_GB2312" w:cs="仿宋_GB2312"/>
          <w:color w:val="auto"/>
          <w:sz w:val="21"/>
          <w:szCs w:val="21"/>
        </w:rPr>
        <w:t>20</w:t>
      </w:r>
      <w:r>
        <w:rPr>
          <w:rFonts w:hint="eastAsia" w:ascii="仿宋_GB2312" w:hAnsi="仿宋_GB2312" w:eastAsia="仿宋_GB2312" w:cs="仿宋_GB2312"/>
          <w:color w:val="auto"/>
          <w:sz w:val="21"/>
          <w:szCs w:val="21"/>
          <w:lang w:eastAsia="zh-CN"/>
        </w:rPr>
        <w:t>2</w:t>
      </w:r>
      <w:r>
        <w:rPr>
          <w:rFonts w:hint="eastAsia" w:ascii="仿宋_GB2312" w:hAnsi="仿宋_GB2312" w:eastAsia="仿宋_GB2312" w:cs="仿宋_GB2312"/>
          <w:color w:val="auto"/>
          <w:sz w:val="21"/>
          <w:szCs w:val="21"/>
          <w:lang w:val="en-US" w:eastAsia="zh-CN"/>
        </w:rPr>
        <w:t>0</w:t>
      </w:r>
      <w:r>
        <w:rPr>
          <w:rFonts w:hint="eastAsia" w:ascii="仿宋_GB2312" w:hAnsi="仿宋_GB2312" w:eastAsia="仿宋_GB2312" w:cs="仿宋_GB2312"/>
          <w:color w:val="auto"/>
          <w:sz w:val="21"/>
          <w:szCs w:val="21"/>
        </w:rPr>
        <w:t>学年</w:t>
      </w:r>
      <w:r>
        <w:rPr>
          <w:rFonts w:hint="eastAsia" w:ascii="仿宋_GB2312" w:hAnsi="仿宋_GB2312" w:eastAsia="仿宋_GB2312" w:cs="仿宋_GB2312"/>
          <w:color w:val="auto"/>
          <w:sz w:val="21"/>
          <w:szCs w:val="21"/>
          <w:lang w:val="en-US" w:eastAsia="zh-CN"/>
        </w:rPr>
        <w:t>初</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20</w:t>
      </w:r>
      <w:r>
        <w:rPr>
          <w:rFonts w:hint="eastAsia" w:ascii="仿宋_GB2312" w:hAnsi="仿宋_GB2312" w:eastAsia="仿宋_GB2312" w:cs="仿宋_GB2312"/>
          <w:color w:val="auto"/>
          <w:sz w:val="21"/>
          <w:szCs w:val="21"/>
          <w:lang w:eastAsia="zh-CN"/>
        </w:rPr>
        <w:t>2</w:t>
      </w:r>
      <w:r>
        <w:rPr>
          <w:rFonts w:hint="eastAsia" w:ascii="仿宋_GB2312" w:hAnsi="仿宋_GB2312" w:eastAsia="仿宋_GB2312" w:cs="仿宋_GB2312"/>
          <w:color w:val="auto"/>
          <w:sz w:val="21"/>
          <w:szCs w:val="21"/>
          <w:lang w:val="en-US" w:eastAsia="zh-CN"/>
        </w:rPr>
        <w:t>0/</w:t>
      </w:r>
      <w:r>
        <w:rPr>
          <w:rFonts w:hint="eastAsia" w:ascii="仿宋_GB2312" w:hAnsi="仿宋_GB2312" w:eastAsia="仿宋_GB2312" w:cs="仿宋_GB2312"/>
          <w:color w:val="auto"/>
          <w:sz w:val="21"/>
          <w:szCs w:val="21"/>
        </w:rPr>
        <w:t>202</w:t>
      </w: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rPr>
        <w:t>学年初</w:t>
      </w:r>
      <w:r>
        <w:rPr>
          <w:rFonts w:hint="eastAsia" w:ascii="仿宋_GB2312" w:hAnsi="仿宋_GB2312" w:eastAsia="仿宋_GB2312" w:cs="仿宋_GB2312"/>
          <w:color w:val="auto"/>
          <w:sz w:val="21"/>
          <w:szCs w:val="21"/>
          <w:lang w:val="en-US" w:eastAsia="zh-CN"/>
        </w:rPr>
        <w:t>）</w:t>
      </w:r>
    </w:p>
    <w:p>
      <w:pPr>
        <w:wordWrap/>
        <w:spacing w:before="157" w:beforeLines="50" w:afterLines="0" w:line="360" w:lineRule="auto"/>
        <w:ind w:firstLine="105" w:firstLineChars="50"/>
        <w:jc w:val="center"/>
        <w:textAlignment w:val="auto"/>
        <w:rPr>
          <w:rFonts w:hint="eastAsia" w:ascii="宋体" w:hAnsi="宋体" w:eastAsia="宋体" w:cs="宋体"/>
          <w:b/>
          <w:color w:val="auto"/>
          <w:sz w:val="24"/>
          <w:szCs w:val="24"/>
        </w:rPr>
      </w:pPr>
      <w:r>
        <w:rPr>
          <w:rFonts w:hint="eastAsia" w:ascii="宋体" w:hAnsi="宋体" w:eastAsia="宋体" w:cs="宋体"/>
          <w:b/>
          <w:color w:val="auto"/>
          <w:sz w:val="21"/>
          <w:szCs w:val="21"/>
        </w:rPr>
        <w:t>表6  2019-2020年杭州市中等职业学校教师职称结构</w:t>
      </w:r>
      <w:r>
        <w:rPr>
          <w:rFonts w:hint="eastAsia" w:ascii="宋体" w:hAnsi="宋体" w:cs="宋体"/>
          <w:b/>
          <w:color w:val="auto"/>
          <w:sz w:val="21"/>
          <w:szCs w:val="21"/>
          <w:lang w:val="en-US" w:eastAsia="zh-CN"/>
        </w:rPr>
        <w:t>情况</w:t>
      </w:r>
    </w:p>
    <w:tbl>
      <w:tblPr>
        <w:tblStyle w:val="23"/>
        <w:tblW w:w="8209"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3"/>
        <w:gridCol w:w="1590"/>
        <w:gridCol w:w="1758"/>
        <w:gridCol w:w="1599"/>
        <w:gridCol w:w="1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3" w:type="dxa"/>
            <w:vMerge w:val="restart"/>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职称</w:t>
            </w:r>
          </w:p>
        </w:tc>
        <w:tc>
          <w:tcPr>
            <w:tcW w:w="3348" w:type="dxa"/>
            <w:gridSpan w:val="2"/>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2019年</w:t>
            </w:r>
          </w:p>
        </w:tc>
        <w:tc>
          <w:tcPr>
            <w:tcW w:w="3198" w:type="dxa"/>
            <w:gridSpan w:val="2"/>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3" w:type="dxa"/>
            <w:vMerge w:val="continue"/>
            <w:tcBorders>
              <w:top w:val="single" w:color="auto" w:sz="4" w:space="0"/>
              <w:left w:val="single" w:color="auto" w:sz="4" w:space="0"/>
              <w:bottom w:val="single" w:color="auto" w:sz="4" w:space="0"/>
              <w:right w:val="single" w:color="auto" w:sz="4" w:space="0"/>
            </w:tcBorders>
            <w:vAlign w:val="center"/>
          </w:tcPr>
          <w:p>
            <w:pPr>
              <w:widowControl/>
              <w:wordWrap/>
              <w:spacing w:beforeLines="0" w:afterLines="0" w:line="400" w:lineRule="exact"/>
              <w:jc w:val="left"/>
              <w:textAlignment w:val="auto"/>
              <w:rPr>
                <w:rFonts w:hint="eastAsia" w:ascii="仿宋_GB2312" w:hAnsi="仿宋_GB2312" w:eastAsia="仿宋_GB2312" w:cs="仿宋_GB2312"/>
                <w:color w:val="auto"/>
                <w:sz w:val="21"/>
                <w:szCs w:val="21"/>
              </w:rPr>
            </w:pPr>
          </w:p>
        </w:tc>
        <w:tc>
          <w:tcPr>
            <w:tcW w:w="1590"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人数</w:t>
            </w:r>
          </w:p>
        </w:tc>
        <w:tc>
          <w:tcPr>
            <w:tcW w:w="1758"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占比</w:t>
            </w:r>
          </w:p>
        </w:tc>
        <w:tc>
          <w:tcPr>
            <w:tcW w:w="1599"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人数</w:t>
            </w:r>
          </w:p>
        </w:tc>
        <w:tc>
          <w:tcPr>
            <w:tcW w:w="1599"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3"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正高级</w:t>
            </w:r>
          </w:p>
        </w:tc>
        <w:tc>
          <w:tcPr>
            <w:tcW w:w="1590" w:type="dxa"/>
            <w:tcBorders>
              <w:top w:val="single" w:color="auto" w:sz="4" w:space="0"/>
              <w:left w:val="single" w:color="auto" w:sz="4" w:space="0"/>
              <w:bottom w:val="single" w:color="auto" w:sz="4" w:space="0"/>
              <w:right w:val="single" w:color="auto" w:sz="4" w:space="0"/>
            </w:tcBorders>
            <w:vAlign w:val="center"/>
          </w:tcPr>
          <w:p>
            <w:pPr>
              <w:pStyle w:val="49"/>
              <w:wordWrap/>
              <w:spacing w:beforeLines="0" w:afterLines="0" w:line="400" w:lineRule="exact"/>
              <w:ind w:left="0" w:right="0"/>
              <w:textAlignment w:val="auto"/>
              <w:rPr>
                <w:rFonts w:hint="eastAsia" w:ascii="仿宋_GB2312" w:hAnsi="仿宋_GB2312" w:eastAsia="仿宋_GB2312" w:cs="仿宋_GB2312"/>
                <w:color w:val="auto"/>
                <w:kern w:val="2"/>
                <w:sz w:val="21"/>
                <w:szCs w:val="21"/>
                <w:lang w:val="en-US"/>
              </w:rPr>
            </w:pPr>
            <w:r>
              <w:rPr>
                <w:rFonts w:hint="eastAsia" w:ascii="仿宋_GB2312" w:hAnsi="仿宋_GB2312" w:eastAsia="仿宋_GB2312" w:cs="仿宋_GB2312"/>
                <w:color w:val="auto"/>
                <w:sz w:val="21"/>
                <w:szCs w:val="21"/>
              </w:rPr>
              <w:t>15</w:t>
            </w:r>
          </w:p>
        </w:tc>
        <w:tc>
          <w:tcPr>
            <w:tcW w:w="1758" w:type="dxa"/>
            <w:tcBorders>
              <w:top w:val="single" w:color="auto" w:sz="4" w:space="0"/>
              <w:left w:val="single" w:color="auto" w:sz="4" w:space="0"/>
              <w:bottom w:val="single" w:color="auto" w:sz="4" w:space="0"/>
              <w:right w:val="single" w:color="auto" w:sz="4" w:space="0"/>
            </w:tcBorders>
            <w:vAlign w:val="center"/>
          </w:tcPr>
          <w:p>
            <w:pPr>
              <w:pStyle w:val="49"/>
              <w:wordWrap/>
              <w:spacing w:beforeLines="0" w:afterLines="0" w:line="400" w:lineRule="exact"/>
              <w:ind w:left="0" w:right="0"/>
              <w:textAlignment w:val="auto"/>
              <w:rPr>
                <w:rFonts w:hint="eastAsia" w:ascii="仿宋_GB2312" w:hAnsi="仿宋_GB2312" w:eastAsia="仿宋_GB2312" w:cs="仿宋_GB2312"/>
                <w:color w:val="auto"/>
                <w:kern w:val="2"/>
                <w:sz w:val="21"/>
                <w:szCs w:val="21"/>
                <w:lang w:val="en-US"/>
              </w:rPr>
            </w:pPr>
            <w:r>
              <w:rPr>
                <w:rFonts w:hint="eastAsia" w:ascii="仿宋_GB2312" w:hAnsi="仿宋_GB2312" w:eastAsia="仿宋_GB2312" w:cs="仿宋_GB2312"/>
                <w:color w:val="auto"/>
                <w:sz w:val="21"/>
                <w:szCs w:val="21"/>
              </w:rPr>
              <w:t>0.32%</w:t>
            </w:r>
          </w:p>
        </w:tc>
        <w:tc>
          <w:tcPr>
            <w:tcW w:w="1599"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19</w:t>
            </w:r>
          </w:p>
        </w:tc>
        <w:tc>
          <w:tcPr>
            <w:tcW w:w="1599"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3"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副高级</w:t>
            </w:r>
          </w:p>
        </w:tc>
        <w:tc>
          <w:tcPr>
            <w:tcW w:w="1590" w:type="dxa"/>
            <w:tcBorders>
              <w:top w:val="single" w:color="auto" w:sz="4" w:space="0"/>
              <w:left w:val="single" w:color="auto" w:sz="4" w:space="0"/>
              <w:bottom w:val="single" w:color="auto" w:sz="4" w:space="0"/>
              <w:right w:val="single" w:color="auto" w:sz="4" w:space="0"/>
            </w:tcBorders>
            <w:vAlign w:val="center"/>
          </w:tcPr>
          <w:p>
            <w:pPr>
              <w:pStyle w:val="49"/>
              <w:wordWrap/>
              <w:spacing w:beforeLines="0" w:afterLines="0" w:line="400" w:lineRule="exact"/>
              <w:ind w:left="0" w:right="0"/>
              <w:textAlignment w:val="auto"/>
              <w:rPr>
                <w:rFonts w:hint="eastAsia" w:ascii="仿宋_GB2312" w:hAnsi="仿宋_GB2312" w:eastAsia="仿宋_GB2312" w:cs="仿宋_GB2312"/>
                <w:color w:val="auto"/>
                <w:kern w:val="2"/>
                <w:sz w:val="21"/>
                <w:szCs w:val="21"/>
                <w:lang w:val="en-US"/>
              </w:rPr>
            </w:pPr>
            <w:r>
              <w:rPr>
                <w:rFonts w:hint="eastAsia" w:ascii="仿宋_GB2312" w:hAnsi="仿宋_GB2312" w:eastAsia="仿宋_GB2312" w:cs="仿宋_GB2312"/>
                <w:color w:val="auto"/>
                <w:sz w:val="21"/>
                <w:szCs w:val="21"/>
              </w:rPr>
              <w:t>1520</w:t>
            </w:r>
          </w:p>
        </w:tc>
        <w:tc>
          <w:tcPr>
            <w:tcW w:w="1758" w:type="dxa"/>
            <w:tcBorders>
              <w:top w:val="single" w:color="auto" w:sz="4" w:space="0"/>
              <w:left w:val="single" w:color="auto" w:sz="4" w:space="0"/>
              <w:bottom w:val="single" w:color="auto" w:sz="4" w:space="0"/>
              <w:right w:val="single" w:color="auto" w:sz="4" w:space="0"/>
            </w:tcBorders>
            <w:vAlign w:val="center"/>
          </w:tcPr>
          <w:p>
            <w:pPr>
              <w:pStyle w:val="49"/>
              <w:wordWrap/>
              <w:spacing w:beforeLines="0" w:afterLines="0" w:line="400" w:lineRule="exact"/>
              <w:ind w:left="0" w:right="0"/>
              <w:textAlignment w:val="auto"/>
              <w:rPr>
                <w:rFonts w:hint="eastAsia" w:ascii="仿宋_GB2312" w:hAnsi="仿宋_GB2312" w:eastAsia="仿宋_GB2312" w:cs="仿宋_GB2312"/>
                <w:color w:val="auto"/>
                <w:kern w:val="2"/>
                <w:sz w:val="21"/>
                <w:szCs w:val="21"/>
                <w:lang w:val="en-US"/>
              </w:rPr>
            </w:pPr>
            <w:r>
              <w:rPr>
                <w:rFonts w:hint="eastAsia" w:ascii="仿宋_GB2312" w:hAnsi="仿宋_GB2312" w:eastAsia="仿宋_GB2312" w:cs="仿宋_GB2312"/>
                <w:color w:val="auto"/>
                <w:sz w:val="21"/>
                <w:szCs w:val="21"/>
              </w:rPr>
              <w:t>32.63%</w:t>
            </w:r>
          </w:p>
        </w:tc>
        <w:tc>
          <w:tcPr>
            <w:tcW w:w="1599"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1568</w:t>
            </w:r>
          </w:p>
        </w:tc>
        <w:tc>
          <w:tcPr>
            <w:tcW w:w="1599"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33.35%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3"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中级</w:t>
            </w:r>
          </w:p>
        </w:tc>
        <w:tc>
          <w:tcPr>
            <w:tcW w:w="1590" w:type="dxa"/>
            <w:tcBorders>
              <w:top w:val="single" w:color="auto" w:sz="4" w:space="0"/>
              <w:left w:val="single" w:color="auto" w:sz="4" w:space="0"/>
              <w:bottom w:val="single" w:color="auto" w:sz="4" w:space="0"/>
              <w:right w:val="single" w:color="auto" w:sz="4" w:space="0"/>
            </w:tcBorders>
            <w:vAlign w:val="center"/>
          </w:tcPr>
          <w:p>
            <w:pPr>
              <w:pStyle w:val="49"/>
              <w:wordWrap/>
              <w:spacing w:beforeLines="0" w:afterLines="0" w:line="400" w:lineRule="exact"/>
              <w:ind w:left="0" w:right="0"/>
              <w:textAlignment w:val="auto"/>
              <w:rPr>
                <w:rFonts w:hint="eastAsia" w:ascii="仿宋_GB2312" w:hAnsi="仿宋_GB2312" w:eastAsia="仿宋_GB2312" w:cs="仿宋_GB2312"/>
                <w:color w:val="auto"/>
                <w:kern w:val="2"/>
                <w:sz w:val="21"/>
                <w:szCs w:val="21"/>
                <w:lang w:val="en-US"/>
              </w:rPr>
            </w:pPr>
            <w:r>
              <w:rPr>
                <w:rFonts w:hint="eastAsia" w:ascii="仿宋_GB2312" w:hAnsi="仿宋_GB2312" w:eastAsia="仿宋_GB2312" w:cs="仿宋_GB2312"/>
                <w:color w:val="auto"/>
                <w:sz w:val="21"/>
                <w:szCs w:val="21"/>
              </w:rPr>
              <w:t>1977</w:t>
            </w:r>
          </w:p>
        </w:tc>
        <w:tc>
          <w:tcPr>
            <w:tcW w:w="1758" w:type="dxa"/>
            <w:tcBorders>
              <w:top w:val="single" w:color="auto" w:sz="4" w:space="0"/>
              <w:left w:val="single" w:color="auto" w:sz="4" w:space="0"/>
              <w:bottom w:val="single" w:color="auto" w:sz="4" w:space="0"/>
              <w:right w:val="single" w:color="auto" w:sz="4" w:space="0"/>
            </w:tcBorders>
            <w:vAlign w:val="center"/>
          </w:tcPr>
          <w:p>
            <w:pPr>
              <w:pStyle w:val="49"/>
              <w:wordWrap/>
              <w:spacing w:beforeLines="0" w:afterLines="0" w:line="400" w:lineRule="exact"/>
              <w:ind w:left="0" w:right="0"/>
              <w:textAlignment w:val="auto"/>
              <w:rPr>
                <w:rFonts w:hint="eastAsia" w:ascii="仿宋_GB2312" w:hAnsi="仿宋_GB2312" w:eastAsia="仿宋_GB2312" w:cs="仿宋_GB2312"/>
                <w:color w:val="auto"/>
                <w:kern w:val="2"/>
                <w:sz w:val="21"/>
                <w:szCs w:val="21"/>
                <w:lang w:val="en-US"/>
              </w:rPr>
            </w:pPr>
            <w:r>
              <w:rPr>
                <w:rFonts w:hint="eastAsia" w:ascii="仿宋_GB2312" w:hAnsi="仿宋_GB2312" w:eastAsia="仿宋_GB2312" w:cs="仿宋_GB2312"/>
                <w:color w:val="auto"/>
                <w:kern w:val="2"/>
                <w:sz w:val="21"/>
                <w:szCs w:val="21"/>
                <w:u w:val="none"/>
                <w:lang w:val="en-US"/>
              </w:rPr>
              <w:t>42.43%</w:t>
            </w:r>
          </w:p>
        </w:tc>
        <w:tc>
          <w:tcPr>
            <w:tcW w:w="1599"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1992</w:t>
            </w:r>
          </w:p>
        </w:tc>
        <w:tc>
          <w:tcPr>
            <w:tcW w:w="1599" w:type="dxa"/>
            <w:tcBorders>
              <w:top w:val="single" w:color="auto" w:sz="4" w:space="0"/>
              <w:left w:val="single" w:color="auto" w:sz="4" w:space="0"/>
              <w:bottom w:val="single" w:color="auto" w:sz="4" w:space="0"/>
              <w:right w:val="single" w:color="auto" w:sz="4" w:space="0"/>
            </w:tcBorders>
            <w:vAlign w:val="center"/>
          </w:tcPr>
          <w:p>
            <w:pPr>
              <w:pStyle w:val="49"/>
              <w:wordWrap/>
              <w:spacing w:beforeLines="0" w:afterLines="0" w:line="400" w:lineRule="exact"/>
              <w:ind w:left="0" w:right="0"/>
              <w:textAlignment w:val="auto"/>
              <w:rPr>
                <w:rFonts w:hint="eastAsia"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lang w:val="en-US" w:eastAsia="zh-CN"/>
              </w:rPr>
              <w:t>42.37%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3"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初级</w:t>
            </w:r>
          </w:p>
        </w:tc>
        <w:tc>
          <w:tcPr>
            <w:tcW w:w="1590" w:type="dxa"/>
            <w:tcBorders>
              <w:top w:val="single" w:color="auto" w:sz="4" w:space="0"/>
              <w:left w:val="single" w:color="auto" w:sz="4" w:space="0"/>
              <w:bottom w:val="single" w:color="auto" w:sz="4" w:space="0"/>
              <w:right w:val="single" w:color="auto" w:sz="4" w:space="0"/>
            </w:tcBorders>
            <w:vAlign w:val="center"/>
          </w:tcPr>
          <w:p>
            <w:pPr>
              <w:pStyle w:val="49"/>
              <w:wordWrap/>
              <w:spacing w:beforeLines="0" w:afterLines="0" w:line="400" w:lineRule="exact"/>
              <w:ind w:left="0" w:right="0"/>
              <w:textAlignment w:val="auto"/>
              <w:rPr>
                <w:rFonts w:hint="eastAsia" w:ascii="仿宋_GB2312" w:hAnsi="仿宋_GB2312" w:eastAsia="仿宋_GB2312" w:cs="仿宋_GB2312"/>
                <w:color w:val="auto"/>
                <w:kern w:val="2"/>
                <w:sz w:val="21"/>
                <w:szCs w:val="21"/>
                <w:lang w:val="en-US"/>
              </w:rPr>
            </w:pPr>
            <w:r>
              <w:rPr>
                <w:rFonts w:hint="eastAsia" w:ascii="仿宋_GB2312" w:hAnsi="仿宋_GB2312" w:eastAsia="仿宋_GB2312" w:cs="仿宋_GB2312"/>
                <w:color w:val="auto"/>
                <w:sz w:val="21"/>
                <w:szCs w:val="21"/>
              </w:rPr>
              <w:t>801</w:t>
            </w:r>
          </w:p>
        </w:tc>
        <w:tc>
          <w:tcPr>
            <w:tcW w:w="1758" w:type="dxa"/>
            <w:tcBorders>
              <w:top w:val="single" w:color="auto" w:sz="4" w:space="0"/>
              <w:left w:val="single" w:color="auto" w:sz="4" w:space="0"/>
              <w:bottom w:val="single" w:color="auto" w:sz="4" w:space="0"/>
              <w:right w:val="single" w:color="auto" w:sz="4" w:space="0"/>
            </w:tcBorders>
            <w:vAlign w:val="center"/>
          </w:tcPr>
          <w:p>
            <w:pPr>
              <w:pStyle w:val="49"/>
              <w:wordWrap/>
              <w:spacing w:beforeLines="0" w:afterLines="0" w:line="400" w:lineRule="exact"/>
              <w:ind w:left="0" w:right="0"/>
              <w:textAlignment w:val="auto"/>
              <w:rPr>
                <w:rFonts w:hint="eastAsia" w:ascii="仿宋_GB2312" w:hAnsi="仿宋_GB2312" w:eastAsia="仿宋_GB2312" w:cs="仿宋_GB2312"/>
                <w:color w:val="auto"/>
                <w:kern w:val="2"/>
                <w:sz w:val="21"/>
                <w:szCs w:val="21"/>
                <w:lang w:val="en-US"/>
              </w:rPr>
            </w:pPr>
            <w:r>
              <w:rPr>
                <w:rFonts w:hint="eastAsia" w:ascii="仿宋_GB2312" w:hAnsi="仿宋_GB2312" w:eastAsia="仿宋_GB2312" w:cs="仿宋_GB2312"/>
                <w:color w:val="auto"/>
                <w:kern w:val="2"/>
                <w:sz w:val="21"/>
                <w:szCs w:val="21"/>
                <w:u w:val="none"/>
                <w:lang w:val="en-US"/>
              </w:rPr>
              <w:t>17.19%</w:t>
            </w:r>
          </w:p>
        </w:tc>
        <w:tc>
          <w:tcPr>
            <w:tcW w:w="1599"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816</w:t>
            </w:r>
          </w:p>
        </w:tc>
        <w:tc>
          <w:tcPr>
            <w:tcW w:w="1599" w:type="dxa"/>
            <w:tcBorders>
              <w:top w:val="single" w:color="auto" w:sz="4" w:space="0"/>
              <w:left w:val="single" w:color="auto" w:sz="4" w:space="0"/>
              <w:bottom w:val="single" w:color="auto" w:sz="4" w:space="0"/>
              <w:right w:val="single" w:color="auto" w:sz="4" w:space="0"/>
            </w:tcBorders>
            <w:vAlign w:val="center"/>
          </w:tcPr>
          <w:p>
            <w:pPr>
              <w:pStyle w:val="49"/>
              <w:wordWrap/>
              <w:spacing w:beforeLines="0" w:afterLines="0" w:line="400" w:lineRule="exact"/>
              <w:ind w:left="0" w:right="0"/>
              <w:textAlignment w:val="auto"/>
              <w:rPr>
                <w:rFonts w:hint="eastAsia"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lang w:val="en-US" w:eastAsia="zh-CN"/>
              </w:rPr>
              <w:t>17.35%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3"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未评定</w:t>
            </w:r>
          </w:p>
        </w:tc>
        <w:tc>
          <w:tcPr>
            <w:tcW w:w="1590" w:type="dxa"/>
            <w:tcBorders>
              <w:top w:val="single" w:color="auto" w:sz="4" w:space="0"/>
              <w:left w:val="single" w:color="auto" w:sz="4" w:space="0"/>
              <w:bottom w:val="single" w:color="auto" w:sz="4" w:space="0"/>
              <w:right w:val="single" w:color="auto" w:sz="4" w:space="0"/>
            </w:tcBorders>
            <w:vAlign w:val="center"/>
          </w:tcPr>
          <w:p>
            <w:pPr>
              <w:pStyle w:val="49"/>
              <w:wordWrap/>
              <w:spacing w:beforeLines="0" w:afterLines="0" w:line="400" w:lineRule="exact"/>
              <w:ind w:left="0" w:right="0"/>
              <w:textAlignment w:val="auto"/>
              <w:rPr>
                <w:rFonts w:hint="eastAsia" w:ascii="仿宋_GB2312" w:hAnsi="仿宋_GB2312" w:eastAsia="仿宋_GB2312" w:cs="仿宋_GB2312"/>
                <w:color w:val="auto"/>
                <w:kern w:val="2"/>
                <w:sz w:val="21"/>
                <w:szCs w:val="21"/>
                <w:lang w:val="en-US"/>
              </w:rPr>
            </w:pPr>
            <w:r>
              <w:rPr>
                <w:rFonts w:hint="eastAsia" w:ascii="仿宋_GB2312" w:hAnsi="仿宋_GB2312" w:eastAsia="仿宋_GB2312" w:cs="仿宋_GB2312"/>
                <w:color w:val="auto"/>
                <w:sz w:val="21"/>
                <w:szCs w:val="21"/>
              </w:rPr>
              <w:t>346</w:t>
            </w:r>
          </w:p>
        </w:tc>
        <w:tc>
          <w:tcPr>
            <w:tcW w:w="1758" w:type="dxa"/>
            <w:tcBorders>
              <w:top w:val="single" w:color="auto" w:sz="4" w:space="0"/>
              <w:left w:val="single" w:color="auto" w:sz="4" w:space="0"/>
              <w:bottom w:val="single" w:color="auto" w:sz="4" w:space="0"/>
              <w:right w:val="single" w:color="auto" w:sz="4" w:space="0"/>
            </w:tcBorders>
            <w:vAlign w:val="center"/>
          </w:tcPr>
          <w:p>
            <w:pPr>
              <w:pStyle w:val="49"/>
              <w:wordWrap/>
              <w:spacing w:beforeLines="0" w:afterLines="0" w:line="400" w:lineRule="exact"/>
              <w:ind w:left="0" w:right="0"/>
              <w:textAlignment w:val="auto"/>
              <w:rPr>
                <w:rFonts w:hint="eastAsia" w:ascii="仿宋_GB2312" w:hAnsi="仿宋_GB2312" w:eastAsia="仿宋_GB2312" w:cs="仿宋_GB2312"/>
                <w:color w:val="auto"/>
                <w:kern w:val="2"/>
                <w:sz w:val="21"/>
                <w:szCs w:val="21"/>
                <w:lang w:val="en-US"/>
              </w:rPr>
            </w:pPr>
            <w:r>
              <w:rPr>
                <w:rFonts w:hint="eastAsia" w:ascii="仿宋_GB2312" w:hAnsi="仿宋_GB2312" w:eastAsia="仿宋_GB2312" w:cs="仿宋_GB2312"/>
                <w:color w:val="auto"/>
                <w:kern w:val="2"/>
                <w:sz w:val="21"/>
                <w:szCs w:val="21"/>
                <w:u w:val="none"/>
                <w:lang w:val="en-US"/>
              </w:rPr>
              <w:t>7.43%</w:t>
            </w:r>
          </w:p>
        </w:tc>
        <w:tc>
          <w:tcPr>
            <w:tcW w:w="1599" w:type="dxa"/>
            <w:tcBorders>
              <w:top w:val="single" w:color="auto" w:sz="4" w:space="0"/>
              <w:left w:val="single" w:color="auto" w:sz="4" w:space="0"/>
              <w:bottom w:val="single" w:color="auto" w:sz="4" w:space="0"/>
              <w:right w:val="single" w:color="auto" w:sz="4" w:space="0"/>
            </w:tcBorders>
            <w:vAlign w:val="center"/>
          </w:tcPr>
          <w:p>
            <w:pPr>
              <w:wordWrap/>
              <w:spacing w:beforeLines="0" w:afterLines="0" w:line="4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307</w:t>
            </w:r>
          </w:p>
        </w:tc>
        <w:tc>
          <w:tcPr>
            <w:tcW w:w="1599" w:type="dxa"/>
            <w:tcBorders>
              <w:top w:val="single" w:color="auto" w:sz="4" w:space="0"/>
              <w:left w:val="single" w:color="auto" w:sz="4" w:space="0"/>
              <w:bottom w:val="single" w:color="auto" w:sz="4" w:space="0"/>
              <w:right w:val="single" w:color="auto" w:sz="4" w:space="0"/>
            </w:tcBorders>
            <w:vAlign w:val="center"/>
          </w:tcPr>
          <w:p>
            <w:pPr>
              <w:pStyle w:val="49"/>
              <w:wordWrap/>
              <w:spacing w:beforeLines="0" w:afterLines="0" w:line="400" w:lineRule="exact"/>
              <w:ind w:left="0" w:right="0"/>
              <w:textAlignment w:val="auto"/>
              <w:rPr>
                <w:rFonts w:hint="eastAsia"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lang w:val="en-US" w:eastAsia="zh-CN"/>
              </w:rPr>
              <w:t>6.53%</w:t>
            </w:r>
          </w:p>
        </w:tc>
      </w:tr>
    </w:tbl>
    <w:p>
      <w:pPr>
        <w:wordWrap/>
        <w:spacing w:beforeLines="0" w:afterLines="0" w:line="360" w:lineRule="auto"/>
        <w:ind w:firstLine="420" w:firstLineChars="200"/>
        <w:jc w:val="left"/>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数据来源：《杭州市教育事业</w:t>
      </w:r>
      <w:r>
        <w:rPr>
          <w:rFonts w:hint="eastAsia" w:ascii="仿宋_GB2312" w:hAnsi="仿宋_GB2312" w:eastAsia="仿宋_GB2312" w:cs="仿宋_GB2312"/>
          <w:color w:val="auto"/>
          <w:sz w:val="21"/>
          <w:szCs w:val="21"/>
          <w:lang w:val="en-US" w:eastAsia="zh-CN"/>
        </w:rPr>
        <w:t>统计资料》（</w:t>
      </w:r>
      <w:r>
        <w:rPr>
          <w:rFonts w:hint="eastAsia" w:ascii="仿宋_GB2312" w:hAnsi="仿宋_GB2312" w:eastAsia="仿宋_GB2312" w:cs="仿宋_GB2312"/>
          <w:color w:val="auto"/>
          <w:sz w:val="21"/>
          <w:szCs w:val="21"/>
        </w:rPr>
        <w:t>201</w:t>
      </w:r>
      <w:r>
        <w:rPr>
          <w:rFonts w:hint="eastAsia" w:ascii="仿宋_GB2312" w:hAnsi="仿宋_GB2312" w:eastAsia="仿宋_GB2312" w:cs="仿宋_GB2312"/>
          <w:color w:val="auto"/>
          <w:sz w:val="21"/>
          <w:szCs w:val="21"/>
          <w:lang w:val="en-US" w:eastAsia="zh-CN"/>
        </w:rPr>
        <w:t>9/</w:t>
      </w:r>
      <w:r>
        <w:rPr>
          <w:rFonts w:hint="eastAsia" w:ascii="仿宋_GB2312" w:hAnsi="仿宋_GB2312" w:eastAsia="仿宋_GB2312" w:cs="仿宋_GB2312"/>
          <w:color w:val="auto"/>
          <w:sz w:val="21"/>
          <w:szCs w:val="21"/>
        </w:rPr>
        <w:t>20</w:t>
      </w:r>
      <w:r>
        <w:rPr>
          <w:rFonts w:hint="eastAsia" w:ascii="仿宋_GB2312" w:hAnsi="仿宋_GB2312" w:eastAsia="仿宋_GB2312" w:cs="仿宋_GB2312"/>
          <w:color w:val="auto"/>
          <w:sz w:val="21"/>
          <w:szCs w:val="21"/>
          <w:lang w:eastAsia="zh-CN"/>
        </w:rPr>
        <w:t>2</w:t>
      </w:r>
      <w:r>
        <w:rPr>
          <w:rFonts w:hint="eastAsia" w:ascii="仿宋_GB2312" w:hAnsi="仿宋_GB2312" w:eastAsia="仿宋_GB2312" w:cs="仿宋_GB2312"/>
          <w:color w:val="auto"/>
          <w:sz w:val="21"/>
          <w:szCs w:val="21"/>
          <w:lang w:val="en-US" w:eastAsia="zh-CN"/>
        </w:rPr>
        <w:t>0</w:t>
      </w:r>
      <w:r>
        <w:rPr>
          <w:rFonts w:hint="eastAsia" w:ascii="仿宋_GB2312" w:hAnsi="仿宋_GB2312" w:eastAsia="仿宋_GB2312" w:cs="仿宋_GB2312"/>
          <w:color w:val="auto"/>
          <w:sz w:val="21"/>
          <w:szCs w:val="21"/>
        </w:rPr>
        <w:t>学年</w:t>
      </w:r>
      <w:r>
        <w:rPr>
          <w:rFonts w:hint="eastAsia" w:ascii="仿宋_GB2312" w:hAnsi="仿宋_GB2312" w:eastAsia="仿宋_GB2312" w:cs="仿宋_GB2312"/>
          <w:color w:val="auto"/>
          <w:sz w:val="21"/>
          <w:szCs w:val="21"/>
          <w:lang w:val="en-US" w:eastAsia="zh-CN"/>
        </w:rPr>
        <w:t>初</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20</w:t>
      </w:r>
      <w:r>
        <w:rPr>
          <w:rFonts w:hint="eastAsia" w:ascii="仿宋_GB2312" w:hAnsi="仿宋_GB2312" w:eastAsia="仿宋_GB2312" w:cs="仿宋_GB2312"/>
          <w:color w:val="auto"/>
          <w:sz w:val="21"/>
          <w:szCs w:val="21"/>
          <w:lang w:eastAsia="zh-CN"/>
        </w:rPr>
        <w:t>2</w:t>
      </w:r>
      <w:r>
        <w:rPr>
          <w:rFonts w:hint="eastAsia" w:ascii="仿宋_GB2312" w:hAnsi="仿宋_GB2312" w:eastAsia="仿宋_GB2312" w:cs="仿宋_GB2312"/>
          <w:color w:val="auto"/>
          <w:sz w:val="21"/>
          <w:szCs w:val="21"/>
          <w:lang w:val="en-US" w:eastAsia="zh-CN"/>
        </w:rPr>
        <w:t>0/</w:t>
      </w:r>
      <w:r>
        <w:rPr>
          <w:rFonts w:hint="eastAsia" w:ascii="仿宋_GB2312" w:hAnsi="仿宋_GB2312" w:eastAsia="仿宋_GB2312" w:cs="仿宋_GB2312"/>
          <w:color w:val="auto"/>
          <w:sz w:val="21"/>
          <w:szCs w:val="21"/>
        </w:rPr>
        <w:t>202</w:t>
      </w: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rPr>
        <w:t>学年初</w:t>
      </w:r>
      <w:r>
        <w:rPr>
          <w:rFonts w:hint="eastAsia" w:ascii="仿宋_GB2312" w:hAnsi="仿宋_GB2312" w:eastAsia="仿宋_GB2312" w:cs="仿宋_GB2312"/>
          <w:color w:val="auto"/>
          <w:sz w:val="21"/>
          <w:szCs w:val="21"/>
          <w:lang w:val="en-US" w:eastAsia="zh-CN"/>
        </w:rPr>
        <w:t>）</w:t>
      </w:r>
    </w:p>
    <w:p>
      <w:pPr>
        <w:wordWrap/>
        <w:spacing w:before="157" w:beforeLines="50" w:afterLines="0" w:line="360" w:lineRule="auto"/>
        <w:ind w:firstLine="421" w:firstLineChars="200"/>
        <w:jc w:val="left"/>
        <w:textAlignment w:val="auto"/>
        <w:rPr>
          <w:rFonts w:hint="eastAsia" w:ascii="黑体" w:hAnsi="黑体" w:eastAsia="黑体" w:cs="黑体"/>
          <w:b/>
          <w:bCs/>
          <w:color w:val="auto"/>
          <w:kern w:val="44"/>
          <w:sz w:val="21"/>
          <w:szCs w:val="21"/>
          <w:lang w:val="zh-CN" w:eastAsia="zh-CN" w:bidi="ar-SA"/>
        </w:rPr>
      </w:pPr>
      <w:r>
        <w:rPr>
          <w:rFonts w:hint="eastAsia" w:ascii="楷体_GB2312" w:hAnsi="楷体_GB2312" w:eastAsia="楷体_GB2312" w:cs="楷体_GB2312"/>
          <w:b/>
          <w:bCs/>
          <w:color w:val="auto"/>
          <w:kern w:val="44"/>
          <w:sz w:val="21"/>
          <w:szCs w:val="21"/>
          <w:lang w:val="zh-CN" w:eastAsia="zh-CN" w:bidi="ar-SA"/>
        </w:rPr>
        <w:t>【案例</w:t>
      </w:r>
      <w:r>
        <w:rPr>
          <w:rFonts w:hint="eastAsia" w:ascii="楷体_GB2312" w:hAnsi="楷体_GB2312" w:eastAsia="楷体_GB2312" w:cs="楷体_GB2312"/>
          <w:b/>
          <w:bCs/>
          <w:color w:val="auto"/>
          <w:kern w:val="44"/>
          <w:sz w:val="21"/>
          <w:szCs w:val="21"/>
          <w:lang w:val="en-US" w:eastAsia="zh-CN" w:bidi="ar-SA"/>
        </w:rPr>
        <w:t>1</w:t>
      </w:r>
      <w:r>
        <w:rPr>
          <w:rFonts w:hint="eastAsia" w:ascii="楷体_GB2312" w:hAnsi="楷体_GB2312" w:eastAsia="楷体_GB2312" w:cs="楷体_GB2312"/>
          <w:b/>
          <w:bCs/>
          <w:color w:val="auto"/>
          <w:kern w:val="44"/>
          <w:sz w:val="21"/>
          <w:szCs w:val="21"/>
          <w:lang w:val="zh-CN" w:eastAsia="zh-CN" w:bidi="ar-SA"/>
        </w:rPr>
        <w:t>-</w:t>
      </w:r>
      <w:r>
        <w:rPr>
          <w:rFonts w:hint="eastAsia" w:ascii="楷体_GB2312" w:hAnsi="楷体_GB2312" w:eastAsia="楷体_GB2312" w:cs="楷体_GB2312"/>
          <w:b/>
          <w:bCs/>
          <w:color w:val="auto"/>
          <w:kern w:val="44"/>
          <w:sz w:val="21"/>
          <w:szCs w:val="21"/>
          <w:lang w:val="en-US" w:eastAsia="zh-CN" w:bidi="ar-SA"/>
        </w:rPr>
        <w:t>3</w:t>
      </w:r>
      <w:r>
        <w:rPr>
          <w:rFonts w:hint="eastAsia" w:ascii="楷体_GB2312" w:hAnsi="楷体_GB2312" w:eastAsia="楷体_GB2312" w:cs="楷体_GB2312"/>
          <w:b/>
          <w:bCs/>
          <w:color w:val="auto"/>
          <w:kern w:val="44"/>
          <w:sz w:val="21"/>
          <w:szCs w:val="21"/>
          <w:lang w:val="zh-CN" w:eastAsia="zh-CN" w:bidi="ar-SA"/>
        </w:rPr>
        <w:t>】</w:t>
      </w:r>
      <w:r>
        <w:rPr>
          <w:rFonts w:hint="eastAsia" w:ascii="楷体_GB2312" w:hAnsi="楷体_GB2312" w:eastAsia="楷体_GB2312" w:cs="楷体_GB2312"/>
          <w:b/>
          <w:bCs/>
          <w:sz w:val="21"/>
          <w:szCs w:val="21"/>
          <w:lang w:val="zh-CN" w:eastAsia="zh-CN"/>
        </w:rPr>
        <w:t>杭州市交通职业高级中学师资队伍</w:t>
      </w:r>
      <w:r>
        <w:rPr>
          <w:rFonts w:hint="eastAsia" w:ascii="楷体_GB2312" w:hAnsi="楷体_GB2312" w:eastAsia="楷体_GB2312" w:cs="楷体_GB2312"/>
          <w:b/>
          <w:bCs/>
          <w:color w:val="auto"/>
          <w:kern w:val="44"/>
          <w:sz w:val="21"/>
          <w:szCs w:val="21"/>
          <w:lang w:val="zh-CN" w:eastAsia="zh-CN" w:bidi="ar-SA"/>
        </w:rPr>
        <w:t>德技并重</w:t>
      </w:r>
    </w:p>
    <w:p>
      <w:pPr>
        <w:widowControl/>
        <w:shd w:val="clear" w:color="auto" w:fill="FFFFFF"/>
        <w:wordWrap/>
        <w:spacing w:beforeLines="0" w:afterLines="0" w:line="360" w:lineRule="auto"/>
        <w:ind w:left="0" w:leftChars="0" w:right="0" w:firstLine="420" w:firstLineChars="200"/>
        <w:jc w:val="left"/>
        <w:textAlignment w:val="baseline"/>
        <w:outlineLvl w:val="0"/>
        <w:rPr>
          <w:rFonts w:hint="eastAsia" w:ascii="仿宋_GB2312" w:hAnsi="仿宋_GB2312" w:eastAsia="仿宋_GB2312" w:cs="仿宋_GB2312"/>
          <w:color w:val="auto"/>
          <w:sz w:val="21"/>
          <w:szCs w:val="21"/>
        </w:rPr>
      </w:pPr>
      <w:r>
        <w:rPr>
          <w:rFonts w:hint="eastAsia" w:ascii="仿宋_GB2312" w:hAnsi="仿宋_GB2312" w:eastAsia="仿宋_GB2312" w:cs="仿宋_GB2312"/>
          <w:sz w:val="21"/>
          <w:szCs w:val="21"/>
          <w:lang w:val="zh-CN" w:eastAsia="zh-CN"/>
        </w:rPr>
        <w:t>杭州市交通职业高级中学教师队伍学历高、专业强、业务精、业绩好，敬业爱岗，发展势头迅猛。2020年学校教职员工120人，其中，专任教师97人，生师比10.32:1，专业课教师51人，“双师型”教师48人，“双师型”教师占专业课教师比例为94.12%。专任教师中，具有研究生以上学历比例达24.74%；具有高级职称比例为39.18%，与2019年相比略有上升。教师队伍年轻化，40岁以下教师共54人，占55.67%。其中，30岁以下教师16人，30-39岁教师38人。现有正高级教师</w:t>
      </w:r>
      <w:r>
        <w:rPr>
          <w:rFonts w:hint="eastAsia" w:ascii="仿宋_GB2312" w:hAnsi="仿宋_GB2312" w:eastAsia="仿宋_GB2312" w:cs="仿宋_GB2312"/>
          <w:sz w:val="21"/>
          <w:szCs w:val="21"/>
          <w:lang w:val="en-US" w:eastAsia="zh-CN"/>
        </w:rPr>
        <w:t>2名</w:t>
      </w:r>
      <w:r>
        <w:rPr>
          <w:rFonts w:hint="eastAsia" w:ascii="仿宋_GB2312" w:hAnsi="仿宋_GB2312" w:eastAsia="仿宋_GB2312" w:cs="仿宋_GB2312"/>
          <w:sz w:val="21"/>
          <w:szCs w:val="21"/>
          <w:lang w:val="zh-CN" w:eastAsia="zh-CN"/>
        </w:rPr>
        <w:t>，特级教师</w:t>
      </w:r>
      <w:r>
        <w:rPr>
          <w:rFonts w:hint="eastAsia" w:ascii="仿宋_GB2312" w:hAnsi="仿宋_GB2312" w:eastAsia="仿宋_GB2312" w:cs="仿宋_GB2312"/>
          <w:sz w:val="21"/>
          <w:szCs w:val="21"/>
          <w:lang w:val="en-US" w:eastAsia="zh-CN"/>
        </w:rPr>
        <w:t>2名</w:t>
      </w:r>
      <w:r>
        <w:rPr>
          <w:rFonts w:hint="eastAsia" w:ascii="仿宋_GB2312" w:hAnsi="仿宋_GB2312" w:eastAsia="仿宋_GB2312" w:cs="仿宋_GB2312"/>
          <w:sz w:val="21"/>
          <w:szCs w:val="21"/>
          <w:lang w:val="zh-CN" w:eastAsia="zh-CN"/>
        </w:rPr>
        <w:t>，“国务院特殊津贴”专家</w:t>
      </w:r>
      <w:r>
        <w:rPr>
          <w:rFonts w:hint="eastAsia" w:ascii="仿宋_GB2312" w:hAnsi="仿宋_GB2312" w:eastAsia="仿宋_GB2312" w:cs="仿宋_GB2312"/>
          <w:sz w:val="21"/>
          <w:szCs w:val="21"/>
          <w:lang w:val="en-US" w:eastAsia="zh-CN"/>
        </w:rPr>
        <w:t>1名</w:t>
      </w:r>
      <w:r>
        <w:rPr>
          <w:rFonts w:hint="eastAsia" w:ascii="仿宋_GB2312" w:hAnsi="仿宋_GB2312" w:eastAsia="仿宋_GB2312" w:cs="仿宋_GB2312"/>
          <w:sz w:val="21"/>
          <w:szCs w:val="21"/>
          <w:lang w:val="zh-CN" w:eastAsia="zh-CN"/>
        </w:rPr>
        <w:t>，全国技能竞赛金牌教练</w:t>
      </w:r>
      <w:r>
        <w:rPr>
          <w:rFonts w:hint="eastAsia" w:ascii="仿宋_GB2312" w:hAnsi="仿宋_GB2312" w:eastAsia="仿宋_GB2312" w:cs="仿宋_GB2312"/>
          <w:sz w:val="21"/>
          <w:szCs w:val="21"/>
          <w:lang w:val="en-US" w:eastAsia="zh-CN"/>
        </w:rPr>
        <w:t>8名</w:t>
      </w:r>
      <w:r>
        <w:rPr>
          <w:rFonts w:hint="eastAsia" w:ascii="仿宋_GB2312" w:hAnsi="仿宋_GB2312" w:eastAsia="仿宋_GB2312" w:cs="仿宋_GB2312"/>
          <w:sz w:val="21"/>
          <w:szCs w:val="21"/>
          <w:lang w:val="zh-CN" w:eastAsia="zh-CN"/>
        </w:rPr>
        <w:t>，浙江省技术能手</w:t>
      </w:r>
      <w:r>
        <w:rPr>
          <w:rFonts w:hint="eastAsia" w:ascii="仿宋_GB2312" w:hAnsi="仿宋_GB2312" w:eastAsia="仿宋_GB2312" w:cs="仿宋_GB2312"/>
          <w:sz w:val="21"/>
          <w:szCs w:val="21"/>
          <w:lang w:val="en-US" w:eastAsia="zh-CN"/>
        </w:rPr>
        <w:t>3名</w:t>
      </w:r>
      <w:r>
        <w:rPr>
          <w:rFonts w:hint="eastAsia" w:ascii="仿宋_GB2312" w:hAnsi="仿宋_GB2312" w:eastAsia="仿宋_GB2312" w:cs="仿宋_GB2312"/>
          <w:sz w:val="21"/>
          <w:szCs w:val="21"/>
          <w:lang w:val="zh-CN" w:eastAsia="zh-CN"/>
        </w:rPr>
        <w:t>，乡村名师工作室领衔人</w:t>
      </w:r>
      <w:r>
        <w:rPr>
          <w:rFonts w:hint="eastAsia" w:ascii="仿宋_GB2312" w:hAnsi="仿宋_GB2312" w:eastAsia="仿宋_GB2312" w:cs="仿宋_GB2312"/>
          <w:sz w:val="21"/>
          <w:szCs w:val="21"/>
          <w:lang w:val="en-US" w:eastAsia="zh-CN"/>
        </w:rPr>
        <w:t>2名</w:t>
      </w:r>
      <w:r>
        <w:rPr>
          <w:rFonts w:hint="eastAsia" w:ascii="仿宋_GB2312" w:hAnsi="仿宋_GB2312" w:eastAsia="仿宋_GB2312" w:cs="仿宋_GB2312"/>
          <w:sz w:val="21"/>
          <w:szCs w:val="21"/>
          <w:lang w:val="zh-CN" w:eastAsia="zh-CN"/>
        </w:rPr>
        <w:t>，杭州市中职名校长培养人选</w:t>
      </w:r>
      <w:r>
        <w:rPr>
          <w:rFonts w:hint="eastAsia" w:ascii="仿宋_GB2312" w:hAnsi="仿宋_GB2312" w:eastAsia="仿宋_GB2312" w:cs="仿宋_GB2312"/>
          <w:sz w:val="21"/>
          <w:szCs w:val="21"/>
          <w:lang w:val="en-US" w:eastAsia="zh-CN"/>
        </w:rPr>
        <w:t>2名</w:t>
      </w:r>
      <w:r>
        <w:rPr>
          <w:rFonts w:hint="eastAsia" w:ascii="仿宋_GB2312" w:hAnsi="仿宋_GB2312" w:eastAsia="仿宋_GB2312" w:cs="仿宋_GB2312"/>
          <w:sz w:val="21"/>
          <w:szCs w:val="21"/>
          <w:lang w:val="zh-CN" w:eastAsia="zh-CN"/>
        </w:rPr>
        <w:t>，建有省级项目江海荣大师工作室和市级项目韩晨洪大师工作室，</w:t>
      </w:r>
      <w:r>
        <w:rPr>
          <w:rFonts w:hint="eastAsia" w:ascii="仿宋_GB2312" w:hAnsi="仿宋_GB2312" w:eastAsia="仿宋_GB2312" w:cs="仿宋_GB2312"/>
          <w:sz w:val="21"/>
          <w:szCs w:val="21"/>
          <w:lang w:val="en-US" w:eastAsia="zh-CN"/>
        </w:rPr>
        <w:t>41人</w:t>
      </w:r>
      <w:r>
        <w:rPr>
          <w:rFonts w:hint="eastAsia" w:ascii="仿宋_GB2312" w:hAnsi="仿宋_GB2312" w:eastAsia="仿宋_GB2312" w:cs="仿宋_GB2312"/>
          <w:sz w:val="21"/>
          <w:szCs w:val="21"/>
          <w:lang w:val="zh-CN" w:eastAsia="zh-CN"/>
        </w:rPr>
        <w:t>被认定为杭州市高层次人才，</w:t>
      </w:r>
      <w:r>
        <w:rPr>
          <w:rFonts w:hint="eastAsia" w:ascii="仿宋_GB2312" w:hAnsi="仿宋_GB2312" w:eastAsia="仿宋_GB2312" w:cs="仿宋_GB2312"/>
          <w:sz w:val="21"/>
          <w:szCs w:val="21"/>
          <w:lang w:val="en-US" w:eastAsia="zh-CN"/>
        </w:rPr>
        <w:t>20余人</w:t>
      </w:r>
      <w:r>
        <w:rPr>
          <w:rFonts w:hint="eastAsia" w:ascii="仿宋_GB2312" w:hAnsi="仿宋_GB2312" w:eastAsia="仿宋_GB2312" w:cs="仿宋_GB2312"/>
          <w:sz w:val="21"/>
          <w:szCs w:val="21"/>
          <w:lang w:val="zh-CN" w:eastAsia="zh-CN"/>
        </w:rPr>
        <w:t>获得全国、省市级以上荣誉称号。</w:t>
      </w:r>
    </w:p>
    <w:p>
      <w:pPr>
        <w:wordWrap/>
        <w:adjustRightInd/>
        <w:snapToGrid/>
        <w:spacing w:before="157" w:beforeLines="50" w:afterLines="0" w:line="360" w:lineRule="auto"/>
        <w:ind w:firstLine="401" w:firstLineChars="200"/>
        <w:textAlignment w:val="auto"/>
        <w:rPr>
          <w:rFonts w:hint="eastAsia" w:ascii="宋体" w:hAnsi="宋体" w:eastAsia="宋体" w:cs="宋体"/>
          <w:color w:val="auto"/>
          <w:sz w:val="21"/>
          <w:szCs w:val="21"/>
        </w:rPr>
      </w:pPr>
      <w:r>
        <w:rPr>
          <w:rFonts w:hint="eastAsia" w:cs="仿宋_GB2312" w:asciiTheme="minorEastAsia" w:hAnsiTheme="minorEastAsia" w:eastAsiaTheme="minorEastAsia"/>
          <w:b/>
          <w:kern w:val="0"/>
          <w:szCs w:val="21"/>
        </w:rPr>
        <w:t>德技双高，素质提升明显。</w:t>
      </w:r>
      <w:r>
        <w:rPr>
          <w:rFonts w:hint="eastAsia" w:ascii="宋体" w:hAnsi="宋体" w:eastAsia="宋体" w:cs="宋体"/>
          <w:color w:val="auto"/>
          <w:kern w:val="0"/>
          <w:sz w:val="21"/>
          <w:szCs w:val="21"/>
        </w:rPr>
        <w:t>全市中等职业学校教师的学历、职称、双师型比例等逐年提升，其中生师比、双师型教师比例均远超国家标准（生师比国家标准为 20:1，双师型国家标准为30%）。2020年同时具备教师资格和职业资格教师人数从19</w:t>
      </w:r>
      <w:r>
        <w:rPr>
          <w:rFonts w:hint="default" w:ascii="宋体" w:hAnsi="宋体" w:cs="宋体"/>
          <w:color w:val="auto"/>
          <w:kern w:val="0"/>
          <w:sz w:val="21"/>
          <w:szCs w:val="21"/>
          <w:lang w:val="en"/>
        </w:rPr>
        <w:t>7</w:t>
      </w:r>
      <w:r>
        <w:rPr>
          <w:rFonts w:hint="eastAsia" w:ascii="宋体" w:hAnsi="宋体" w:eastAsia="宋体" w:cs="宋体"/>
          <w:color w:val="auto"/>
          <w:kern w:val="0"/>
          <w:sz w:val="21"/>
          <w:szCs w:val="21"/>
        </w:rPr>
        <w:t>7人增长到</w:t>
      </w:r>
      <w:r>
        <w:rPr>
          <w:rFonts w:hint="default" w:ascii="宋体" w:hAnsi="宋体" w:cs="宋体"/>
          <w:color w:val="auto"/>
          <w:kern w:val="0"/>
          <w:sz w:val="21"/>
          <w:szCs w:val="21"/>
          <w:lang w:val="en"/>
        </w:rPr>
        <w:t>2036</w:t>
      </w:r>
      <w:r>
        <w:rPr>
          <w:rFonts w:hint="eastAsia" w:ascii="宋体" w:hAnsi="宋体" w:eastAsia="宋体" w:cs="宋体"/>
          <w:color w:val="auto"/>
          <w:kern w:val="0"/>
          <w:sz w:val="21"/>
          <w:szCs w:val="21"/>
        </w:rPr>
        <w:t>人</w:t>
      </w:r>
      <w:r>
        <w:rPr>
          <w:rFonts w:hint="eastAsia" w:ascii="宋体" w:hAnsi="宋体" w:cs="宋体"/>
          <w:color w:val="auto"/>
          <w:kern w:val="0"/>
          <w:sz w:val="21"/>
          <w:szCs w:val="21"/>
          <w:lang w:eastAsia="zh-CN"/>
        </w:rPr>
        <w:t>（图</w:t>
      </w:r>
      <w:r>
        <w:rPr>
          <w:rFonts w:hint="eastAsia" w:ascii="宋体" w:hAnsi="宋体" w:cs="宋体"/>
          <w:color w:val="auto"/>
          <w:kern w:val="0"/>
          <w:sz w:val="21"/>
          <w:szCs w:val="21"/>
          <w:lang w:val="en-US" w:eastAsia="zh-CN"/>
        </w:rPr>
        <w:t>1</w:t>
      </w:r>
      <w:r>
        <w:rPr>
          <w:rFonts w:hint="eastAsia" w:ascii="宋体" w:hAnsi="宋体" w:cs="宋体"/>
          <w:color w:val="auto"/>
          <w:kern w:val="0"/>
          <w:sz w:val="21"/>
          <w:szCs w:val="21"/>
          <w:lang w:eastAsia="zh-CN"/>
        </w:rPr>
        <w:t>）</w:t>
      </w:r>
      <w:r>
        <w:rPr>
          <w:rFonts w:hint="eastAsia" w:ascii="宋体" w:hAnsi="宋体" w:eastAsia="宋体" w:cs="宋体"/>
          <w:color w:val="auto"/>
          <w:kern w:val="0"/>
          <w:sz w:val="21"/>
          <w:szCs w:val="21"/>
        </w:rPr>
        <w:t>，占专业课和实习指导教师比例从88.54%增长到8</w:t>
      </w:r>
      <w:r>
        <w:rPr>
          <w:rFonts w:hint="default" w:ascii="宋体" w:hAnsi="宋体" w:cs="宋体"/>
          <w:color w:val="auto"/>
          <w:kern w:val="0"/>
          <w:sz w:val="21"/>
          <w:szCs w:val="21"/>
          <w:lang w:val="en"/>
        </w:rPr>
        <w:t>9.02</w:t>
      </w:r>
      <w:r>
        <w:rPr>
          <w:rFonts w:hint="eastAsia" w:ascii="宋体" w:hAnsi="宋体" w:eastAsia="宋体" w:cs="宋体"/>
          <w:color w:val="auto"/>
          <w:kern w:val="0"/>
          <w:sz w:val="21"/>
          <w:szCs w:val="21"/>
        </w:rPr>
        <w:t>%。2020年我市新增4位正高职称</w:t>
      </w:r>
      <w:r>
        <w:rPr>
          <w:rFonts w:hint="eastAsia" w:ascii="宋体" w:hAnsi="宋体" w:cs="宋体"/>
          <w:color w:val="auto"/>
          <w:kern w:val="0"/>
          <w:sz w:val="21"/>
          <w:szCs w:val="21"/>
          <w:lang w:eastAsia="zh-CN"/>
        </w:rPr>
        <w:t>教师</w:t>
      </w:r>
      <w:r>
        <w:rPr>
          <w:rFonts w:hint="eastAsia" w:ascii="宋体" w:hAnsi="宋体" w:eastAsia="宋体" w:cs="宋体"/>
          <w:color w:val="auto"/>
          <w:kern w:val="0"/>
          <w:sz w:val="21"/>
          <w:szCs w:val="21"/>
        </w:rPr>
        <w:t>，目前共有 1</w:t>
      </w:r>
      <w:r>
        <w:rPr>
          <w:rFonts w:hint="eastAsia" w:ascii="宋体" w:hAnsi="宋体" w:cs="宋体"/>
          <w:color w:val="auto"/>
          <w:kern w:val="0"/>
          <w:sz w:val="21"/>
          <w:szCs w:val="21"/>
          <w:lang w:val="en-US" w:eastAsia="zh-CN"/>
        </w:rPr>
        <w:t>9</w:t>
      </w:r>
      <w:r>
        <w:rPr>
          <w:rFonts w:hint="eastAsia" w:ascii="宋体" w:hAnsi="宋体" w:eastAsia="宋体" w:cs="宋体"/>
          <w:color w:val="auto"/>
          <w:kern w:val="0"/>
          <w:sz w:val="21"/>
          <w:szCs w:val="21"/>
        </w:rPr>
        <w:t xml:space="preserve"> 名中职教师晋升正高职称。</w:t>
      </w:r>
    </w:p>
    <w:p>
      <w:pPr>
        <w:spacing w:beforeLines="0" w:afterLines="0" w:line="360" w:lineRule="auto"/>
        <w:jc w:val="center"/>
        <w:rPr>
          <w:rFonts w:hint="eastAsia" w:ascii="楷体" w:hAnsi="楷体" w:eastAsia="楷体" w:cs="楷体"/>
          <w:color w:val="auto"/>
          <w:sz w:val="21"/>
          <w:szCs w:val="21"/>
          <w:lang w:eastAsia="zh-CN"/>
        </w:rPr>
      </w:pPr>
      <w:r>
        <w:drawing>
          <wp:inline distT="0" distB="0" distL="114300" distR="114300">
            <wp:extent cx="4458970" cy="1842135"/>
            <wp:effectExtent l="4445" t="5080" r="13335" b="1968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beforeLines="0" w:afterLines="0" w:line="360" w:lineRule="auto"/>
        <w:ind w:firstLine="421" w:firstLineChars="200"/>
        <w:rPr>
          <w:rFonts w:hint="eastAsia" w:ascii="Times New Roman" w:hAnsi="Times New Roman" w:eastAsia="黑体"/>
          <w:color w:val="auto"/>
          <w:sz w:val="32"/>
          <w:szCs w:val="32"/>
          <w:lang w:eastAsia="zh-CN"/>
        </w:rPr>
      </w:pPr>
      <w:r>
        <w:rPr>
          <w:rFonts w:hint="eastAsia" w:asciiTheme="minorEastAsia" w:hAnsiTheme="minorEastAsia" w:eastAsiaTheme="minorEastAsia" w:cstheme="minorEastAsia"/>
          <w:b/>
          <w:color w:val="auto"/>
          <w:sz w:val="21"/>
          <w:szCs w:val="21"/>
        </w:rPr>
        <w:t>图</w:t>
      </w:r>
      <w:r>
        <w:rPr>
          <w:rFonts w:hint="eastAsia" w:asciiTheme="minorEastAsia" w:hAnsiTheme="minorEastAsia" w:eastAsiaTheme="minorEastAsia" w:cstheme="minorEastAsia"/>
          <w:b/>
          <w:color w:val="auto"/>
          <w:sz w:val="21"/>
          <w:szCs w:val="21"/>
          <w:lang w:val="en-US" w:eastAsia="zh-CN"/>
        </w:rPr>
        <w:t>1</w:t>
      </w:r>
      <w:r>
        <w:rPr>
          <w:rFonts w:hint="eastAsia" w:asciiTheme="minorEastAsia" w:hAnsiTheme="minorEastAsia" w:eastAsiaTheme="minorEastAsia" w:cstheme="minorEastAsia"/>
          <w:b/>
          <w:color w:val="auto"/>
          <w:sz w:val="21"/>
          <w:szCs w:val="21"/>
        </w:rPr>
        <w:t xml:space="preserve">  </w:t>
      </w:r>
      <w:r>
        <w:rPr>
          <w:rFonts w:hint="eastAsia" w:asciiTheme="minorEastAsia" w:hAnsiTheme="minorEastAsia" w:eastAsiaTheme="minorEastAsia" w:cstheme="minorEastAsia"/>
          <w:b/>
          <w:color w:val="auto"/>
          <w:sz w:val="21"/>
          <w:szCs w:val="21"/>
          <w:lang w:val="en-US" w:eastAsia="zh-CN"/>
        </w:rPr>
        <w:t>2</w:t>
      </w:r>
      <w:r>
        <w:rPr>
          <w:rFonts w:hint="eastAsia" w:asciiTheme="minorEastAsia" w:hAnsiTheme="minorEastAsia" w:eastAsiaTheme="minorEastAsia" w:cstheme="minorEastAsia"/>
          <w:b/>
          <w:color w:val="auto"/>
          <w:sz w:val="21"/>
          <w:szCs w:val="21"/>
        </w:rPr>
        <w:t>019</w:t>
      </w:r>
      <w:r>
        <w:rPr>
          <w:rFonts w:hint="eastAsia" w:asciiTheme="minorEastAsia" w:hAnsiTheme="minorEastAsia" w:eastAsiaTheme="minorEastAsia" w:cstheme="minorEastAsia"/>
          <w:b/>
          <w:color w:val="auto"/>
          <w:sz w:val="21"/>
          <w:szCs w:val="21"/>
          <w:lang w:val="en-US" w:eastAsia="zh-CN"/>
        </w:rPr>
        <w:t>-2020</w:t>
      </w:r>
      <w:r>
        <w:rPr>
          <w:rFonts w:hint="eastAsia" w:asciiTheme="minorEastAsia" w:hAnsiTheme="minorEastAsia" w:eastAsiaTheme="minorEastAsia" w:cstheme="minorEastAsia"/>
          <w:b/>
          <w:color w:val="auto"/>
          <w:sz w:val="21"/>
          <w:szCs w:val="21"/>
        </w:rPr>
        <w:t>年杭州市中等职业学校“双师型”教师数量增长情况（单位：</w:t>
      </w:r>
      <w:r>
        <w:rPr>
          <w:rFonts w:hint="eastAsia" w:asciiTheme="minorEastAsia" w:hAnsiTheme="minorEastAsia" w:eastAsiaTheme="minorEastAsia" w:cstheme="minorEastAsia"/>
          <w:b/>
          <w:color w:val="auto"/>
          <w:sz w:val="21"/>
          <w:szCs w:val="21"/>
          <w:lang w:eastAsia="zh-CN"/>
        </w:rPr>
        <w:t>人）</w:t>
      </w:r>
    </w:p>
    <w:p>
      <w:pPr>
        <w:pStyle w:val="2"/>
        <w:adjustRightInd/>
        <w:snapToGrid/>
        <w:spacing w:before="313" w:beforeLines="100" w:after="157" w:afterLines="50" w:afterAutospacing="0" w:line="360" w:lineRule="auto"/>
        <w:ind w:firstLine="360" w:firstLineChars="100"/>
        <w:jc w:val="left"/>
        <w:rPr>
          <w:rFonts w:hint="eastAsia" w:ascii="黑体" w:hAnsi="黑体" w:eastAsia="黑体" w:cs="黑体"/>
          <w:b w:val="0"/>
          <w:bCs w:val="0"/>
          <w:sz w:val="36"/>
          <w:szCs w:val="36"/>
        </w:rPr>
      </w:pPr>
      <w:bookmarkStart w:id="50" w:name="_Hlk507530744"/>
      <w:bookmarkEnd w:id="50"/>
      <w:bookmarkStart w:id="51" w:name="_Toc1838165439_WPSOffice_Level1"/>
      <w:bookmarkStart w:id="52" w:name="_Toc1352386370_WPSOffice_Level1"/>
      <w:bookmarkStart w:id="53" w:name="_Toc1720205061_WPSOffice_Level1"/>
      <w:r>
        <w:rPr>
          <w:rFonts w:hint="eastAsia" w:ascii="黑体" w:hAnsi="黑体" w:eastAsia="黑体" w:cs="黑体"/>
          <w:b w:val="0"/>
          <w:bCs w:val="0"/>
          <w:color w:val="auto"/>
          <w:sz w:val="36"/>
          <w:szCs w:val="36"/>
        </w:rPr>
        <w:t>2</w:t>
      </w:r>
      <w:r>
        <w:rPr>
          <w:rFonts w:hint="eastAsia" w:ascii="黑体" w:hAnsi="黑体" w:eastAsia="黑体" w:cs="黑体"/>
          <w:b w:val="0"/>
          <w:bCs w:val="0"/>
          <w:color w:val="auto"/>
          <w:sz w:val="36"/>
          <w:szCs w:val="36"/>
          <w:lang w:val="en-US" w:eastAsia="zh-CN"/>
        </w:rPr>
        <w:t>.</w:t>
      </w:r>
      <w:r>
        <w:rPr>
          <w:rFonts w:hint="eastAsia" w:ascii="黑体" w:hAnsi="黑体" w:eastAsia="黑体" w:cs="黑体"/>
          <w:b w:val="0"/>
          <w:bCs w:val="0"/>
          <w:color w:val="auto"/>
          <w:sz w:val="36"/>
          <w:szCs w:val="36"/>
        </w:rPr>
        <w:t>学生发</w:t>
      </w:r>
      <w:bookmarkEnd w:id="51"/>
      <w:r>
        <w:rPr>
          <w:rFonts w:hint="eastAsia" w:ascii="黑体" w:hAnsi="黑体" w:eastAsia="黑体" w:cs="黑体"/>
          <w:b w:val="0"/>
          <w:bCs w:val="0"/>
          <w:color w:val="auto"/>
          <w:sz w:val="36"/>
          <w:szCs w:val="36"/>
        </w:rPr>
        <w:t>展</w:t>
      </w:r>
      <w:bookmarkEnd w:id="52"/>
      <w:bookmarkEnd w:id="53"/>
    </w:p>
    <w:p>
      <w:pPr>
        <w:keepNext/>
        <w:keepLines/>
        <w:wordWrap/>
        <w:adjustRightInd/>
        <w:snapToGrid/>
        <w:spacing w:before="157" w:beforeLines="50" w:after="0" w:afterLines="0" w:line="360" w:lineRule="auto"/>
        <w:ind w:left="0" w:leftChars="0" w:right="0" w:firstLine="450" w:firstLineChars="150"/>
        <w:textAlignment w:val="auto"/>
        <w:outlineLvl w:val="1"/>
        <w:rPr>
          <w:rFonts w:hint="eastAsia" w:ascii="黑体" w:hAnsi="黑体" w:eastAsia="黑体" w:cs="黑体"/>
          <w:b w:val="0"/>
          <w:bCs w:val="0"/>
          <w:color w:val="auto"/>
          <w:kern w:val="44"/>
          <w:sz w:val="30"/>
          <w:szCs w:val="30"/>
          <w:lang w:val="en-US" w:eastAsia="zh-CN"/>
        </w:rPr>
      </w:pPr>
      <w:bookmarkStart w:id="54" w:name="_Toc1549671020_WPSOffice_Level2"/>
      <w:bookmarkStart w:id="55" w:name="_Toc942022431_WPSOffice_Level2"/>
      <w:bookmarkStart w:id="56" w:name="_Toc34559983"/>
      <w:bookmarkStart w:id="57" w:name="_Toc3817227"/>
      <w:r>
        <w:rPr>
          <w:rFonts w:hint="eastAsia" w:ascii="黑体" w:hAnsi="黑体" w:eastAsia="黑体" w:cs="黑体"/>
          <w:b w:val="0"/>
          <w:bCs w:val="0"/>
          <w:color w:val="auto"/>
          <w:kern w:val="44"/>
          <w:sz w:val="30"/>
          <w:szCs w:val="30"/>
          <w:lang w:val="en-US" w:eastAsia="zh-CN"/>
        </w:rPr>
        <w:t>2.1学生素质</w:t>
      </w:r>
      <w:bookmarkEnd w:id="54"/>
      <w:bookmarkEnd w:id="55"/>
    </w:p>
    <w:p>
      <w:pPr>
        <w:wordWrap/>
        <w:spacing w:beforeLines="0" w:afterLines="0" w:line="360" w:lineRule="auto"/>
        <w:ind w:left="0" w:leftChars="0" w:right="0" w:firstLine="421" w:firstLineChars="200"/>
        <w:jc w:val="left"/>
        <w:rPr>
          <w:rFonts w:hint="eastAsia" w:ascii="宋体" w:hAnsi="宋体" w:cs="宋体"/>
          <w:sz w:val="21"/>
          <w:szCs w:val="21"/>
          <w:lang w:val="en-US" w:eastAsia="zh-CN"/>
        </w:rPr>
      </w:pPr>
      <w:r>
        <w:rPr>
          <w:rFonts w:hint="eastAsia" w:ascii="宋体" w:hAnsi="宋体" w:eastAsia="宋体" w:cs="宋体"/>
          <w:b/>
          <w:bCs/>
          <w:color w:val="auto"/>
          <w:sz w:val="21"/>
          <w:szCs w:val="21"/>
          <w:lang w:val="en-US" w:eastAsia="zh-CN"/>
        </w:rPr>
        <w:t>立德树人，创立品牌。</w:t>
      </w:r>
      <w:r>
        <w:rPr>
          <w:rFonts w:hint="eastAsia" w:ascii="宋体" w:hAnsi="宋体" w:cs="宋体"/>
          <w:b w:val="0"/>
          <w:bCs w:val="0"/>
          <w:color w:val="auto"/>
          <w:sz w:val="21"/>
          <w:szCs w:val="21"/>
          <w:lang w:val="en-US" w:eastAsia="zh-CN"/>
        </w:rPr>
        <w:t>2020年</w:t>
      </w:r>
      <w:r>
        <w:rPr>
          <w:rFonts w:hint="eastAsia" w:ascii="宋体" w:hAnsi="宋体" w:eastAsia="宋体" w:cs="宋体"/>
          <w:sz w:val="21"/>
          <w:szCs w:val="21"/>
        </w:rPr>
        <w:t>，杭州市中等职业教育将德育工作摆在职业教育更加突出的重要位置，旗帜鲜明地加强思想政治教育和品德教育，推进习近平新时代中国特色社会主义思想“进教材、进课堂</w:t>
      </w:r>
      <w:r>
        <w:rPr>
          <w:rFonts w:hint="eastAsia" w:ascii="宋体" w:hAnsi="宋体" w:cs="宋体"/>
          <w:sz w:val="21"/>
          <w:szCs w:val="21"/>
          <w:lang w:eastAsia="zh-CN"/>
        </w:rPr>
        <w:t>、进头脑</w:t>
      </w:r>
      <w:r>
        <w:rPr>
          <w:rFonts w:hint="eastAsia" w:ascii="宋体" w:hAnsi="宋体" w:eastAsia="宋体" w:cs="宋体"/>
          <w:sz w:val="21"/>
          <w:szCs w:val="21"/>
        </w:rPr>
        <w:t>”。构建思政课程、专业学科德育和实践实训育人“三位一体”，全面形成“一校一品”职业教育育人品牌。美术职校的“五四”美育提升工程等4个项目入</w:t>
      </w:r>
      <w:r>
        <w:rPr>
          <w:rFonts w:hint="eastAsia" w:ascii="宋体" w:hAnsi="宋体" w:cs="宋体"/>
          <w:sz w:val="21"/>
          <w:szCs w:val="21"/>
          <w:lang w:eastAsia="zh-CN"/>
        </w:rPr>
        <w:t>选</w:t>
      </w:r>
      <w:r>
        <w:rPr>
          <w:rFonts w:hint="eastAsia" w:ascii="宋体" w:hAnsi="宋体" w:eastAsia="宋体" w:cs="宋体"/>
          <w:sz w:val="21"/>
          <w:szCs w:val="21"/>
        </w:rPr>
        <w:t xml:space="preserve"> 2020 年浙江省中等职业教育德育品牌建设项目；中策职校樊文天等四位同学入</w:t>
      </w:r>
      <w:r>
        <w:rPr>
          <w:rFonts w:hint="eastAsia" w:ascii="宋体" w:hAnsi="宋体" w:cs="宋体"/>
          <w:sz w:val="21"/>
          <w:szCs w:val="21"/>
          <w:lang w:eastAsia="zh-CN"/>
        </w:rPr>
        <w:t>选</w:t>
      </w:r>
      <w:r>
        <w:rPr>
          <w:rFonts w:hint="eastAsia" w:ascii="宋体" w:hAnsi="宋体" w:eastAsia="宋体" w:cs="宋体"/>
          <w:sz w:val="21"/>
          <w:szCs w:val="21"/>
        </w:rPr>
        <w:t>2020年浙江省中职优秀毕业生典型项目。截止2020年底，全市合计确立 17 个省级德育品牌建设项目，17名优秀毕业生入</w:t>
      </w:r>
      <w:r>
        <w:rPr>
          <w:rFonts w:hint="eastAsia" w:ascii="宋体" w:hAnsi="宋体" w:cs="宋体"/>
          <w:sz w:val="21"/>
          <w:szCs w:val="21"/>
          <w:lang w:eastAsia="zh-CN"/>
        </w:rPr>
        <w:t>选</w:t>
      </w:r>
      <w:r>
        <w:rPr>
          <w:rFonts w:hint="eastAsia" w:ascii="宋体" w:hAnsi="宋体" w:eastAsia="宋体" w:cs="宋体"/>
          <w:sz w:val="21"/>
          <w:szCs w:val="21"/>
        </w:rPr>
        <w:t>浙江省中职优秀毕业生典型项目。</w:t>
      </w:r>
    </w:p>
    <w:p>
      <w:pPr>
        <w:keepNext w:val="0"/>
        <w:keepLines w:val="0"/>
        <w:wordWrap/>
        <w:adjustRightInd/>
        <w:snapToGrid/>
        <w:spacing w:before="0" w:beforeLines="0" w:after="0" w:afterLines="0" w:line="360" w:lineRule="auto"/>
        <w:ind w:left="0" w:leftChars="0" w:right="0" w:firstLine="1897" w:firstLineChars="900"/>
        <w:jc w:val="left"/>
        <w:textAlignment w:val="auto"/>
        <w:outlineLvl w:val="9"/>
        <w:rPr>
          <w:rFonts w:hint="eastAsia" w:ascii="黑体" w:hAnsi="黑体" w:eastAsia="黑体" w:cs="黑体"/>
          <w:b w:val="0"/>
          <w:bCs w:val="0"/>
          <w:color w:val="auto"/>
          <w:kern w:val="44"/>
          <w:sz w:val="30"/>
          <w:szCs w:val="30"/>
          <w:lang w:val="en-US" w:eastAsia="zh-CN"/>
        </w:rPr>
      </w:pPr>
      <w:r>
        <w:rPr>
          <w:rFonts w:hint="eastAsia" w:asciiTheme="minorEastAsia" w:hAnsiTheme="minorEastAsia" w:eastAsiaTheme="minorEastAsia" w:cstheme="minorEastAsia"/>
          <w:b/>
          <w:bCs/>
          <w:color w:val="auto"/>
          <w:kern w:val="0"/>
          <w:sz w:val="21"/>
          <w:szCs w:val="21"/>
          <w:lang w:eastAsia="zh-CN"/>
        </w:rPr>
        <w:t>表</w:t>
      </w:r>
      <w:r>
        <w:rPr>
          <w:rFonts w:hint="eastAsia" w:asciiTheme="minorEastAsia" w:hAnsiTheme="minorEastAsia" w:eastAsiaTheme="minorEastAsia" w:cstheme="minorEastAsia"/>
          <w:b/>
          <w:bCs/>
          <w:color w:val="auto"/>
          <w:kern w:val="0"/>
          <w:sz w:val="21"/>
          <w:szCs w:val="21"/>
          <w:lang w:val="en-US" w:eastAsia="zh-CN"/>
        </w:rPr>
        <w:t xml:space="preserve">7 </w:t>
      </w:r>
      <w:r>
        <w:rPr>
          <w:rFonts w:hint="eastAsia" w:asciiTheme="minorEastAsia" w:hAnsiTheme="minorEastAsia" w:eastAsiaTheme="minorEastAsia" w:cstheme="minorEastAsia"/>
          <w:b/>
          <w:bCs/>
          <w:color w:val="auto"/>
          <w:kern w:val="0"/>
          <w:sz w:val="21"/>
          <w:szCs w:val="21"/>
        </w:rPr>
        <w:t>2020年浙江省中职德育品牌项目立项名单</w:t>
      </w:r>
    </w:p>
    <w:tbl>
      <w:tblPr>
        <w:tblStyle w:val="23"/>
        <w:tblW w:w="77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60"/>
        <w:gridCol w:w="3971"/>
        <w:gridCol w:w="31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660" w:type="dxa"/>
            <w:tcBorders>
              <w:top w:val="single" w:color="auto" w:sz="4" w:space="0"/>
              <w:left w:val="single" w:color="auto" w:sz="4" w:space="0"/>
              <w:bottom w:val="single" w:color="auto" w:sz="4" w:space="0"/>
              <w:right w:val="single" w:color="auto" w:sz="4" w:space="0"/>
            </w:tcBorders>
            <w:vAlign w:val="center"/>
          </w:tcPr>
          <w:p>
            <w:pPr>
              <w:widowControl/>
              <w:wordWrap/>
              <w:spacing w:beforeLines="0" w:afterLines="0" w:line="400" w:lineRule="exact"/>
              <w:ind w:left="0" w:leftChars="0" w:right="0"/>
              <w:jc w:val="center"/>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序号</w:t>
            </w:r>
          </w:p>
        </w:tc>
        <w:tc>
          <w:tcPr>
            <w:tcW w:w="3971" w:type="dxa"/>
            <w:tcBorders>
              <w:top w:val="single" w:color="auto" w:sz="4" w:space="0"/>
              <w:left w:val="nil"/>
              <w:bottom w:val="single" w:color="auto" w:sz="4" w:space="0"/>
              <w:right w:val="single" w:color="auto" w:sz="4" w:space="0"/>
            </w:tcBorders>
            <w:vAlign w:val="center"/>
          </w:tcPr>
          <w:p>
            <w:pPr>
              <w:widowControl/>
              <w:wordWrap/>
              <w:spacing w:beforeLines="0" w:afterLines="0" w:line="400" w:lineRule="exact"/>
              <w:ind w:left="0" w:leftChars="0" w:right="0"/>
              <w:jc w:val="center"/>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学校名称</w:t>
            </w:r>
          </w:p>
        </w:tc>
        <w:tc>
          <w:tcPr>
            <w:tcW w:w="3149" w:type="dxa"/>
            <w:tcBorders>
              <w:top w:val="single" w:color="auto" w:sz="4" w:space="0"/>
              <w:left w:val="nil"/>
              <w:bottom w:val="single" w:color="auto" w:sz="4" w:space="0"/>
              <w:right w:val="single" w:color="auto" w:sz="4" w:space="0"/>
            </w:tcBorders>
            <w:vAlign w:val="center"/>
          </w:tcPr>
          <w:p>
            <w:pPr>
              <w:widowControl/>
              <w:wordWrap/>
              <w:spacing w:beforeLines="0" w:afterLines="0" w:line="400" w:lineRule="exact"/>
              <w:ind w:left="0" w:leftChars="0" w:right="0"/>
              <w:jc w:val="center"/>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项目名称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60" w:type="dxa"/>
            <w:tcBorders>
              <w:top w:val="nil"/>
              <w:left w:val="single" w:color="auto" w:sz="4" w:space="0"/>
              <w:bottom w:val="single" w:color="auto" w:sz="4" w:space="0"/>
              <w:right w:val="single" w:color="auto" w:sz="4" w:space="0"/>
            </w:tcBorders>
            <w:vAlign w:val="center"/>
          </w:tcPr>
          <w:p>
            <w:pPr>
              <w:widowControl/>
              <w:wordWrap/>
              <w:spacing w:beforeLines="0" w:afterLines="0" w:line="400" w:lineRule="exact"/>
              <w:ind w:left="0" w:leftChars="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3971" w:type="dxa"/>
            <w:tcBorders>
              <w:top w:val="nil"/>
              <w:left w:val="nil"/>
              <w:bottom w:val="single" w:color="auto" w:sz="4" w:space="0"/>
              <w:right w:val="single" w:color="auto" w:sz="4" w:space="0"/>
            </w:tcBorders>
            <w:vAlign w:val="center"/>
          </w:tcPr>
          <w:p>
            <w:pPr>
              <w:widowControl/>
              <w:wordWrap/>
              <w:spacing w:beforeLines="0" w:afterLines="0" w:line="400" w:lineRule="exact"/>
              <w:ind w:left="0" w:leftChars="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杭州市美术职业学校</w:t>
            </w:r>
          </w:p>
        </w:tc>
        <w:tc>
          <w:tcPr>
            <w:tcW w:w="3149" w:type="dxa"/>
            <w:tcBorders>
              <w:top w:val="nil"/>
              <w:left w:val="nil"/>
              <w:bottom w:val="single" w:color="auto" w:sz="4" w:space="0"/>
              <w:right w:val="single" w:color="auto" w:sz="4" w:space="0"/>
            </w:tcBorders>
            <w:vAlign w:val="center"/>
          </w:tcPr>
          <w:p>
            <w:pPr>
              <w:widowControl/>
              <w:wordWrap/>
              <w:spacing w:beforeLines="0" w:afterLines="0" w:line="400" w:lineRule="exact"/>
              <w:ind w:left="0" w:leftChars="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“五四”美育提升工程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60" w:type="dxa"/>
            <w:tcBorders>
              <w:top w:val="nil"/>
              <w:left w:val="single" w:color="auto" w:sz="4" w:space="0"/>
              <w:bottom w:val="single" w:color="auto" w:sz="4" w:space="0"/>
              <w:right w:val="single" w:color="auto" w:sz="4" w:space="0"/>
            </w:tcBorders>
            <w:vAlign w:val="center"/>
          </w:tcPr>
          <w:p>
            <w:pPr>
              <w:widowControl/>
              <w:wordWrap/>
              <w:spacing w:beforeLines="0" w:afterLines="0" w:line="400" w:lineRule="exact"/>
              <w:ind w:left="0" w:leftChars="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3971" w:type="dxa"/>
            <w:tcBorders>
              <w:top w:val="nil"/>
              <w:left w:val="nil"/>
              <w:bottom w:val="single" w:color="auto" w:sz="4" w:space="0"/>
              <w:right w:val="single" w:color="auto" w:sz="4" w:space="0"/>
            </w:tcBorders>
            <w:vAlign w:val="center"/>
          </w:tcPr>
          <w:p>
            <w:pPr>
              <w:widowControl/>
              <w:wordWrap/>
              <w:spacing w:beforeLines="0" w:afterLines="0" w:line="400" w:lineRule="exact"/>
              <w:ind w:left="0" w:leftChars="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杭州市乔司职业高级中学</w:t>
            </w:r>
          </w:p>
        </w:tc>
        <w:tc>
          <w:tcPr>
            <w:tcW w:w="3149" w:type="dxa"/>
            <w:tcBorders>
              <w:top w:val="nil"/>
              <w:left w:val="nil"/>
              <w:bottom w:val="single" w:color="auto" w:sz="4" w:space="0"/>
              <w:right w:val="single" w:color="auto" w:sz="4" w:space="0"/>
            </w:tcBorders>
            <w:vAlign w:val="center"/>
          </w:tcPr>
          <w:p>
            <w:pPr>
              <w:widowControl/>
              <w:wordWrap/>
              <w:spacing w:beforeLines="0" w:afterLines="0" w:line="400" w:lineRule="exact"/>
              <w:ind w:left="0" w:leftChars="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“qiao立方”德育品牌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60" w:type="dxa"/>
            <w:tcBorders>
              <w:top w:val="nil"/>
              <w:left w:val="single" w:color="auto" w:sz="4" w:space="0"/>
              <w:bottom w:val="single" w:color="auto" w:sz="4" w:space="0"/>
              <w:right w:val="single" w:color="auto" w:sz="4" w:space="0"/>
            </w:tcBorders>
            <w:vAlign w:val="center"/>
          </w:tcPr>
          <w:p>
            <w:pPr>
              <w:widowControl/>
              <w:wordWrap/>
              <w:spacing w:beforeLines="0" w:afterLines="0" w:line="400" w:lineRule="exact"/>
              <w:ind w:left="0" w:leftChars="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3971" w:type="dxa"/>
            <w:tcBorders>
              <w:top w:val="nil"/>
              <w:left w:val="nil"/>
              <w:bottom w:val="single" w:color="auto" w:sz="4" w:space="0"/>
              <w:right w:val="single" w:color="auto" w:sz="4" w:space="0"/>
            </w:tcBorders>
            <w:vAlign w:val="center"/>
          </w:tcPr>
          <w:p>
            <w:pPr>
              <w:widowControl/>
              <w:wordWrap/>
              <w:spacing w:beforeLines="0" w:afterLines="0" w:line="400" w:lineRule="exact"/>
              <w:ind w:left="0" w:leftChars="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杭州市富阳区职业高级中学</w:t>
            </w:r>
          </w:p>
        </w:tc>
        <w:tc>
          <w:tcPr>
            <w:tcW w:w="3149" w:type="dxa"/>
            <w:tcBorders>
              <w:top w:val="nil"/>
              <w:left w:val="nil"/>
              <w:bottom w:val="single" w:color="auto" w:sz="4" w:space="0"/>
              <w:right w:val="single" w:color="auto" w:sz="4" w:space="0"/>
            </w:tcBorders>
            <w:vAlign w:val="center"/>
          </w:tcPr>
          <w:p>
            <w:pPr>
              <w:widowControl/>
              <w:wordWrap/>
              <w:spacing w:beforeLines="0" w:afterLines="0" w:line="400" w:lineRule="exact"/>
              <w:ind w:left="0" w:leftChars="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“锐•七彩”德育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60" w:type="dxa"/>
            <w:tcBorders>
              <w:top w:val="nil"/>
              <w:left w:val="single" w:color="auto" w:sz="4" w:space="0"/>
              <w:bottom w:val="single" w:color="auto" w:sz="4" w:space="0"/>
              <w:right w:val="single" w:color="auto" w:sz="4" w:space="0"/>
            </w:tcBorders>
            <w:vAlign w:val="center"/>
          </w:tcPr>
          <w:p>
            <w:pPr>
              <w:widowControl/>
              <w:wordWrap/>
              <w:spacing w:beforeLines="0" w:afterLines="0" w:line="400" w:lineRule="exact"/>
              <w:ind w:left="0" w:leftChars="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3971" w:type="dxa"/>
            <w:tcBorders>
              <w:top w:val="nil"/>
              <w:left w:val="nil"/>
              <w:bottom w:val="single" w:color="auto" w:sz="4" w:space="0"/>
              <w:right w:val="single" w:color="auto" w:sz="4" w:space="0"/>
            </w:tcBorders>
            <w:vAlign w:val="center"/>
          </w:tcPr>
          <w:p>
            <w:pPr>
              <w:widowControl/>
              <w:wordWrap/>
              <w:spacing w:beforeLines="0" w:afterLines="0" w:line="400" w:lineRule="exact"/>
              <w:ind w:left="0" w:leftChars="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千岛湖中等职业学校</w:t>
            </w:r>
          </w:p>
        </w:tc>
        <w:tc>
          <w:tcPr>
            <w:tcW w:w="3149" w:type="dxa"/>
            <w:tcBorders>
              <w:top w:val="nil"/>
              <w:left w:val="nil"/>
              <w:bottom w:val="single" w:color="auto" w:sz="4" w:space="0"/>
              <w:right w:val="single" w:color="auto" w:sz="4" w:space="0"/>
            </w:tcBorders>
            <w:vAlign w:val="center"/>
          </w:tcPr>
          <w:p>
            <w:pPr>
              <w:widowControl/>
              <w:wordWrap/>
              <w:spacing w:beforeLines="0" w:afterLines="0" w:line="400" w:lineRule="exact"/>
              <w:ind w:left="0" w:leftChars="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“三力”核心素养培育</w:t>
            </w:r>
          </w:p>
        </w:tc>
      </w:tr>
    </w:tbl>
    <w:p>
      <w:pPr>
        <w:wordWrap/>
        <w:spacing w:before="157" w:beforeLines="50" w:afterLines="0" w:line="360" w:lineRule="auto"/>
        <w:ind w:left="0" w:leftChars="0" w:right="0" w:firstLine="1897" w:firstLineChars="900"/>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lang w:eastAsia="zh-CN"/>
        </w:rPr>
        <w:t>表</w:t>
      </w:r>
      <w:r>
        <w:rPr>
          <w:rFonts w:hint="eastAsia" w:asciiTheme="minorEastAsia" w:hAnsiTheme="minorEastAsia" w:eastAsiaTheme="minorEastAsia" w:cstheme="minorEastAsia"/>
          <w:b/>
          <w:bCs/>
          <w:color w:val="auto"/>
          <w:kern w:val="0"/>
          <w:sz w:val="21"/>
          <w:szCs w:val="21"/>
          <w:lang w:val="en-US" w:eastAsia="zh-CN"/>
        </w:rPr>
        <w:t xml:space="preserve">8 </w:t>
      </w:r>
      <w:r>
        <w:rPr>
          <w:rFonts w:hint="eastAsia" w:asciiTheme="minorEastAsia" w:hAnsiTheme="minorEastAsia" w:eastAsiaTheme="minorEastAsia" w:cstheme="minorEastAsia"/>
          <w:b/>
          <w:bCs/>
          <w:color w:val="auto"/>
          <w:kern w:val="0"/>
          <w:sz w:val="21"/>
          <w:szCs w:val="21"/>
        </w:rPr>
        <w:t>2020年浙江省中职优秀毕业生典型项目立项名单</w:t>
      </w:r>
    </w:p>
    <w:tbl>
      <w:tblPr>
        <w:tblStyle w:val="23"/>
        <w:tblW w:w="78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5"/>
        <w:gridCol w:w="3930"/>
        <w:gridCol w:w="3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widowControl/>
              <w:wordWrap/>
              <w:spacing w:beforeLines="0" w:afterLines="0" w:line="400" w:lineRule="exact"/>
              <w:ind w:left="0" w:leftChars="0" w:right="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序号</w:t>
            </w:r>
          </w:p>
        </w:tc>
        <w:tc>
          <w:tcPr>
            <w:tcW w:w="3930" w:type="dxa"/>
            <w:tcBorders>
              <w:top w:val="single" w:color="auto" w:sz="4" w:space="0"/>
              <w:left w:val="nil"/>
              <w:bottom w:val="single" w:color="auto" w:sz="4" w:space="0"/>
              <w:right w:val="single" w:color="auto" w:sz="4" w:space="0"/>
            </w:tcBorders>
            <w:vAlign w:val="center"/>
          </w:tcPr>
          <w:p>
            <w:pPr>
              <w:widowControl/>
              <w:wordWrap/>
              <w:spacing w:beforeLines="0" w:afterLines="0" w:line="400" w:lineRule="exact"/>
              <w:ind w:left="0" w:leftChars="0" w:right="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学校名称</w:t>
            </w:r>
          </w:p>
        </w:tc>
        <w:tc>
          <w:tcPr>
            <w:tcW w:w="3210" w:type="dxa"/>
            <w:tcBorders>
              <w:top w:val="single" w:color="auto" w:sz="4" w:space="0"/>
              <w:left w:val="nil"/>
              <w:bottom w:val="single" w:color="auto" w:sz="4" w:space="0"/>
              <w:right w:val="single" w:color="auto" w:sz="4" w:space="0"/>
            </w:tcBorders>
            <w:vAlign w:val="center"/>
          </w:tcPr>
          <w:p>
            <w:pPr>
              <w:widowControl/>
              <w:wordWrap/>
              <w:spacing w:beforeLines="0" w:afterLines="0" w:line="400" w:lineRule="exact"/>
              <w:ind w:left="0" w:leftChars="0" w:right="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学生姓名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jc w:val="center"/>
        </w:trPr>
        <w:tc>
          <w:tcPr>
            <w:tcW w:w="675" w:type="dxa"/>
            <w:tcBorders>
              <w:top w:val="nil"/>
              <w:left w:val="single" w:color="auto" w:sz="4" w:space="0"/>
              <w:bottom w:val="single" w:color="auto" w:sz="4" w:space="0"/>
              <w:right w:val="single" w:color="auto" w:sz="4" w:space="0"/>
            </w:tcBorders>
            <w:vAlign w:val="center"/>
          </w:tcPr>
          <w:p>
            <w:pPr>
              <w:widowControl/>
              <w:wordWrap/>
              <w:spacing w:beforeLines="0" w:afterLines="0" w:line="400" w:lineRule="exact"/>
              <w:ind w:left="0" w:leftChars="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3930" w:type="dxa"/>
            <w:tcBorders>
              <w:top w:val="nil"/>
              <w:left w:val="nil"/>
              <w:bottom w:val="single" w:color="auto" w:sz="4" w:space="0"/>
              <w:right w:val="single" w:color="auto" w:sz="4" w:space="0"/>
            </w:tcBorders>
            <w:vAlign w:val="center"/>
          </w:tcPr>
          <w:p>
            <w:pPr>
              <w:widowControl/>
              <w:wordWrap/>
              <w:spacing w:beforeLines="0" w:afterLines="0" w:line="400" w:lineRule="exact"/>
              <w:ind w:left="0" w:leftChars="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杭州市中策职业学校</w:t>
            </w:r>
          </w:p>
        </w:tc>
        <w:tc>
          <w:tcPr>
            <w:tcW w:w="3210" w:type="dxa"/>
            <w:tcBorders>
              <w:top w:val="nil"/>
              <w:left w:val="nil"/>
              <w:bottom w:val="single" w:color="auto" w:sz="4" w:space="0"/>
              <w:right w:val="single" w:color="auto" w:sz="4" w:space="0"/>
            </w:tcBorders>
            <w:vAlign w:val="center"/>
          </w:tcPr>
          <w:p>
            <w:pPr>
              <w:widowControl/>
              <w:wordWrap/>
              <w:spacing w:beforeLines="0" w:afterLines="0" w:line="400" w:lineRule="exact"/>
              <w:ind w:left="0" w:leftChars="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樊文天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675" w:type="dxa"/>
            <w:tcBorders>
              <w:top w:val="nil"/>
              <w:left w:val="single" w:color="auto" w:sz="4" w:space="0"/>
              <w:bottom w:val="single" w:color="auto" w:sz="4" w:space="0"/>
              <w:right w:val="single" w:color="auto" w:sz="4" w:space="0"/>
            </w:tcBorders>
            <w:vAlign w:val="center"/>
          </w:tcPr>
          <w:p>
            <w:pPr>
              <w:widowControl/>
              <w:wordWrap/>
              <w:spacing w:beforeLines="0" w:afterLines="0" w:line="400" w:lineRule="exact"/>
              <w:ind w:left="0" w:leftChars="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3930" w:type="dxa"/>
            <w:tcBorders>
              <w:top w:val="nil"/>
              <w:left w:val="nil"/>
              <w:bottom w:val="single" w:color="auto" w:sz="4" w:space="0"/>
              <w:right w:val="single" w:color="auto" w:sz="4" w:space="0"/>
            </w:tcBorders>
            <w:vAlign w:val="center"/>
          </w:tcPr>
          <w:p>
            <w:pPr>
              <w:widowControl/>
              <w:wordWrap/>
              <w:spacing w:beforeLines="0" w:afterLines="0" w:line="400" w:lineRule="exact"/>
              <w:ind w:left="0" w:leftChars="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杭州市电子信息职业学校</w:t>
            </w:r>
          </w:p>
        </w:tc>
        <w:tc>
          <w:tcPr>
            <w:tcW w:w="3210" w:type="dxa"/>
            <w:tcBorders>
              <w:top w:val="nil"/>
              <w:left w:val="nil"/>
              <w:bottom w:val="single" w:color="auto" w:sz="4" w:space="0"/>
              <w:right w:val="single" w:color="auto" w:sz="4" w:space="0"/>
            </w:tcBorders>
            <w:vAlign w:val="center"/>
          </w:tcPr>
          <w:p>
            <w:pPr>
              <w:widowControl/>
              <w:wordWrap/>
              <w:spacing w:beforeLines="0" w:afterLines="0" w:line="400" w:lineRule="exact"/>
              <w:ind w:left="0" w:leftChars="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严翔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675" w:type="dxa"/>
            <w:tcBorders>
              <w:top w:val="nil"/>
              <w:left w:val="single" w:color="auto" w:sz="4" w:space="0"/>
              <w:bottom w:val="single" w:color="auto" w:sz="4" w:space="0"/>
              <w:right w:val="single" w:color="auto" w:sz="4" w:space="0"/>
            </w:tcBorders>
            <w:vAlign w:val="center"/>
          </w:tcPr>
          <w:p>
            <w:pPr>
              <w:widowControl/>
              <w:wordWrap/>
              <w:spacing w:beforeLines="0" w:afterLines="0" w:line="400" w:lineRule="exact"/>
              <w:ind w:left="0" w:leftChars="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3930" w:type="dxa"/>
            <w:tcBorders>
              <w:top w:val="nil"/>
              <w:left w:val="nil"/>
              <w:bottom w:val="single" w:color="auto" w:sz="4" w:space="0"/>
              <w:right w:val="single" w:color="auto" w:sz="4" w:space="0"/>
            </w:tcBorders>
            <w:vAlign w:val="center"/>
          </w:tcPr>
          <w:p>
            <w:pPr>
              <w:widowControl/>
              <w:wordWrap/>
              <w:spacing w:beforeLines="0" w:afterLines="0" w:line="400" w:lineRule="exact"/>
              <w:ind w:left="0" w:leftChars="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杭州市良渚职业高级中学</w:t>
            </w:r>
          </w:p>
        </w:tc>
        <w:tc>
          <w:tcPr>
            <w:tcW w:w="3210" w:type="dxa"/>
            <w:tcBorders>
              <w:top w:val="nil"/>
              <w:left w:val="nil"/>
              <w:bottom w:val="single" w:color="auto" w:sz="4" w:space="0"/>
              <w:right w:val="single" w:color="auto" w:sz="4" w:space="0"/>
            </w:tcBorders>
            <w:vAlign w:val="center"/>
          </w:tcPr>
          <w:p>
            <w:pPr>
              <w:widowControl/>
              <w:wordWrap/>
              <w:spacing w:beforeLines="0" w:afterLines="0" w:line="400" w:lineRule="exact"/>
              <w:ind w:left="0" w:leftChars="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罗洪文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75" w:type="dxa"/>
            <w:tcBorders>
              <w:top w:val="nil"/>
              <w:left w:val="single" w:color="auto" w:sz="4" w:space="0"/>
              <w:bottom w:val="single" w:color="auto" w:sz="4" w:space="0"/>
              <w:right w:val="single" w:color="auto" w:sz="4" w:space="0"/>
            </w:tcBorders>
            <w:vAlign w:val="center"/>
          </w:tcPr>
          <w:p>
            <w:pPr>
              <w:widowControl/>
              <w:wordWrap/>
              <w:spacing w:beforeLines="0" w:afterLines="0" w:line="400" w:lineRule="exact"/>
              <w:ind w:left="0" w:leftChars="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3930" w:type="dxa"/>
            <w:tcBorders>
              <w:top w:val="nil"/>
              <w:left w:val="nil"/>
              <w:bottom w:val="single" w:color="auto" w:sz="4" w:space="0"/>
              <w:right w:val="single" w:color="auto" w:sz="4" w:space="0"/>
            </w:tcBorders>
            <w:vAlign w:val="center"/>
          </w:tcPr>
          <w:p>
            <w:pPr>
              <w:widowControl/>
              <w:wordWrap/>
              <w:spacing w:beforeLines="0" w:afterLines="0" w:line="400" w:lineRule="exact"/>
              <w:ind w:left="0" w:leftChars="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杭州市富阳区职业教育中心</w:t>
            </w:r>
          </w:p>
        </w:tc>
        <w:tc>
          <w:tcPr>
            <w:tcW w:w="3210" w:type="dxa"/>
            <w:tcBorders>
              <w:top w:val="nil"/>
              <w:left w:val="nil"/>
              <w:bottom w:val="single" w:color="auto" w:sz="4" w:space="0"/>
              <w:right w:val="single" w:color="auto" w:sz="4" w:space="0"/>
            </w:tcBorders>
            <w:vAlign w:val="center"/>
          </w:tcPr>
          <w:p>
            <w:pPr>
              <w:widowControl/>
              <w:wordWrap/>
              <w:spacing w:beforeLines="0" w:afterLines="0" w:line="400" w:lineRule="exact"/>
              <w:ind w:left="0" w:leftChars="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沈金涛</w:t>
            </w:r>
          </w:p>
        </w:tc>
      </w:tr>
    </w:tbl>
    <w:p>
      <w:pPr>
        <w:wordWrap/>
        <w:spacing w:before="157" w:beforeLines="50" w:afterLines="0" w:line="360" w:lineRule="auto"/>
        <w:ind w:left="0" w:leftChars="0" w:right="0" w:firstLine="421" w:firstLineChars="200"/>
        <w:jc w:val="left"/>
        <w:rPr>
          <w:rFonts w:hint="eastAsia" w:ascii="宋体" w:hAnsi="宋体" w:eastAsia="宋体" w:cs="宋体"/>
          <w:sz w:val="21"/>
          <w:szCs w:val="21"/>
        </w:rPr>
      </w:pPr>
      <w:r>
        <w:rPr>
          <w:rFonts w:hint="eastAsia" w:ascii="宋体" w:hAnsi="宋体" w:eastAsia="宋体" w:cs="宋体"/>
          <w:b/>
          <w:bCs/>
          <w:color w:val="auto"/>
          <w:sz w:val="21"/>
          <w:szCs w:val="21"/>
          <w:lang w:val="en-US" w:eastAsia="zh-CN"/>
        </w:rPr>
        <w:t>劳动教育，全面落地。</w:t>
      </w:r>
      <w:r>
        <w:rPr>
          <w:rFonts w:hint="eastAsia" w:ascii="宋体" w:hAnsi="宋体" w:eastAsia="宋体" w:cs="宋体"/>
          <w:sz w:val="21"/>
          <w:szCs w:val="21"/>
        </w:rPr>
        <w:t>2020年，杭州市各中职学校贯彻落实构建德智体美劳全面培养的教育体系要求，从思想观念、课程体系、文化氛围、实践层面等全方位、多形式开展劳动教育，努力弘扬劳动精神，引导学生崇尚劳动、尊重劳动、热爱劳动。2020年杭州市共有5所中等职业学校获得浙江省中小学劳动实践基地（第二批）暨职业体验基地</w:t>
      </w:r>
      <w:r>
        <w:rPr>
          <w:rFonts w:hint="eastAsia" w:ascii="宋体" w:hAnsi="宋体" w:cs="宋体"/>
          <w:sz w:val="21"/>
          <w:szCs w:val="21"/>
          <w:lang w:eastAsia="zh-CN"/>
        </w:rPr>
        <w:t>。</w:t>
      </w:r>
    </w:p>
    <w:p>
      <w:pPr>
        <w:wordWrap/>
        <w:spacing w:beforeLines="0" w:afterLines="0" w:line="360" w:lineRule="auto"/>
        <w:ind w:left="0" w:leftChars="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eastAsia="zh-CN"/>
        </w:rPr>
        <w:t>表</w:t>
      </w:r>
      <w:r>
        <w:rPr>
          <w:rFonts w:hint="eastAsia" w:asciiTheme="minorEastAsia" w:hAnsiTheme="minorEastAsia" w:eastAsiaTheme="minorEastAsia" w:cstheme="minorEastAsia"/>
          <w:b/>
          <w:sz w:val="21"/>
          <w:szCs w:val="21"/>
          <w:lang w:val="en-US" w:eastAsia="zh-CN"/>
        </w:rPr>
        <w:t xml:space="preserve">9 </w:t>
      </w:r>
      <w:r>
        <w:rPr>
          <w:rFonts w:hint="eastAsia" w:asciiTheme="minorEastAsia" w:hAnsiTheme="minorEastAsia" w:eastAsiaTheme="minorEastAsia" w:cstheme="minorEastAsia"/>
          <w:b/>
          <w:sz w:val="21"/>
          <w:szCs w:val="21"/>
        </w:rPr>
        <w:t>浙江省中小学劳动实践基地（第二批）暨职业体验基地（杭州市）名单</w:t>
      </w:r>
    </w:p>
    <w:tbl>
      <w:tblPr>
        <w:tblStyle w:val="23"/>
        <w:tblW w:w="84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4"/>
        <w:gridCol w:w="3436"/>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3164" w:type="dxa"/>
            <w:vAlign w:val="center"/>
          </w:tcPr>
          <w:p>
            <w:pPr>
              <w:widowControl/>
              <w:wordWrap/>
              <w:adjustRightInd/>
              <w:snapToGrid/>
              <w:spacing w:beforeLines="0" w:afterLines="0" w:line="400" w:lineRule="exact"/>
              <w:ind w:left="0" w:leftChars="0" w:right="0"/>
              <w:jc w:val="center"/>
              <w:textAlignment w:val="center"/>
              <w:rPr>
                <w:rFonts w:hint="eastAsia" w:ascii="仿宋_GB2312" w:hAnsi="仿宋_GB2312" w:eastAsia="仿宋_GB2312" w:cs="仿宋_GB2312"/>
                <w:b/>
                <w:color w:val="auto"/>
                <w:kern w:val="0"/>
                <w:sz w:val="21"/>
                <w:szCs w:val="21"/>
              </w:rPr>
            </w:pPr>
            <w:r>
              <w:rPr>
                <w:rFonts w:hint="eastAsia" w:ascii="仿宋_GB2312" w:hAnsi="仿宋_GB2312" w:eastAsia="仿宋_GB2312" w:cs="仿宋_GB2312"/>
                <w:b/>
                <w:color w:val="auto"/>
                <w:kern w:val="0"/>
                <w:sz w:val="21"/>
                <w:szCs w:val="21"/>
              </w:rPr>
              <w:t>中职学校名称</w:t>
            </w:r>
          </w:p>
        </w:tc>
        <w:tc>
          <w:tcPr>
            <w:tcW w:w="3436" w:type="dxa"/>
            <w:vAlign w:val="center"/>
          </w:tcPr>
          <w:p>
            <w:pPr>
              <w:widowControl/>
              <w:wordWrap/>
              <w:adjustRightInd/>
              <w:snapToGrid/>
              <w:spacing w:beforeLines="0" w:afterLines="0" w:line="400" w:lineRule="exact"/>
              <w:ind w:left="0" w:leftChars="0" w:right="0"/>
              <w:jc w:val="center"/>
              <w:textAlignment w:val="center"/>
              <w:rPr>
                <w:rFonts w:hint="eastAsia" w:ascii="仿宋_GB2312" w:hAnsi="仿宋_GB2312" w:eastAsia="仿宋_GB2312" w:cs="仿宋_GB2312"/>
                <w:b/>
                <w:color w:val="auto"/>
                <w:kern w:val="0"/>
                <w:sz w:val="21"/>
                <w:szCs w:val="21"/>
              </w:rPr>
            </w:pPr>
            <w:r>
              <w:rPr>
                <w:rFonts w:hint="eastAsia" w:ascii="仿宋_GB2312" w:hAnsi="仿宋_GB2312" w:eastAsia="仿宋_GB2312" w:cs="仿宋_GB2312"/>
                <w:b/>
                <w:color w:val="auto"/>
                <w:kern w:val="0"/>
                <w:sz w:val="21"/>
                <w:szCs w:val="21"/>
              </w:rPr>
              <w:t>基地名称</w:t>
            </w:r>
          </w:p>
        </w:tc>
        <w:tc>
          <w:tcPr>
            <w:tcW w:w="1842" w:type="dxa"/>
            <w:vAlign w:val="center"/>
          </w:tcPr>
          <w:p>
            <w:pPr>
              <w:widowControl/>
              <w:wordWrap/>
              <w:adjustRightInd/>
              <w:snapToGrid/>
              <w:spacing w:beforeLines="0" w:afterLines="0" w:line="400" w:lineRule="exact"/>
              <w:ind w:left="0" w:leftChars="0" w:right="0"/>
              <w:jc w:val="center"/>
              <w:textAlignment w:val="center"/>
              <w:rPr>
                <w:rFonts w:hint="eastAsia" w:ascii="仿宋_GB2312" w:hAnsi="仿宋_GB2312" w:eastAsia="仿宋_GB2312" w:cs="仿宋_GB2312"/>
                <w:b/>
                <w:color w:val="auto"/>
                <w:kern w:val="0"/>
                <w:sz w:val="21"/>
                <w:szCs w:val="21"/>
              </w:rPr>
            </w:pPr>
            <w:r>
              <w:rPr>
                <w:rFonts w:hint="eastAsia" w:ascii="仿宋_GB2312" w:hAnsi="仿宋_GB2312" w:eastAsia="仿宋_GB2312" w:cs="仿宋_GB2312"/>
                <w:b/>
                <w:color w:val="auto"/>
                <w:kern w:val="0"/>
                <w:sz w:val="21"/>
                <w:szCs w:val="21"/>
              </w:rPr>
              <w:t>基地适合学段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3164" w:type="dxa"/>
            <w:vAlign w:val="center"/>
          </w:tcPr>
          <w:p>
            <w:pPr>
              <w:widowControl/>
              <w:wordWrap/>
              <w:adjustRightInd/>
              <w:snapToGrid/>
              <w:spacing w:beforeLines="0" w:afterLines="0" w:line="400" w:lineRule="exact"/>
              <w:ind w:left="0" w:leftChars="0" w:right="0"/>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杭州市中策职业学校</w:t>
            </w:r>
          </w:p>
        </w:tc>
        <w:tc>
          <w:tcPr>
            <w:tcW w:w="3436" w:type="dxa"/>
            <w:vAlign w:val="center"/>
          </w:tcPr>
          <w:p>
            <w:pPr>
              <w:widowControl/>
              <w:wordWrap/>
              <w:adjustRightInd/>
              <w:snapToGrid/>
              <w:spacing w:beforeLines="0" w:afterLines="0" w:line="400" w:lineRule="exact"/>
              <w:ind w:left="0" w:leftChars="0" w:right="0"/>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智能制造劳动实践基地</w:t>
            </w:r>
          </w:p>
        </w:tc>
        <w:tc>
          <w:tcPr>
            <w:tcW w:w="1842" w:type="dxa"/>
            <w:vAlign w:val="center"/>
          </w:tcPr>
          <w:p>
            <w:pPr>
              <w:widowControl/>
              <w:wordWrap/>
              <w:adjustRightInd/>
              <w:snapToGrid/>
              <w:spacing w:beforeLines="0" w:afterLines="0" w:line="400" w:lineRule="exact"/>
              <w:ind w:left="0" w:leftChars="0" w:right="0"/>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高中、初中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3164" w:type="dxa"/>
            <w:vAlign w:val="center"/>
          </w:tcPr>
          <w:p>
            <w:pPr>
              <w:widowControl/>
              <w:wordWrap/>
              <w:adjustRightInd/>
              <w:snapToGrid/>
              <w:spacing w:beforeLines="0" w:afterLines="0" w:line="400" w:lineRule="exact"/>
              <w:ind w:left="0" w:leftChars="0" w:right="0"/>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杭州市人民职业学校</w:t>
            </w:r>
          </w:p>
        </w:tc>
        <w:tc>
          <w:tcPr>
            <w:tcW w:w="3436" w:type="dxa"/>
            <w:vAlign w:val="center"/>
          </w:tcPr>
          <w:p>
            <w:pPr>
              <w:widowControl/>
              <w:wordWrap/>
              <w:adjustRightInd/>
              <w:snapToGrid/>
              <w:spacing w:beforeLines="0" w:afterLines="0" w:line="400" w:lineRule="exact"/>
              <w:ind w:left="0" w:leftChars="0" w:right="0"/>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学前教育劳动实践基地</w:t>
            </w:r>
          </w:p>
        </w:tc>
        <w:tc>
          <w:tcPr>
            <w:tcW w:w="1842" w:type="dxa"/>
            <w:vAlign w:val="center"/>
          </w:tcPr>
          <w:p>
            <w:pPr>
              <w:widowControl/>
              <w:wordWrap/>
              <w:adjustRightInd/>
              <w:snapToGrid/>
              <w:spacing w:beforeLines="0" w:afterLines="0" w:line="400" w:lineRule="exact"/>
              <w:ind w:left="0" w:leftChars="0" w:right="0"/>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小学、初中、高中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3164" w:type="dxa"/>
            <w:vAlign w:val="center"/>
          </w:tcPr>
          <w:p>
            <w:pPr>
              <w:widowControl/>
              <w:wordWrap/>
              <w:adjustRightInd/>
              <w:snapToGrid/>
              <w:spacing w:beforeLines="0" w:afterLines="0" w:line="400" w:lineRule="exact"/>
              <w:ind w:left="0" w:leftChars="0" w:right="0"/>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杭州市萧山区第一中等职业学校</w:t>
            </w:r>
          </w:p>
        </w:tc>
        <w:tc>
          <w:tcPr>
            <w:tcW w:w="3436" w:type="dxa"/>
            <w:vAlign w:val="center"/>
          </w:tcPr>
          <w:p>
            <w:pPr>
              <w:widowControl/>
              <w:wordWrap/>
              <w:adjustRightInd/>
              <w:snapToGrid/>
              <w:spacing w:beforeLines="0" w:afterLines="0" w:line="400" w:lineRule="exact"/>
              <w:ind w:left="0" w:leftChars="0" w:right="0"/>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增材制造劳动实践基地</w:t>
            </w:r>
          </w:p>
        </w:tc>
        <w:tc>
          <w:tcPr>
            <w:tcW w:w="1842" w:type="dxa"/>
            <w:vAlign w:val="center"/>
          </w:tcPr>
          <w:p>
            <w:pPr>
              <w:widowControl/>
              <w:wordWrap/>
              <w:adjustRightInd/>
              <w:snapToGrid/>
              <w:spacing w:beforeLines="0" w:afterLines="0" w:line="400" w:lineRule="exact"/>
              <w:ind w:left="0" w:leftChars="0" w:right="0"/>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3164" w:type="dxa"/>
            <w:vAlign w:val="center"/>
          </w:tcPr>
          <w:p>
            <w:pPr>
              <w:widowControl/>
              <w:wordWrap/>
              <w:adjustRightInd/>
              <w:snapToGrid/>
              <w:spacing w:beforeLines="0" w:afterLines="0" w:line="400" w:lineRule="exact"/>
              <w:ind w:left="0" w:leftChars="0" w:right="0"/>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杭州市建设职业学校</w:t>
            </w:r>
          </w:p>
        </w:tc>
        <w:tc>
          <w:tcPr>
            <w:tcW w:w="3436" w:type="dxa"/>
            <w:vAlign w:val="center"/>
          </w:tcPr>
          <w:p>
            <w:pPr>
              <w:widowControl/>
              <w:wordWrap/>
              <w:adjustRightInd/>
              <w:snapToGrid/>
              <w:spacing w:beforeLines="0" w:afterLines="0" w:line="400" w:lineRule="exact"/>
              <w:ind w:left="0" w:leftChars="0" w:right="0"/>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建筑智能化劳动实践基地</w:t>
            </w:r>
          </w:p>
        </w:tc>
        <w:tc>
          <w:tcPr>
            <w:tcW w:w="1842" w:type="dxa"/>
            <w:vAlign w:val="center"/>
          </w:tcPr>
          <w:p>
            <w:pPr>
              <w:widowControl/>
              <w:wordWrap/>
              <w:adjustRightInd/>
              <w:snapToGrid/>
              <w:spacing w:beforeLines="0" w:afterLines="0" w:line="400" w:lineRule="exact"/>
              <w:ind w:left="0" w:leftChars="0" w:right="0"/>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初中学段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3164" w:type="dxa"/>
            <w:vAlign w:val="center"/>
          </w:tcPr>
          <w:p>
            <w:pPr>
              <w:widowControl/>
              <w:wordWrap/>
              <w:adjustRightInd/>
              <w:snapToGrid/>
              <w:spacing w:beforeLines="0" w:afterLines="0" w:line="400" w:lineRule="exact"/>
              <w:ind w:left="0" w:leftChars="0" w:right="0"/>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桐庐县职业技术学校</w:t>
            </w:r>
          </w:p>
        </w:tc>
        <w:tc>
          <w:tcPr>
            <w:tcW w:w="3436" w:type="dxa"/>
            <w:vAlign w:val="center"/>
          </w:tcPr>
          <w:p>
            <w:pPr>
              <w:widowControl/>
              <w:wordWrap/>
              <w:adjustRightInd/>
              <w:snapToGrid/>
              <w:spacing w:beforeLines="0" w:afterLines="0" w:line="400" w:lineRule="exact"/>
              <w:ind w:left="0" w:leftChars="0" w:right="0"/>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文旅融创与美好生活劳动实践基地</w:t>
            </w:r>
          </w:p>
        </w:tc>
        <w:tc>
          <w:tcPr>
            <w:tcW w:w="1842" w:type="dxa"/>
            <w:vAlign w:val="center"/>
          </w:tcPr>
          <w:p>
            <w:pPr>
              <w:widowControl/>
              <w:wordWrap/>
              <w:adjustRightInd/>
              <w:snapToGrid/>
              <w:spacing w:beforeLines="0" w:afterLines="0" w:line="400" w:lineRule="exact"/>
              <w:ind w:left="0" w:leftChars="0" w:right="0"/>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高中、初中、小学</w:t>
            </w:r>
          </w:p>
        </w:tc>
      </w:tr>
    </w:tbl>
    <w:p>
      <w:pPr>
        <w:wordWrap/>
        <w:spacing w:before="157" w:beforeLines="50" w:afterLines="0" w:line="360" w:lineRule="auto"/>
        <w:ind w:right="0" w:firstLine="421" w:firstLineChars="200"/>
        <w:textAlignment w:val="auto"/>
        <w:rPr>
          <w:rFonts w:hint="eastAsia" w:ascii="楷体_GB2312" w:hAnsi="楷体_GB2312" w:eastAsia="楷体_GB2312" w:cs="楷体_GB2312"/>
          <w:b/>
          <w:bCs/>
          <w:color w:val="auto"/>
          <w:kern w:val="44"/>
          <w:sz w:val="21"/>
          <w:szCs w:val="21"/>
          <w:lang w:val="zh-CN" w:eastAsia="zh-CN"/>
        </w:rPr>
      </w:pPr>
      <w:r>
        <w:rPr>
          <w:rFonts w:hint="eastAsia" w:ascii="楷体_GB2312" w:hAnsi="楷体_GB2312" w:eastAsia="楷体_GB2312" w:cs="楷体_GB2312"/>
          <w:b/>
          <w:bCs/>
          <w:color w:val="auto"/>
          <w:kern w:val="44"/>
          <w:sz w:val="21"/>
          <w:szCs w:val="21"/>
          <w:lang w:val="zh-CN" w:eastAsia="zh-CN"/>
        </w:rPr>
        <w:t>【案例2-</w:t>
      </w:r>
      <w:r>
        <w:rPr>
          <w:rFonts w:hint="eastAsia" w:ascii="楷体_GB2312" w:hAnsi="楷体_GB2312" w:eastAsia="楷体_GB2312" w:cs="楷体_GB2312"/>
          <w:b/>
          <w:bCs/>
          <w:color w:val="auto"/>
          <w:kern w:val="44"/>
          <w:sz w:val="21"/>
          <w:szCs w:val="21"/>
          <w:lang w:val="en-US" w:eastAsia="zh-CN"/>
        </w:rPr>
        <w:t>1</w:t>
      </w:r>
      <w:r>
        <w:rPr>
          <w:rFonts w:hint="eastAsia" w:ascii="楷体_GB2312" w:hAnsi="楷体_GB2312" w:eastAsia="楷体_GB2312" w:cs="楷体_GB2312"/>
          <w:b/>
          <w:bCs/>
          <w:color w:val="auto"/>
          <w:kern w:val="44"/>
          <w:sz w:val="21"/>
          <w:szCs w:val="21"/>
          <w:lang w:val="zh-CN" w:eastAsia="zh-CN"/>
        </w:rPr>
        <w:t>】杭州市建设职业学校创建“建筑智能化”劳动实践基地</w:t>
      </w:r>
    </w:p>
    <w:p>
      <w:pPr>
        <w:widowControl/>
        <w:shd w:val="clear" w:color="auto" w:fill="FFFFFF"/>
        <w:wordWrap/>
        <w:spacing w:beforeLines="0" w:afterLines="0" w:line="360" w:lineRule="auto"/>
        <w:ind w:left="0" w:leftChars="0" w:right="0" w:firstLine="420" w:firstLineChars="200"/>
        <w:jc w:val="both"/>
        <w:textAlignment w:val="baseline"/>
        <w:outlineLvl w:val="0"/>
        <w:rPr>
          <w:rFonts w:hint="eastAsia" w:ascii="仿宋_GB2312" w:hAnsi="仿宋_GB2312" w:eastAsia="仿宋_GB2312" w:cs="仿宋_GB2312"/>
          <w:sz w:val="21"/>
          <w:szCs w:val="21"/>
          <w:lang w:val="zh-CN" w:eastAsia="zh-CN"/>
        </w:rPr>
      </w:pPr>
      <w:r>
        <w:rPr>
          <w:rFonts w:hint="eastAsia" w:ascii="仿宋_GB2312" w:hAnsi="仿宋_GB2312" w:eastAsia="仿宋_GB2312" w:cs="仿宋_GB2312"/>
          <w:sz w:val="21"/>
          <w:szCs w:val="21"/>
          <w:lang w:val="zh-CN" w:eastAsia="zh-CN"/>
        </w:rPr>
        <w:t>杭州市建设职业学校依托省级示范实训基地，精心打造建筑智能化劳动实践基地。20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lang w:val="zh-CN" w:eastAsia="zh-CN"/>
        </w:rPr>
        <w:t>年，学校根据专业特色，在保证课程内容不枯燥、体验过程不考试的前提下向全校教师征集</w:t>
      </w:r>
      <w:r>
        <w:rPr>
          <w:rFonts w:hint="eastAsia" w:ascii="仿宋_GB2312" w:hAnsi="仿宋_GB2312" w:eastAsia="仿宋_GB2312" w:cs="仿宋_GB2312"/>
          <w:sz w:val="21"/>
          <w:szCs w:val="21"/>
          <w:lang w:val="en-US" w:eastAsia="zh-CN"/>
        </w:rPr>
        <w:t>20余个</w:t>
      </w:r>
      <w:r>
        <w:rPr>
          <w:rFonts w:hint="eastAsia" w:ascii="仿宋_GB2312" w:hAnsi="仿宋_GB2312" w:eastAsia="仿宋_GB2312" w:cs="仿宋_GB2312"/>
          <w:sz w:val="21"/>
          <w:szCs w:val="21"/>
          <w:lang w:val="zh-CN" w:eastAsia="zh-CN"/>
        </w:rPr>
        <w:t>职业体验课程，从中筛选出10个优秀课程，共接收杭州市区39所初中学校的学生999人次参与职业体验。学校不但创建了校内职业体验馆，还不断拓展与合作企业的业务，建立了南鸿装饰、杰立建设、杭州湾建筑集团、浙江建设职业技术学院等校外职业体验场地，拓宽学生职业体验路径。</w:t>
      </w:r>
    </w:p>
    <w:p>
      <w:pPr>
        <w:wordWrap/>
        <w:spacing w:before="157" w:beforeLines="50" w:afterLines="0" w:line="360" w:lineRule="auto"/>
        <w:ind w:right="0" w:firstLine="421" w:firstLineChars="200"/>
        <w:jc w:val="left"/>
        <w:rPr>
          <w:rFonts w:hint="eastAsia" w:ascii="宋体" w:hAnsi="宋体" w:eastAsia="宋体" w:cs="宋体"/>
          <w:sz w:val="21"/>
          <w:szCs w:val="21"/>
        </w:rPr>
      </w:pPr>
      <w:r>
        <w:rPr>
          <w:rFonts w:hint="eastAsia" w:ascii="宋体" w:hAnsi="宋体" w:eastAsia="宋体" w:cs="宋体"/>
          <w:b/>
          <w:bCs/>
          <w:color w:val="auto"/>
          <w:sz w:val="21"/>
          <w:szCs w:val="21"/>
          <w:lang w:val="en-US" w:eastAsia="zh-CN"/>
        </w:rPr>
        <w:t>匠人匠心，搭建平台。</w:t>
      </w:r>
      <w:r>
        <w:rPr>
          <w:rFonts w:hint="eastAsia" w:ascii="宋体" w:hAnsi="宋体" w:eastAsia="宋体" w:cs="宋体"/>
          <w:sz w:val="21"/>
          <w:szCs w:val="21"/>
        </w:rPr>
        <w:t>2020年，杭州市教育局将“匠心匠艺”全面融入到教育教学全过程，探索形成从课堂层面落实工匠精神培育的实践路径与有效机制，通过线上线下各类活动，围绕弘扬劳模工匠精神，助力青年教师和青年学生成长成才。</w:t>
      </w:r>
    </w:p>
    <w:p>
      <w:pPr>
        <w:widowControl/>
        <w:shd w:val="clear" w:color="auto" w:fill="FFFFFF"/>
        <w:wordWrap/>
        <w:spacing w:beforeLines="0" w:afterLines="0" w:line="360" w:lineRule="auto"/>
        <w:ind w:left="0" w:leftChars="0" w:right="0" w:firstLine="420" w:firstLineChars="200"/>
        <w:jc w:val="left"/>
        <w:textAlignment w:val="baseline"/>
        <w:outlineLvl w:val="0"/>
        <w:rPr>
          <w:rFonts w:hint="eastAsia" w:ascii="宋体" w:hAnsi="宋体" w:eastAsia="宋体" w:cs="宋体"/>
          <w:sz w:val="21"/>
          <w:szCs w:val="21"/>
        </w:rPr>
      </w:pPr>
      <w:r>
        <w:rPr>
          <w:rFonts w:hint="eastAsia" w:ascii="宋体" w:hAnsi="宋体" w:cs="宋体"/>
          <w:sz w:val="21"/>
          <w:szCs w:val="21"/>
          <w:lang w:val="en-US" w:eastAsia="zh-CN"/>
        </w:rPr>
        <w:t>2020年</w:t>
      </w:r>
      <w:r>
        <w:rPr>
          <w:rFonts w:hint="eastAsia" w:ascii="宋体" w:hAnsi="宋体" w:eastAsia="宋体" w:cs="宋体"/>
          <w:sz w:val="21"/>
          <w:szCs w:val="21"/>
        </w:rPr>
        <w:t>第一届全国职业技能大赛</w:t>
      </w:r>
      <w:r>
        <w:rPr>
          <w:rFonts w:hint="eastAsia" w:ascii="宋体" w:hAnsi="宋体" w:cs="宋体"/>
          <w:sz w:val="21"/>
          <w:szCs w:val="21"/>
          <w:lang w:eastAsia="zh-CN"/>
        </w:rPr>
        <w:t>中，</w:t>
      </w:r>
      <w:r>
        <w:rPr>
          <w:rFonts w:hint="eastAsia" w:ascii="宋体" w:hAnsi="宋体" w:eastAsia="宋体" w:cs="宋体"/>
          <w:sz w:val="21"/>
          <w:szCs w:val="21"/>
        </w:rPr>
        <w:t>浙江代表团共获得5枚金牌、7枚银牌、7枚铜牌和52个优胜奖，列团体总分第四</w:t>
      </w:r>
      <w:r>
        <w:rPr>
          <w:rFonts w:hint="eastAsia" w:ascii="宋体" w:hAnsi="宋体" w:cs="宋体"/>
          <w:sz w:val="21"/>
          <w:szCs w:val="21"/>
          <w:lang w:eastAsia="zh-CN"/>
        </w:rPr>
        <w:t>，</w:t>
      </w:r>
      <w:r>
        <w:rPr>
          <w:rFonts w:hint="eastAsia" w:ascii="宋体" w:hAnsi="宋体" w:eastAsia="宋体" w:cs="宋体"/>
          <w:sz w:val="21"/>
          <w:szCs w:val="21"/>
        </w:rPr>
        <w:t>其中杭州市获得1金1银3铜的优异成绩。2020年</w:t>
      </w:r>
      <w:r>
        <w:rPr>
          <w:rFonts w:hint="eastAsia" w:ascii="宋体" w:hAnsi="宋体" w:cs="宋体"/>
          <w:sz w:val="21"/>
          <w:szCs w:val="21"/>
          <w:lang w:eastAsia="zh-CN"/>
        </w:rPr>
        <w:t>全国职业院校技能大赛改革试点赛</w:t>
      </w:r>
      <w:r>
        <w:rPr>
          <w:rFonts w:hint="eastAsia" w:ascii="宋体" w:hAnsi="宋体" w:eastAsia="宋体" w:cs="宋体"/>
          <w:sz w:val="21"/>
          <w:szCs w:val="21"/>
        </w:rPr>
        <w:t>获得1金2银（富阳职高园林专业获得金牌，临平职高和萧山三职获得银牌）</w:t>
      </w:r>
      <w:r>
        <w:rPr>
          <w:rFonts w:hint="eastAsia" w:ascii="宋体" w:hAnsi="宋体" w:cs="宋体"/>
          <w:sz w:val="21"/>
          <w:szCs w:val="21"/>
          <w:lang w:val="en-US" w:eastAsia="zh-CN"/>
        </w:rPr>
        <w:t>，省</w:t>
      </w:r>
      <w:r>
        <w:rPr>
          <w:rFonts w:hint="eastAsia" w:ascii="宋体" w:hAnsi="宋体" w:eastAsia="宋体" w:cs="宋体"/>
          <w:sz w:val="21"/>
          <w:szCs w:val="21"/>
        </w:rPr>
        <w:t>赛获得3金8银9铜；全省中职第五届“梦想杯”语文征文比赛，杭州市共获得一等奖11个，二等奖12个，三等奖17个，成绩名列全省第一名。学生学业和技能水平的全面提升，为高质量就业或继续深造奠定了扎实的基础。</w:t>
      </w:r>
    </w:p>
    <w:p>
      <w:pPr>
        <w:wordWrap/>
        <w:spacing w:before="157" w:beforeLines="50" w:afterLines="0" w:line="360" w:lineRule="auto"/>
        <w:ind w:right="0" w:firstLine="421" w:firstLineChars="200"/>
        <w:textAlignment w:val="auto"/>
        <w:rPr>
          <w:rFonts w:hint="eastAsia" w:ascii="楷体_GB2312" w:hAnsi="楷体_GB2312" w:eastAsia="楷体_GB2312" w:cs="楷体_GB2312"/>
          <w:b/>
          <w:bCs/>
          <w:color w:val="auto"/>
          <w:kern w:val="44"/>
          <w:sz w:val="21"/>
          <w:szCs w:val="21"/>
          <w:lang w:val="zh-CN" w:eastAsia="zh-CN"/>
        </w:rPr>
      </w:pPr>
      <w:r>
        <w:rPr>
          <w:rFonts w:hint="eastAsia" w:ascii="楷体_GB2312" w:hAnsi="楷体_GB2312" w:eastAsia="楷体_GB2312" w:cs="楷体_GB2312"/>
          <w:b/>
          <w:bCs/>
          <w:color w:val="auto"/>
          <w:kern w:val="44"/>
          <w:sz w:val="21"/>
          <w:szCs w:val="21"/>
          <w:lang w:val="zh-CN" w:eastAsia="zh-CN"/>
        </w:rPr>
        <w:t>【案例2-</w:t>
      </w:r>
      <w:r>
        <w:rPr>
          <w:rFonts w:hint="eastAsia" w:ascii="楷体_GB2312" w:hAnsi="楷体_GB2312" w:eastAsia="楷体_GB2312" w:cs="楷体_GB2312"/>
          <w:b/>
          <w:bCs/>
          <w:color w:val="auto"/>
          <w:kern w:val="44"/>
          <w:sz w:val="21"/>
          <w:szCs w:val="21"/>
          <w:lang w:val="en-US" w:eastAsia="zh-CN"/>
        </w:rPr>
        <w:t>2</w:t>
      </w:r>
      <w:r>
        <w:rPr>
          <w:rFonts w:hint="eastAsia" w:ascii="楷体_GB2312" w:hAnsi="楷体_GB2312" w:eastAsia="楷体_GB2312" w:cs="楷体_GB2312"/>
          <w:b/>
          <w:bCs/>
          <w:color w:val="auto"/>
          <w:kern w:val="44"/>
          <w:sz w:val="21"/>
          <w:szCs w:val="21"/>
          <w:lang w:val="zh-CN" w:eastAsia="zh-CN"/>
        </w:rPr>
        <w:t>】杭州市中等职业学校2020年师生职业能力大赛成功举办</w:t>
      </w:r>
    </w:p>
    <w:p>
      <w:pPr>
        <w:widowControl/>
        <w:shd w:val="clear" w:color="auto" w:fill="FFFFFF"/>
        <w:wordWrap/>
        <w:spacing w:beforeLines="0" w:afterLines="0" w:line="360" w:lineRule="auto"/>
        <w:ind w:left="0" w:leftChars="0" w:right="0" w:firstLine="420" w:firstLineChars="200"/>
        <w:jc w:val="left"/>
        <w:textAlignment w:val="baseline"/>
        <w:outlineLvl w:val="0"/>
        <w:rPr>
          <w:rFonts w:hint="eastAsia" w:ascii="宋体" w:hAnsi="宋体" w:eastAsia="宋体" w:cs="宋体"/>
          <w:b/>
          <w:bCs/>
          <w:color w:val="auto"/>
          <w:sz w:val="21"/>
          <w:szCs w:val="21"/>
          <w:lang w:val="en-US" w:eastAsia="zh-CN"/>
        </w:rPr>
      </w:pPr>
      <w:r>
        <w:rPr>
          <w:rFonts w:hint="eastAsia" w:ascii="仿宋_GB2312" w:hAnsi="仿宋_GB2312" w:eastAsia="仿宋_GB2312" w:cs="仿宋_GB2312"/>
          <w:sz w:val="21"/>
          <w:szCs w:val="21"/>
          <w:lang w:val="zh-CN" w:eastAsia="zh-CN"/>
        </w:rPr>
        <w:t>由杭州市教育局、杭州市人力资源和社会保障局联合主办，杭州市教育科学研究院和18个职业学校联合承办的2020年杭州市中等职业学校师生职业能力大赛在10-11月举行。本届大赛设现代制造技术、电工电子技术、汽车运用与维修、酒店服务、商贸、财经、烹饪、服装设计制作、计算机应用技术、工美、建筑工程技术、化工环保、现代物流、农业、护理、学前教育、文秘、计算机基础、英语、创新创业等20个专业类别77个比赛项目（职业工种），赛项数和参赛人数再创历史新高，也为2021年全省和全国技能大赛做好选拔推荐工作。</w:t>
      </w:r>
    </w:p>
    <w:p>
      <w:pPr>
        <w:widowControl/>
        <w:shd w:val="clear" w:color="auto" w:fill="FFFFFF"/>
        <w:wordWrap/>
        <w:spacing w:before="157" w:beforeLines="50" w:afterLines="0" w:line="360" w:lineRule="auto"/>
        <w:ind w:left="0" w:leftChars="0" w:right="0" w:firstLine="421" w:firstLineChars="200"/>
        <w:jc w:val="left"/>
        <w:textAlignment w:val="baseline"/>
        <w:outlineLvl w:val="0"/>
        <w:rPr>
          <w:rFonts w:hint="eastAsia" w:ascii="宋体" w:hAnsi="宋体" w:eastAsia="宋体" w:cs="宋体"/>
          <w:sz w:val="21"/>
          <w:szCs w:val="21"/>
        </w:rPr>
      </w:pPr>
      <w:r>
        <w:rPr>
          <w:rFonts w:hint="eastAsia" w:ascii="宋体" w:hAnsi="宋体" w:eastAsia="宋体" w:cs="宋体"/>
          <w:b/>
          <w:bCs/>
          <w:color w:val="auto"/>
          <w:sz w:val="21"/>
          <w:szCs w:val="21"/>
          <w:lang w:val="en-US" w:eastAsia="zh-CN"/>
        </w:rPr>
        <w:t>创新创业，成就梦想</w:t>
      </w:r>
      <w:r>
        <w:rPr>
          <w:rFonts w:hint="eastAsia" w:ascii="宋体" w:hAnsi="宋体" w:eastAsia="宋体" w:cs="宋体"/>
          <w:b/>
          <w:bCs/>
          <w:sz w:val="21"/>
          <w:szCs w:val="21"/>
        </w:rPr>
        <w:t>。</w:t>
      </w:r>
      <w:r>
        <w:rPr>
          <w:rFonts w:hint="eastAsia" w:ascii="宋体" w:hAnsi="宋体" w:eastAsia="宋体" w:cs="宋体"/>
          <w:sz w:val="21"/>
          <w:szCs w:val="21"/>
        </w:rPr>
        <w:t>2020年全省中职学校创新创业教育实验室建设项目名单中，杭州市</w:t>
      </w:r>
      <w:r>
        <w:rPr>
          <w:rFonts w:hint="eastAsia" w:ascii="宋体" w:hAnsi="宋体" w:cs="宋体"/>
          <w:sz w:val="21"/>
          <w:szCs w:val="21"/>
          <w:lang w:val="en-US" w:eastAsia="zh-CN"/>
        </w:rPr>
        <w:t>4所中职学校</w:t>
      </w:r>
      <w:r>
        <w:rPr>
          <w:rFonts w:hint="eastAsia" w:ascii="宋体" w:hAnsi="宋体" w:eastAsia="宋体" w:cs="宋体"/>
          <w:sz w:val="21"/>
          <w:szCs w:val="21"/>
        </w:rPr>
        <w:t>名列其中</w:t>
      </w:r>
      <w:r>
        <w:rPr>
          <w:rFonts w:hint="eastAsia" w:ascii="宋体" w:hAnsi="宋体" w:cs="宋体"/>
          <w:sz w:val="21"/>
          <w:szCs w:val="21"/>
          <w:lang w:eastAsia="zh-CN"/>
        </w:rPr>
        <w:t>（表</w:t>
      </w:r>
      <w:r>
        <w:rPr>
          <w:rFonts w:hint="eastAsia" w:ascii="宋体" w:hAnsi="宋体" w:cs="宋体"/>
          <w:sz w:val="21"/>
          <w:szCs w:val="21"/>
          <w:lang w:val="en-US" w:eastAsia="zh-CN"/>
        </w:rPr>
        <w:t>10</w:t>
      </w:r>
      <w:r>
        <w:rPr>
          <w:rFonts w:hint="eastAsia" w:ascii="宋体" w:hAnsi="宋体" w:cs="宋体"/>
          <w:sz w:val="21"/>
          <w:szCs w:val="21"/>
          <w:lang w:eastAsia="zh-CN"/>
        </w:rPr>
        <w:t>）</w:t>
      </w:r>
      <w:r>
        <w:rPr>
          <w:rFonts w:hint="eastAsia" w:ascii="宋体" w:hAnsi="宋体" w:eastAsia="宋体" w:cs="宋体"/>
          <w:sz w:val="21"/>
          <w:szCs w:val="21"/>
        </w:rPr>
        <w:t>，至此全市中等职业学校共有省级创新实验室1</w:t>
      </w:r>
      <w:r>
        <w:rPr>
          <w:rFonts w:hint="eastAsia" w:ascii="宋体" w:hAnsi="宋体" w:cs="宋体"/>
          <w:sz w:val="21"/>
          <w:szCs w:val="21"/>
          <w:lang w:val="en-US" w:eastAsia="zh-CN"/>
        </w:rPr>
        <w:t>4</w:t>
      </w:r>
      <w:r>
        <w:rPr>
          <w:rFonts w:hint="eastAsia" w:ascii="宋体" w:hAnsi="宋体" w:eastAsia="宋体" w:cs="宋体"/>
          <w:sz w:val="21"/>
          <w:szCs w:val="21"/>
        </w:rPr>
        <w:t>个，学生体验中心18个，课题成果12项，</w:t>
      </w:r>
      <w:r>
        <w:rPr>
          <w:rFonts w:hint="eastAsia" w:ascii="宋体" w:hAnsi="宋体" w:cs="宋体"/>
          <w:sz w:val="21"/>
          <w:szCs w:val="21"/>
          <w:lang w:eastAsia="zh-CN"/>
        </w:rPr>
        <w:t>获</w:t>
      </w:r>
      <w:r>
        <w:rPr>
          <w:rFonts w:hint="eastAsia" w:ascii="宋体" w:hAnsi="宋体" w:eastAsia="宋体" w:cs="宋体"/>
          <w:sz w:val="21"/>
          <w:szCs w:val="21"/>
        </w:rPr>
        <w:t>各类专利 254 项，累计参与各级各类创新创业实践活动超过 9600 余人次。在 2020年全省中等职业学校职业能力大赛（学生职业素养类）创新创业大赛中，杭州市荣获8金5银16铜。在全国中华职教社双创大赛中，由中策职校和西湖职高组成的参赛队获得1金1铜的好成绩。</w:t>
      </w:r>
    </w:p>
    <w:p>
      <w:pPr>
        <w:widowControl/>
        <w:shd w:val="clear" w:color="auto" w:fill="FFFFFF"/>
        <w:wordWrap/>
        <w:spacing w:before="157" w:beforeLines="50" w:afterLines="0" w:line="360" w:lineRule="auto"/>
        <w:ind w:left="0" w:leftChars="0" w:right="0" w:firstLine="1264" w:firstLineChars="600"/>
        <w:jc w:val="left"/>
        <w:textAlignment w:val="baseline"/>
        <w:outlineLvl w:val="0"/>
        <w:rPr>
          <w:rFonts w:hint="eastAsia" w:ascii="宋体" w:hAnsi="宋体" w:eastAsia="宋体" w:cs="宋体"/>
          <w:sz w:val="21"/>
          <w:szCs w:val="21"/>
        </w:rPr>
      </w:pPr>
      <w:r>
        <w:rPr>
          <w:rFonts w:hint="eastAsia" w:asciiTheme="minorEastAsia" w:hAnsiTheme="minorEastAsia" w:eastAsiaTheme="minorEastAsia" w:cstheme="minorEastAsia"/>
          <w:b/>
          <w:bCs/>
          <w:color w:val="auto"/>
          <w:kern w:val="0"/>
          <w:sz w:val="21"/>
          <w:szCs w:val="21"/>
          <w:lang w:eastAsia="zh-CN"/>
        </w:rPr>
        <w:t>表</w:t>
      </w:r>
      <w:r>
        <w:rPr>
          <w:rFonts w:hint="eastAsia" w:asciiTheme="minorEastAsia" w:hAnsiTheme="minorEastAsia" w:eastAsiaTheme="minorEastAsia" w:cstheme="minorEastAsia"/>
          <w:b/>
          <w:bCs/>
          <w:color w:val="auto"/>
          <w:kern w:val="0"/>
          <w:sz w:val="21"/>
          <w:szCs w:val="21"/>
          <w:lang w:val="en-US" w:eastAsia="zh-CN"/>
        </w:rPr>
        <w:t xml:space="preserve">10 </w:t>
      </w:r>
      <w:r>
        <w:rPr>
          <w:rFonts w:hint="eastAsia" w:asciiTheme="minorEastAsia" w:hAnsiTheme="minorEastAsia" w:eastAsiaTheme="minorEastAsia" w:cstheme="minorEastAsia"/>
          <w:b/>
          <w:bCs/>
          <w:color w:val="auto"/>
          <w:kern w:val="0"/>
          <w:sz w:val="21"/>
          <w:szCs w:val="21"/>
        </w:rPr>
        <w:t>2020年浙江省中职创新创业教育实验室项目立项名单</w:t>
      </w:r>
    </w:p>
    <w:tbl>
      <w:tblPr>
        <w:tblStyle w:val="23"/>
        <w:tblW w:w="78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3"/>
        <w:gridCol w:w="3925"/>
        <w:gridCol w:w="32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jc w:val="center"/>
        </w:trPr>
        <w:tc>
          <w:tcPr>
            <w:tcW w:w="673" w:type="dxa"/>
            <w:tcBorders>
              <w:top w:val="single" w:color="auto" w:sz="4" w:space="0"/>
              <w:left w:val="single" w:color="auto" w:sz="4" w:space="0"/>
              <w:bottom w:val="single" w:color="auto" w:sz="4" w:space="0"/>
              <w:right w:val="single" w:color="auto" w:sz="4" w:space="0"/>
            </w:tcBorders>
            <w:vAlign w:val="center"/>
          </w:tcPr>
          <w:p>
            <w:pPr>
              <w:widowControl/>
              <w:wordWrap/>
              <w:spacing w:beforeLines="0" w:afterLines="0" w:line="360" w:lineRule="auto"/>
              <w:ind w:left="0" w:leftChars="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序号</w:t>
            </w:r>
          </w:p>
        </w:tc>
        <w:tc>
          <w:tcPr>
            <w:tcW w:w="3925" w:type="dxa"/>
            <w:tcBorders>
              <w:top w:val="single" w:color="auto" w:sz="4" w:space="0"/>
              <w:left w:val="nil"/>
              <w:bottom w:val="single" w:color="auto" w:sz="4" w:space="0"/>
              <w:right w:val="single" w:color="auto" w:sz="4" w:space="0"/>
            </w:tcBorders>
            <w:vAlign w:val="center"/>
          </w:tcPr>
          <w:p>
            <w:pPr>
              <w:widowControl/>
              <w:wordWrap/>
              <w:spacing w:beforeLines="0" w:afterLines="0" w:line="360" w:lineRule="auto"/>
              <w:ind w:left="0" w:leftChars="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学校名称</w:t>
            </w:r>
          </w:p>
        </w:tc>
        <w:tc>
          <w:tcPr>
            <w:tcW w:w="3232" w:type="dxa"/>
            <w:tcBorders>
              <w:top w:val="single" w:color="auto" w:sz="4" w:space="0"/>
              <w:left w:val="nil"/>
              <w:bottom w:val="single" w:color="auto" w:sz="4" w:space="0"/>
              <w:right w:val="single" w:color="auto" w:sz="4" w:space="0"/>
            </w:tcBorders>
            <w:vAlign w:val="center"/>
          </w:tcPr>
          <w:p>
            <w:pPr>
              <w:widowControl/>
              <w:wordWrap/>
              <w:spacing w:beforeLines="0" w:afterLines="0" w:line="360" w:lineRule="auto"/>
              <w:ind w:left="0" w:leftChars="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673" w:type="dxa"/>
            <w:tcBorders>
              <w:top w:val="nil"/>
              <w:left w:val="single" w:color="auto" w:sz="4" w:space="0"/>
              <w:bottom w:val="single" w:color="auto" w:sz="4" w:space="0"/>
              <w:right w:val="single" w:color="auto" w:sz="4" w:space="0"/>
            </w:tcBorders>
            <w:vAlign w:val="center"/>
          </w:tcPr>
          <w:p>
            <w:pPr>
              <w:widowControl/>
              <w:wordWrap/>
              <w:spacing w:beforeLines="0" w:afterLines="0" w:line="360" w:lineRule="auto"/>
              <w:ind w:left="0" w:leftChars="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3925" w:type="dxa"/>
            <w:tcBorders>
              <w:top w:val="nil"/>
              <w:left w:val="nil"/>
              <w:bottom w:val="single" w:color="auto" w:sz="4" w:space="0"/>
              <w:right w:val="single" w:color="auto" w:sz="4" w:space="0"/>
            </w:tcBorders>
            <w:vAlign w:val="center"/>
          </w:tcPr>
          <w:p>
            <w:pPr>
              <w:widowControl/>
              <w:wordWrap/>
              <w:spacing w:beforeLines="0" w:afterLines="0" w:line="360" w:lineRule="auto"/>
              <w:ind w:left="0" w:leftChars="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杭州市电子信息职业学校</w:t>
            </w:r>
          </w:p>
        </w:tc>
        <w:tc>
          <w:tcPr>
            <w:tcW w:w="3232" w:type="dxa"/>
            <w:tcBorders>
              <w:top w:val="nil"/>
              <w:left w:val="nil"/>
              <w:bottom w:val="single" w:color="auto" w:sz="4" w:space="0"/>
              <w:right w:val="single" w:color="auto" w:sz="4" w:space="0"/>
            </w:tcBorders>
            <w:vAlign w:val="center"/>
          </w:tcPr>
          <w:p>
            <w:pPr>
              <w:widowControl/>
              <w:wordWrap/>
              <w:spacing w:beforeLines="0" w:afterLines="0" w:line="360" w:lineRule="auto"/>
              <w:ind w:left="0" w:leftChars="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“创业地图”创新创业实验室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673" w:type="dxa"/>
            <w:tcBorders>
              <w:top w:val="nil"/>
              <w:left w:val="single" w:color="auto" w:sz="4" w:space="0"/>
              <w:bottom w:val="single" w:color="auto" w:sz="4" w:space="0"/>
              <w:right w:val="single" w:color="auto" w:sz="4" w:space="0"/>
            </w:tcBorders>
            <w:vAlign w:val="center"/>
          </w:tcPr>
          <w:p>
            <w:pPr>
              <w:widowControl/>
              <w:wordWrap/>
              <w:spacing w:beforeLines="0" w:afterLines="0" w:line="360" w:lineRule="auto"/>
              <w:ind w:left="0" w:leftChars="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3925" w:type="dxa"/>
            <w:tcBorders>
              <w:top w:val="nil"/>
              <w:left w:val="nil"/>
              <w:bottom w:val="single" w:color="auto" w:sz="4" w:space="0"/>
              <w:right w:val="single" w:color="auto" w:sz="4" w:space="0"/>
            </w:tcBorders>
            <w:vAlign w:val="center"/>
          </w:tcPr>
          <w:p>
            <w:pPr>
              <w:widowControl/>
              <w:wordWrap/>
              <w:spacing w:beforeLines="0" w:afterLines="0" w:line="360" w:lineRule="auto"/>
              <w:ind w:left="0" w:leftChars="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杭州市建设职业学校</w:t>
            </w:r>
          </w:p>
        </w:tc>
        <w:tc>
          <w:tcPr>
            <w:tcW w:w="3232" w:type="dxa"/>
            <w:tcBorders>
              <w:top w:val="nil"/>
              <w:left w:val="nil"/>
              <w:bottom w:val="single" w:color="auto" w:sz="4" w:space="0"/>
              <w:right w:val="single" w:color="auto" w:sz="4" w:space="0"/>
            </w:tcBorders>
            <w:vAlign w:val="center"/>
          </w:tcPr>
          <w:p>
            <w:pPr>
              <w:widowControl/>
              <w:wordWrap/>
              <w:spacing w:beforeLines="0" w:afterLines="0" w:line="360" w:lineRule="auto"/>
              <w:ind w:left="0" w:leftChars="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“融寸”双创中心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673" w:type="dxa"/>
            <w:tcBorders>
              <w:top w:val="nil"/>
              <w:left w:val="single" w:color="auto" w:sz="4" w:space="0"/>
              <w:bottom w:val="single" w:color="auto" w:sz="4" w:space="0"/>
              <w:right w:val="single" w:color="auto" w:sz="4" w:space="0"/>
            </w:tcBorders>
            <w:vAlign w:val="center"/>
          </w:tcPr>
          <w:p>
            <w:pPr>
              <w:widowControl/>
              <w:wordWrap/>
              <w:spacing w:beforeLines="0" w:afterLines="0" w:line="360" w:lineRule="auto"/>
              <w:ind w:left="0" w:leftChars="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3925" w:type="dxa"/>
            <w:tcBorders>
              <w:top w:val="nil"/>
              <w:left w:val="nil"/>
              <w:bottom w:val="single" w:color="auto" w:sz="4" w:space="0"/>
              <w:right w:val="single" w:color="auto" w:sz="4" w:space="0"/>
            </w:tcBorders>
            <w:vAlign w:val="center"/>
          </w:tcPr>
          <w:p>
            <w:pPr>
              <w:widowControl/>
              <w:wordWrap/>
              <w:spacing w:beforeLines="0" w:afterLines="0" w:line="360" w:lineRule="auto"/>
              <w:ind w:left="0" w:leftChars="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杭州市萧山区第二中等职业学校</w:t>
            </w:r>
          </w:p>
        </w:tc>
        <w:tc>
          <w:tcPr>
            <w:tcW w:w="3232" w:type="dxa"/>
            <w:tcBorders>
              <w:top w:val="nil"/>
              <w:left w:val="nil"/>
              <w:bottom w:val="single" w:color="auto" w:sz="4" w:space="0"/>
              <w:right w:val="single" w:color="auto" w:sz="4" w:space="0"/>
            </w:tcBorders>
            <w:vAlign w:val="center"/>
          </w:tcPr>
          <w:p>
            <w:pPr>
              <w:widowControl/>
              <w:wordWrap/>
              <w:spacing w:beforeLines="0" w:afterLines="0" w:line="360" w:lineRule="auto"/>
              <w:ind w:left="0" w:leftChars="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“砅创未来”创新创业实验室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673" w:type="dxa"/>
            <w:tcBorders>
              <w:top w:val="nil"/>
              <w:left w:val="single" w:color="auto" w:sz="4" w:space="0"/>
              <w:bottom w:val="single" w:color="auto" w:sz="4" w:space="0"/>
              <w:right w:val="single" w:color="auto" w:sz="4" w:space="0"/>
            </w:tcBorders>
            <w:vAlign w:val="center"/>
          </w:tcPr>
          <w:p>
            <w:pPr>
              <w:widowControl/>
              <w:wordWrap/>
              <w:spacing w:beforeLines="0" w:afterLines="0" w:line="360" w:lineRule="auto"/>
              <w:ind w:left="0" w:leftChars="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3925" w:type="dxa"/>
            <w:tcBorders>
              <w:top w:val="nil"/>
              <w:left w:val="nil"/>
              <w:bottom w:val="single" w:color="auto" w:sz="4" w:space="0"/>
              <w:right w:val="single" w:color="auto" w:sz="4" w:space="0"/>
            </w:tcBorders>
            <w:vAlign w:val="center"/>
          </w:tcPr>
          <w:p>
            <w:pPr>
              <w:widowControl/>
              <w:wordWrap/>
              <w:spacing w:beforeLines="0" w:afterLines="0" w:line="360" w:lineRule="auto"/>
              <w:ind w:left="0" w:leftChars="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杭州市余杭区商贸职业高级中学</w:t>
            </w:r>
          </w:p>
        </w:tc>
        <w:tc>
          <w:tcPr>
            <w:tcW w:w="3232" w:type="dxa"/>
            <w:tcBorders>
              <w:top w:val="nil"/>
              <w:left w:val="nil"/>
              <w:bottom w:val="single" w:color="auto" w:sz="4" w:space="0"/>
              <w:right w:val="single" w:color="auto" w:sz="4" w:space="0"/>
            </w:tcBorders>
            <w:vAlign w:val="center"/>
          </w:tcPr>
          <w:p>
            <w:pPr>
              <w:widowControl/>
              <w:wordWrap/>
              <w:spacing w:beforeLines="0" w:afterLines="0" w:line="360" w:lineRule="auto"/>
              <w:ind w:left="0" w:leftChars="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“小荷包” 创新创业中心</w:t>
            </w:r>
          </w:p>
        </w:tc>
      </w:tr>
    </w:tbl>
    <w:p>
      <w:pPr>
        <w:wordWrap/>
        <w:spacing w:before="157" w:beforeLines="50" w:afterLines="0" w:line="360" w:lineRule="auto"/>
        <w:ind w:left="0" w:leftChars="0" w:right="0" w:firstLine="421" w:firstLineChars="200"/>
        <w:jc w:val="left"/>
        <w:rPr>
          <w:rFonts w:hint="eastAsia" w:ascii="宋体" w:hAnsi="宋体" w:eastAsia="宋体" w:cs="宋体"/>
          <w:sz w:val="21"/>
          <w:szCs w:val="21"/>
        </w:rPr>
      </w:pPr>
      <w:r>
        <w:rPr>
          <w:rFonts w:hint="eastAsia" w:ascii="宋体" w:hAnsi="宋体" w:eastAsia="宋体" w:cs="宋体"/>
          <w:b/>
          <w:bCs/>
          <w:color w:val="auto"/>
          <w:sz w:val="21"/>
          <w:szCs w:val="21"/>
          <w:lang w:val="en-US" w:eastAsia="zh-CN"/>
        </w:rPr>
        <w:t>综合素养，持续提升。</w:t>
      </w:r>
      <w:r>
        <w:rPr>
          <w:rFonts w:hint="eastAsia" w:ascii="宋体" w:hAnsi="宋体" w:eastAsia="宋体" w:cs="宋体"/>
          <w:sz w:val="21"/>
          <w:szCs w:val="21"/>
        </w:rPr>
        <w:t>2020年中职学生文化课抽测合格率</w:t>
      </w:r>
      <w:r>
        <w:rPr>
          <w:rFonts w:hint="eastAsia" w:ascii="宋体" w:hAnsi="宋体" w:eastAsia="宋体" w:cs="宋体"/>
          <w:color w:val="auto"/>
          <w:sz w:val="21"/>
          <w:szCs w:val="21"/>
        </w:rPr>
        <w:t>95%</w:t>
      </w:r>
      <w:r>
        <w:rPr>
          <w:rFonts w:hint="eastAsia" w:ascii="宋体" w:hAnsi="宋体" w:eastAsia="宋体" w:cs="宋体"/>
          <w:sz w:val="21"/>
          <w:szCs w:val="21"/>
        </w:rPr>
        <w:t>，专业技能</w:t>
      </w:r>
      <w:r>
        <w:rPr>
          <w:rFonts w:hint="eastAsia" w:ascii="宋体" w:hAnsi="宋体" w:cs="宋体"/>
          <w:sz w:val="21"/>
          <w:szCs w:val="21"/>
          <w:lang w:eastAsia="zh-CN"/>
        </w:rPr>
        <w:t>抽测</w:t>
      </w:r>
      <w:r>
        <w:rPr>
          <w:rFonts w:hint="eastAsia" w:ascii="宋体" w:hAnsi="宋体" w:eastAsia="宋体" w:cs="宋体"/>
          <w:sz w:val="21"/>
          <w:szCs w:val="21"/>
        </w:rPr>
        <w:t>合格率</w:t>
      </w:r>
      <w:r>
        <w:rPr>
          <w:rFonts w:hint="eastAsia" w:ascii="宋体" w:hAnsi="宋体" w:eastAsia="宋体" w:cs="宋体"/>
          <w:color w:val="auto"/>
          <w:sz w:val="21"/>
          <w:szCs w:val="21"/>
        </w:rPr>
        <w:t>100%</w:t>
      </w:r>
      <w:r>
        <w:rPr>
          <w:rFonts w:hint="eastAsia" w:ascii="宋体" w:hAnsi="宋体" w:eastAsia="宋体" w:cs="宋体"/>
          <w:sz w:val="21"/>
          <w:szCs w:val="21"/>
        </w:rPr>
        <w:t>，体质健康抽测合格率为</w:t>
      </w:r>
      <w:r>
        <w:rPr>
          <w:rFonts w:hint="eastAsia" w:ascii="宋体" w:hAnsi="宋体" w:eastAsia="宋体" w:cs="宋体"/>
          <w:color w:val="auto"/>
          <w:sz w:val="21"/>
          <w:szCs w:val="21"/>
        </w:rPr>
        <w:t>9</w:t>
      </w:r>
      <w:r>
        <w:rPr>
          <w:rFonts w:hint="eastAsia" w:ascii="宋体" w:hAnsi="宋体" w:cs="宋体"/>
          <w:color w:val="auto"/>
          <w:sz w:val="21"/>
          <w:szCs w:val="21"/>
          <w:lang w:val="en-US" w:eastAsia="zh-CN"/>
        </w:rPr>
        <w:t>5</w:t>
      </w:r>
      <w:r>
        <w:rPr>
          <w:rFonts w:hint="eastAsia" w:ascii="宋体" w:hAnsi="宋体" w:eastAsia="宋体" w:cs="宋体"/>
          <w:color w:val="auto"/>
          <w:sz w:val="21"/>
          <w:szCs w:val="21"/>
        </w:rPr>
        <w:t>.</w:t>
      </w:r>
      <w:r>
        <w:rPr>
          <w:rFonts w:hint="eastAsia" w:ascii="宋体" w:hAnsi="宋体" w:cs="宋体"/>
          <w:color w:val="auto"/>
          <w:sz w:val="21"/>
          <w:szCs w:val="21"/>
          <w:lang w:val="en-US" w:eastAsia="zh-CN"/>
        </w:rPr>
        <w:t>80</w:t>
      </w:r>
      <w:r>
        <w:rPr>
          <w:rFonts w:hint="eastAsia" w:ascii="宋体" w:hAnsi="宋体" w:eastAsia="宋体" w:cs="宋体"/>
          <w:color w:val="auto"/>
          <w:sz w:val="21"/>
          <w:szCs w:val="21"/>
        </w:rPr>
        <w:t>%</w:t>
      </w:r>
      <w:r>
        <w:rPr>
          <w:rFonts w:hint="eastAsia" w:ascii="宋体" w:hAnsi="宋体" w:eastAsia="宋体" w:cs="宋体"/>
          <w:sz w:val="21"/>
          <w:szCs w:val="21"/>
        </w:rPr>
        <w:t>，毕业率为</w:t>
      </w:r>
      <w:r>
        <w:rPr>
          <w:rFonts w:hint="eastAsia" w:ascii="宋体" w:hAnsi="宋体" w:cs="宋体"/>
          <w:color w:val="auto"/>
          <w:sz w:val="21"/>
          <w:szCs w:val="21"/>
          <w:lang w:eastAsia="zh-CN"/>
        </w:rPr>
        <w:t>9</w:t>
      </w:r>
      <w:r>
        <w:rPr>
          <w:rFonts w:hint="eastAsia" w:ascii="宋体" w:hAnsi="宋体" w:cs="宋体"/>
          <w:color w:val="auto"/>
          <w:sz w:val="21"/>
          <w:szCs w:val="21"/>
          <w:lang w:val="en-US" w:eastAsia="zh-CN"/>
        </w:rPr>
        <w:t>5.88</w:t>
      </w:r>
      <w:r>
        <w:rPr>
          <w:rFonts w:hint="eastAsia" w:ascii="宋体" w:hAnsi="宋体" w:eastAsia="宋体" w:cs="宋体"/>
          <w:color w:val="auto"/>
          <w:sz w:val="21"/>
          <w:szCs w:val="21"/>
        </w:rPr>
        <w:t>%</w:t>
      </w:r>
      <w:r>
        <w:rPr>
          <w:rFonts w:hint="eastAsia" w:ascii="宋体" w:hAnsi="宋体" w:eastAsia="宋体" w:cs="宋体"/>
          <w:sz w:val="21"/>
          <w:szCs w:val="21"/>
        </w:rPr>
        <w:t>。学生的理论学习满意度、专业学习满意度、实习实训满意度以及社会认可度均显著提升。</w:t>
      </w:r>
    </w:p>
    <w:p>
      <w:pPr>
        <w:wordWrap/>
        <w:spacing w:beforeLines="0" w:afterLines="0" w:line="360" w:lineRule="auto"/>
        <w:ind w:left="0" w:leftChars="0" w:right="0" w:firstLine="420" w:firstLineChars="200"/>
        <w:jc w:val="left"/>
        <w:rPr>
          <w:rFonts w:hint="eastAsia" w:ascii="宋体" w:hAnsi="宋体" w:eastAsia="宋体" w:cs="宋体"/>
          <w:sz w:val="21"/>
          <w:szCs w:val="21"/>
        </w:rPr>
      </w:pPr>
      <w:r>
        <w:rPr>
          <w:rFonts w:hint="eastAsia" w:ascii="宋体" w:hAnsi="宋体" w:cs="宋体"/>
          <w:sz w:val="21"/>
          <w:szCs w:val="21"/>
          <w:lang w:eastAsia="zh-CN"/>
        </w:rPr>
        <w:t>我市积极参与全方位展示学生综合素养的评选活动，近</w:t>
      </w:r>
      <w:r>
        <w:rPr>
          <w:rFonts w:hint="eastAsia" w:ascii="宋体" w:hAnsi="宋体" w:cs="宋体"/>
          <w:sz w:val="21"/>
          <w:szCs w:val="21"/>
          <w:lang w:val="en-US" w:eastAsia="zh-CN"/>
        </w:rPr>
        <w:t>2800余学生参与文明风采评选，</w:t>
      </w:r>
      <w:r>
        <w:rPr>
          <w:rFonts w:hint="eastAsia" w:ascii="宋体" w:hAnsi="宋体" w:eastAsia="宋体" w:cs="宋体"/>
          <w:sz w:val="21"/>
          <w:szCs w:val="21"/>
        </w:rPr>
        <w:t>并推荐18个作品参加2020年全国文明风采交流活动。</w:t>
      </w:r>
      <w:r>
        <w:rPr>
          <w:rFonts w:hint="eastAsia" w:ascii="宋体" w:hAnsi="宋体" w:cs="宋体"/>
          <w:sz w:val="21"/>
          <w:szCs w:val="21"/>
          <w:lang w:eastAsia="zh-CN"/>
        </w:rPr>
        <w:t>引导</w:t>
      </w:r>
      <w:r>
        <w:rPr>
          <w:rFonts w:hint="eastAsia" w:ascii="宋体" w:hAnsi="宋体" w:eastAsia="宋体" w:cs="宋体"/>
          <w:sz w:val="21"/>
          <w:szCs w:val="21"/>
        </w:rPr>
        <w:t>中等职业学校学生</w:t>
      </w:r>
      <w:r>
        <w:rPr>
          <w:rFonts w:hint="eastAsia" w:ascii="宋体" w:hAnsi="宋体" w:cs="宋体"/>
          <w:sz w:val="21"/>
          <w:szCs w:val="21"/>
          <w:lang w:eastAsia="zh-CN"/>
        </w:rPr>
        <w:t>积极</w:t>
      </w:r>
      <w:r>
        <w:rPr>
          <w:rFonts w:hint="eastAsia" w:ascii="宋体" w:hAnsi="宋体" w:eastAsia="宋体" w:cs="宋体"/>
          <w:sz w:val="21"/>
          <w:szCs w:val="21"/>
        </w:rPr>
        <w:t>投身健康运动</w:t>
      </w:r>
      <w:r>
        <w:rPr>
          <w:rFonts w:hint="eastAsia" w:ascii="宋体" w:hAnsi="宋体" w:cs="宋体"/>
          <w:sz w:val="21"/>
          <w:szCs w:val="21"/>
          <w:lang w:eastAsia="zh-CN"/>
        </w:rPr>
        <w:t>，</w:t>
      </w:r>
      <w:r>
        <w:rPr>
          <w:rFonts w:hint="eastAsia" w:ascii="宋体" w:hAnsi="宋体" w:eastAsia="宋体" w:cs="宋体"/>
          <w:sz w:val="21"/>
          <w:szCs w:val="21"/>
        </w:rPr>
        <w:t>艺术欣赏</w:t>
      </w:r>
      <w:r>
        <w:rPr>
          <w:rFonts w:hint="eastAsia" w:ascii="宋体" w:hAnsi="宋体" w:cs="宋体"/>
          <w:sz w:val="21"/>
          <w:szCs w:val="21"/>
          <w:lang w:eastAsia="zh-CN"/>
        </w:rPr>
        <w:t>浸润养成</w:t>
      </w:r>
      <w:r>
        <w:rPr>
          <w:rFonts w:hint="eastAsia" w:ascii="宋体" w:hAnsi="宋体" w:eastAsia="宋体" w:cs="宋体"/>
          <w:sz w:val="21"/>
          <w:szCs w:val="21"/>
        </w:rPr>
        <w:t>。2020年，杭州市中等职业学校在浙江省中小学艺术节中共获得一等奖5项，杭州市中策职业学校获得优秀组织奖</w:t>
      </w:r>
      <w:r>
        <w:rPr>
          <w:rFonts w:hint="eastAsia" w:ascii="宋体" w:hAnsi="宋体" w:cs="宋体"/>
          <w:sz w:val="21"/>
          <w:szCs w:val="21"/>
          <w:lang w:eastAsia="zh-CN"/>
        </w:rPr>
        <w:t>。</w:t>
      </w:r>
      <w:r>
        <w:rPr>
          <w:rFonts w:hint="eastAsia" w:ascii="宋体" w:hAnsi="宋体" w:eastAsia="宋体" w:cs="宋体"/>
          <w:sz w:val="21"/>
          <w:szCs w:val="21"/>
        </w:rPr>
        <w:t>在杭州市中小学音、体、美竞赛活动中职学生也获得了优异的成绩。</w:t>
      </w:r>
    </w:p>
    <w:p>
      <w:pPr>
        <w:wordWrap/>
        <w:spacing w:before="157" w:beforeLines="50" w:afterLines="0" w:line="360" w:lineRule="auto"/>
        <w:ind w:right="0" w:firstLine="421" w:firstLineChars="200"/>
        <w:textAlignment w:val="auto"/>
        <w:rPr>
          <w:rFonts w:hint="eastAsia" w:ascii="楷体_GB2312" w:hAnsi="楷体_GB2312" w:eastAsia="楷体_GB2312" w:cs="楷体_GB2312"/>
          <w:b/>
          <w:bCs/>
          <w:color w:val="auto"/>
          <w:kern w:val="44"/>
          <w:sz w:val="21"/>
          <w:szCs w:val="21"/>
          <w:lang w:eastAsia="zh-CN"/>
        </w:rPr>
      </w:pPr>
      <w:r>
        <w:rPr>
          <w:rFonts w:hint="eastAsia" w:ascii="楷体_GB2312" w:hAnsi="楷体_GB2312" w:eastAsia="楷体_GB2312" w:cs="楷体_GB2312"/>
          <w:b/>
          <w:bCs/>
          <w:color w:val="auto"/>
          <w:kern w:val="44"/>
          <w:sz w:val="21"/>
          <w:szCs w:val="21"/>
          <w:lang w:val="zh-CN" w:eastAsia="zh-CN"/>
        </w:rPr>
        <w:t>【案例</w:t>
      </w:r>
      <w:r>
        <w:rPr>
          <w:rFonts w:hint="eastAsia" w:ascii="楷体_GB2312" w:hAnsi="楷体_GB2312" w:eastAsia="楷体_GB2312" w:cs="楷体_GB2312"/>
          <w:b/>
          <w:bCs/>
          <w:color w:val="auto"/>
          <w:kern w:val="44"/>
          <w:sz w:val="21"/>
          <w:szCs w:val="21"/>
          <w:lang w:eastAsia="zh-CN"/>
        </w:rPr>
        <w:t>2-</w:t>
      </w:r>
      <w:r>
        <w:rPr>
          <w:rFonts w:hint="eastAsia" w:ascii="楷体_GB2312" w:hAnsi="楷体_GB2312" w:eastAsia="楷体_GB2312" w:cs="楷体_GB2312"/>
          <w:b/>
          <w:bCs/>
          <w:color w:val="auto"/>
          <w:kern w:val="44"/>
          <w:sz w:val="21"/>
          <w:szCs w:val="21"/>
          <w:lang w:val="en-US" w:eastAsia="zh-CN"/>
        </w:rPr>
        <w:t>3</w:t>
      </w:r>
      <w:r>
        <w:rPr>
          <w:rFonts w:hint="eastAsia" w:ascii="楷体_GB2312" w:hAnsi="楷体_GB2312" w:eastAsia="楷体_GB2312" w:cs="楷体_GB2312"/>
          <w:b/>
          <w:bCs/>
          <w:color w:val="auto"/>
          <w:kern w:val="44"/>
          <w:sz w:val="21"/>
          <w:szCs w:val="21"/>
          <w:lang w:val="zh-CN" w:eastAsia="zh-CN"/>
        </w:rPr>
        <w:t>】杭州市开元商贸职业学校男女足球队获得佳绩</w:t>
      </w:r>
    </w:p>
    <w:p>
      <w:pPr>
        <w:widowControl/>
        <w:shd w:val="clear" w:color="auto" w:fill="FFFFFF"/>
        <w:wordWrap/>
        <w:spacing w:beforeLines="0" w:afterLines="0" w:line="360" w:lineRule="auto"/>
        <w:ind w:left="0" w:leftChars="0" w:right="0" w:firstLine="420" w:firstLineChars="200"/>
        <w:jc w:val="left"/>
        <w:textAlignment w:val="baseline"/>
        <w:outlineLvl w:val="0"/>
        <w:rPr>
          <w:rFonts w:hint="eastAsia" w:ascii="仿宋_GB2312" w:hAnsi="仿宋_GB2312" w:eastAsia="仿宋_GB2312" w:cs="仿宋_GB2312"/>
          <w:sz w:val="21"/>
          <w:szCs w:val="21"/>
          <w:lang w:val="zh-CN" w:eastAsia="zh-CN"/>
        </w:rPr>
      </w:pPr>
      <w:r>
        <w:rPr>
          <w:rFonts w:hint="eastAsia" w:ascii="仿宋_GB2312" w:hAnsi="仿宋_GB2312" w:eastAsia="仿宋_GB2312" w:cs="仿宋_GB2312"/>
          <w:sz w:val="21"/>
          <w:szCs w:val="21"/>
          <w:lang w:val="zh-CN" w:eastAsia="zh-CN"/>
        </w:rPr>
        <w:t>杭州市开元商贸职业学校男子、女子足球队依然保持体育特色强势，在</w:t>
      </w:r>
      <w:r>
        <w:rPr>
          <w:rFonts w:hint="eastAsia" w:ascii="仿宋_GB2312" w:hAnsi="仿宋_GB2312" w:eastAsia="仿宋_GB2312" w:cs="仿宋_GB2312"/>
          <w:sz w:val="21"/>
          <w:szCs w:val="21"/>
          <w:lang w:val="en-US" w:eastAsia="zh-CN"/>
        </w:rPr>
        <w:t>2020年</w:t>
      </w:r>
      <w:r>
        <w:rPr>
          <w:rFonts w:hint="eastAsia" w:ascii="仿宋_GB2312" w:hAnsi="仿宋_GB2312" w:eastAsia="仿宋_GB2312" w:cs="仿宋_GB2312"/>
          <w:sz w:val="21"/>
          <w:szCs w:val="21"/>
          <w:lang w:val="zh-CN" w:eastAsia="zh-CN"/>
        </w:rPr>
        <w:t>杭州市“市长杯”青少年校园足球联赛中取得优异成绩，男子足球队经过10场激烈拼搏，以9连胜1负的成绩荣获亚军，女子足球队荣获第五名。在浙江省第十二届中小学生校园足球联赛杭州市级赛高中男子组的比赛中（杭州大市），获得杭州市冠军，这是学校男足历史上第一个冠军。</w:t>
      </w:r>
      <w:bookmarkStart w:id="58" w:name="_Toc25285"/>
      <w:bookmarkStart w:id="59" w:name="_Toc29046993"/>
      <w:bookmarkStart w:id="60" w:name="_Toc28351856"/>
      <w:bookmarkStart w:id="61" w:name="_Toc505954234"/>
    </w:p>
    <w:p>
      <w:pPr>
        <w:keepNext/>
        <w:keepLines/>
        <w:wordWrap/>
        <w:adjustRightInd/>
        <w:snapToGrid/>
        <w:spacing w:before="157" w:beforeLines="50" w:after="0" w:afterLines="0" w:line="360" w:lineRule="auto"/>
        <w:ind w:left="0" w:leftChars="0" w:right="0" w:firstLine="450" w:firstLineChars="150"/>
        <w:textAlignment w:val="auto"/>
        <w:outlineLvl w:val="1"/>
        <w:rPr>
          <w:rFonts w:hint="eastAsia" w:ascii="黑体" w:hAnsi="黑体" w:eastAsia="黑体" w:cs="黑体"/>
          <w:b w:val="0"/>
          <w:bCs w:val="0"/>
          <w:color w:val="auto"/>
          <w:kern w:val="44"/>
          <w:sz w:val="30"/>
          <w:szCs w:val="30"/>
        </w:rPr>
      </w:pPr>
      <w:bookmarkStart w:id="62" w:name="_Toc15357501_WPSOffice_Level2"/>
      <w:bookmarkStart w:id="63" w:name="_Toc2028943518_WPSOffice_Level2"/>
      <w:r>
        <w:rPr>
          <w:rFonts w:hint="eastAsia" w:ascii="黑体" w:hAnsi="黑体" w:eastAsia="黑体" w:cs="黑体"/>
          <w:b w:val="0"/>
          <w:bCs w:val="0"/>
          <w:color w:val="auto"/>
          <w:kern w:val="44"/>
          <w:sz w:val="30"/>
          <w:szCs w:val="30"/>
        </w:rPr>
        <w:t xml:space="preserve">2.2 </w:t>
      </w:r>
      <w:r>
        <w:rPr>
          <w:rFonts w:hint="eastAsia" w:ascii="黑体" w:hAnsi="黑体" w:eastAsia="黑体" w:cs="黑体"/>
          <w:b w:val="0"/>
          <w:bCs w:val="0"/>
          <w:color w:val="auto"/>
          <w:kern w:val="44"/>
          <w:sz w:val="30"/>
          <w:szCs w:val="30"/>
          <w:lang w:eastAsia="zh-CN"/>
        </w:rPr>
        <w:t>出口</w:t>
      </w:r>
      <w:bookmarkEnd w:id="62"/>
      <w:r>
        <w:rPr>
          <w:rFonts w:hint="eastAsia" w:ascii="黑体" w:hAnsi="黑体" w:eastAsia="黑体" w:cs="黑体"/>
          <w:b w:val="0"/>
          <w:bCs w:val="0"/>
          <w:color w:val="auto"/>
          <w:kern w:val="44"/>
          <w:sz w:val="30"/>
          <w:szCs w:val="30"/>
        </w:rPr>
        <w:t>质量</w:t>
      </w:r>
      <w:bookmarkEnd w:id="58"/>
      <w:bookmarkEnd w:id="59"/>
      <w:bookmarkEnd w:id="60"/>
      <w:bookmarkEnd w:id="61"/>
      <w:bookmarkEnd w:id="63"/>
    </w:p>
    <w:p>
      <w:pPr>
        <w:wordWrap/>
        <w:spacing w:beforeLines="0" w:afterLines="0" w:line="360" w:lineRule="auto"/>
        <w:ind w:right="0" w:firstLine="421" w:firstLineChars="200"/>
        <w:rPr>
          <w:rFonts w:hint="eastAsia" w:asciiTheme="minorEastAsia" w:hAnsiTheme="minorEastAsia" w:eastAsiaTheme="minorEastAsia" w:cstheme="minorEastAsia"/>
          <w:color w:val="auto"/>
          <w:sz w:val="21"/>
          <w:szCs w:val="21"/>
          <w:lang w:val="en-US" w:eastAsia="zh-CN"/>
        </w:rPr>
      </w:pPr>
      <w:r>
        <w:rPr>
          <w:rFonts w:hint="eastAsia" w:ascii="黑体" w:hAnsi="黑体" w:cs="仿宋_GB2312"/>
          <w:b/>
          <w:bCs/>
          <w:sz w:val="21"/>
          <w:szCs w:val="21"/>
        </w:rPr>
        <w:t>就业与升学齐步走，继续保持两旺势头</w:t>
      </w:r>
      <w:r>
        <w:rPr>
          <w:rFonts w:hint="eastAsia" w:ascii="宋体" w:hAnsi="宋体" w:eastAsia="宋体" w:cs="宋体"/>
          <w:b/>
          <w:bCs/>
          <w:color w:val="auto"/>
          <w:sz w:val="21"/>
          <w:szCs w:val="21"/>
          <w:lang w:eastAsia="zh-CN"/>
        </w:rPr>
        <w:t>。</w:t>
      </w:r>
      <w:r>
        <w:rPr>
          <w:rFonts w:hint="eastAsia" w:asciiTheme="minorEastAsia" w:hAnsiTheme="minorEastAsia" w:eastAsiaTheme="minorEastAsia" w:cstheme="minorEastAsia"/>
          <w:color w:val="auto"/>
          <w:sz w:val="21"/>
          <w:szCs w:val="21"/>
        </w:rPr>
        <w:t>杭州市中职毕业生就业状况良好，初次就业率连续多年保持在99%以上。2020年</w:t>
      </w:r>
      <w:r>
        <w:rPr>
          <w:rFonts w:hint="eastAsia" w:asciiTheme="minorEastAsia" w:hAnsiTheme="minorEastAsia" w:eastAsiaTheme="minorEastAsia" w:cstheme="minorEastAsia"/>
          <w:color w:val="auto"/>
          <w:sz w:val="21"/>
          <w:szCs w:val="21"/>
          <w:lang w:eastAsia="zh-CN"/>
        </w:rPr>
        <w:t>毕业生</w:t>
      </w:r>
      <w:r>
        <w:rPr>
          <w:rFonts w:hint="eastAsia" w:asciiTheme="minorEastAsia" w:hAnsiTheme="minorEastAsia" w:eastAsiaTheme="minorEastAsia" w:cstheme="minorEastAsia"/>
          <w:color w:val="auto"/>
          <w:sz w:val="21"/>
          <w:szCs w:val="21"/>
        </w:rPr>
        <w:t>初次就业率为99.</w:t>
      </w:r>
      <w:r>
        <w:rPr>
          <w:rFonts w:hint="eastAsia" w:asciiTheme="minorEastAsia" w:hAnsiTheme="minorEastAsia" w:eastAsiaTheme="minorEastAsia" w:cstheme="minorEastAsia"/>
          <w:color w:val="auto"/>
          <w:sz w:val="21"/>
          <w:szCs w:val="21"/>
          <w:lang w:val="en-US" w:eastAsia="zh-CN"/>
        </w:rPr>
        <w:t>03</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kern w:val="0"/>
          <w:sz w:val="21"/>
          <w:szCs w:val="21"/>
        </w:rPr>
        <w:t>初次就业月均收入</w:t>
      </w:r>
      <w:r>
        <w:rPr>
          <w:rFonts w:hint="eastAsia" w:asciiTheme="minorEastAsia" w:hAnsiTheme="minorEastAsia" w:eastAsiaTheme="minorEastAsia" w:cstheme="minorEastAsia"/>
          <w:color w:val="auto"/>
          <w:kern w:val="0"/>
          <w:sz w:val="21"/>
          <w:szCs w:val="21"/>
          <w:lang w:val="en-US" w:eastAsia="zh-CN"/>
        </w:rPr>
        <w:t>2910</w:t>
      </w:r>
      <w:r>
        <w:rPr>
          <w:rFonts w:hint="eastAsia" w:asciiTheme="minorEastAsia" w:hAnsiTheme="minorEastAsia" w:eastAsiaTheme="minorEastAsia" w:cstheme="minorEastAsia"/>
          <w:color w:val="auto"/>
          <w:kern w:val="0"/>
          <w:sz w:val="21"/>
          <w:szCs w:val="21"/>
        </w:rPr>
        <w:t>元</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sz w:val="21"/>
          <w:szCs w:val="21"/>
        </w:rPr>
        <w:t>专业对口率达到</w:t>
      </w:r>
      <w:r>
        <w:rPr>
          <w:rFonts w:hint="eastAsia" w:asciiTheme="minorEastAsia" w:hAnsiTheme="minorEastAsia" w:eastAsiaTheme="minorEastAsia" w:cstheme="minorEastAsia"/>
          <w:color w:val="auto"/>
          <w:sz w:val="21"/>
          <w:szCs w:val="21"/>
          <w:lang w:val="en-US" w:eastAsia="zh-CN"/>
        </w:rPr>
        <w:t>88.91</w:t>
      </w:r>
      <w:r>
        <w:rPr>
          <w:rFonts w:hint="eastAsia" w:asciiTheme="minorEastAsia" w:hAnsiTheme="minorEastAsia" w:eastAsiaTheme="minorEastAsia" w:cstheme="minorEastAsia"/>
          <w:color w:val="auto"/>
          <w:sz w:val="21"/>
          <w:szCs w:val="21"/>
        </w:rPr>
        <w:t>%。毕业生就业满意度情况较好，比较满意、满意和非常满意的学生占毕业生数的96.</w:t>
      </w:r>
      <w:r>
        <w:rPr>
          <w:rFonts w:hint="eastAsia" w:asciiTheme="minorEastAsia" w:hAnsiTheme="minorEastAsia" w:eastAsiaTheme="minorEastAsia" w:cstheme="minorEastAsia"/>
          <w:color w:val="auto"/>
          <w:sz w:val="21"/>
          <w:szCs w:val="21"/>
          <w:lang w:val="en-US" w:eastAsia="zh-CN"/>
        </w:rPr>
        <w:t>92</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kern w:val="0"/>
          <w:sz w:val="21"/>
          <w:szCs w:val="21"/>
        </w:rPr>
        <w:t>这一比例</w:t>
      </w:r>
      <w:r>
        <w:rPr>
          <w:rFonts w:hint="eastAsia" w:asciiTheme="minorEastAsia" w:hAnsiTheme="minorEastAsia" w:eastAsiaTheme="minorEastAsia" w:cstheme="minorEastAsia"/>
          <w:color w:val="auto"/>
          <w:kern w:val="0"/>
          <w:sz w:val="21"/>
          <w:szCs w:val="21"/>
          <w:lang w:eastAsia="zh-CN"/>
        </w:rPr>
        <w:t>较</w:t>
      </w:r>
      <w:r>
        <w:rPr>
          <w:rFonts w:hint="eastAsia" w:asciiTheme="minorEastAsia" w:hAnsiTheme="minorEastAsia" w:eastAsiaTheme="minorEastAsia" w:cstheme="minorEastAsia"/>
          <w:color w:val="auto"/>
          <w:kern w:val="0"/>
          <w:sz w:val="21"/>
          <w:szCs w:val="21"/>
        </w:rPr>
        <w:t>201</w:t>
      </w:r>
      <w:r>
        <w:rPr>
          <w:rFonts w:hint="eastAsia" w:asciiTheme="minorEastAsia" w:hAnsiTheme="minorEastAsia" w:eastAsiaTheme="minorEastAsia" w:cstheme="minorEastAsia"/>
          <w:color w:val="auto"/>
          <w:kern w:val="0"/>
          <w:sz w:val="21"/>
          <w:szCs w:val="21"/>
          <w:lang w:val="en-US" w:eastAsia="zh-CN"/>
        </w:rPr>
        <w:t>9</w:t>
      </w:r>
      <w:r>
        <w:rPr>
          <w:rFonts w:hint="eastAsia" w:asciiTheme="minorEastAsia" w:hAnsiTheme="minorEastAsia" w:eastAsiaTheme="minorEastAsia" w:cstheme="minorEastAsia"/>
          <w:color w:val="auto"/>
          <w:kern w:val="0"/>
          <w:sz w:val="21"/>
          <w:szCs w:val="21"/>
        </w:rPr>
        <w:t>年</w:t>
      </w:r>
      <w:r>
        <w:rPr>
          <w:rFonts w:hint="eastAsia" w:asciiTheme="minorEastAsia" w:hAnsiTheme="minorEastAsia" w:eastAsiaTheme="minorEastAsia" w:cstheme="minorEastAsia"/>
          <w:color w:val="auto"/>
          <w:kern w:val="0"/>
          <w:sz w:val="21"/>
          <w:szCs w:val="21"/>
          <w:lang w:eastAsia="zh-CN"/>
        </w:rPr>
        <w:t>略有提高</w:t>
      </w:r>
      <w:r>
        <w:rPr>
          <w:rFonts w:hint="eastAsia" w:asciiTheme="minorEastAsia" w:hAnsiTheme="minorEastAsia" w:eastAsiaTheme="minorEastAsia" w:cstheme="minorEastAsia"/>
          <w:color w:val="auto"/>
          <w:kern w:val="0"/>
          <w:sz w:val="21"/>
          <w:szCs w:val="21"/>
        </w:rPr>
        <w:t>，</w:t>
      </w:r>
      <w:r>
        <w:rPr>
          <w:rFonts w:hint="eastAsia" w:asciiTheme="minorEastAsia" w:hAnsiTheme="minorEastAsia" w:eastAsiaTheme="minorEastAsia" w:cstheme="minorEastAsia"/>
          <w:color w:val="auto"/>
          <w:sz w:val="21"/>
          <w:szCs w:val="21"/>
        </w:rPr>
        <w:t>学生技能水平较好满足和对接了企业的需求。</w:t>
      </w:r>
    </w:p>
    <w:p>
      <w:pPr>
        <w:wordWrap/>
        <w:adjustRightInd/>
        <w:snapToGrid/>
        <w:spacing w:beforeLines="0" w:afterLines="0" w:line="360" w:lineRule="auto"/>
        <w:ind w:right="0"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在保持良好就业形势的同时，我市中职学校毕业生选择继续升学的人数在逐年增长</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kern w:val="0"/>
          <w:sz w:val="21"/>
          <w:szCs w:val="21"/>
        </w:rPr>
        <w:t>20</w:t>
      </w:r>
      <w:r>
        <w:rPr>
          <w:rFonts w:hint="eastAsia" w:asciiTheme="minorEastAsia" w:hAnsiTheme="minorEastAsia" w:eastAsiaTheme="minorEastAsia" w:cstheme="minorEastAsia"/>
          <w:color w:val="auto"/>
          <w:kern w:val="0"/>
          <w:sz w:val="21"/>
          <w:szCs w:val="21"/>
          <w:lang w:val="en-US" w:eastAsia="zh-CN"/>
        </w:rPr>
        <w:t>20</w:t>
      </w:r>
      <w:r>
        <w:rPr>
          <w:rFonts w:hint="eastAsia" w:asciiTheme="minorEastAsia" w:hAnsiTheme="minorEastAsia" w:eastAsiaTheme="minorEastAsia" w:cstheme="minorEastAsia"/>
          <w:color w:val="auto"/>
          <w:kern w:val="0"/>
          <w:sz w:val="21"/>
          <w:szCs w:val="21"/>
        </w:rPr>
        <w:t>年我市</w:t>
      </w:r>
      <w:r>
        <w:rPr>
          <w:rFonts w:hint="eastAsia" w:asciiTheme="minorEastAsia" w:hAnsiTheme="minorEastAsia" w:eastAsiaTheme="minorEastAsia" w:cstheme="minorEastAsia"/>
          <w:color w:val="auto"/>
          <w:kern w:val="0"/>
          <w:sz w:val="21"/>
          <w:szCs w:val="21"/>
          <w:lang w:eastAsia="zh-CN"/>
        </w:rPr>
        <w:t>中职</w:t>
      </w:r>
      <w:r>
        <w:rPr>
          <w:rFonts w:hint="eastAsia" w:asciiTheme="minorEastAsia" w:hAnsiTheme="minorEastAsia" w:eastAsiaTheme="minorEastAsia" w:cstheme="minorEastAsia"/>
          <w:color w:val="auto"/>
          <w:kern w:val="0"/>
          <w:sz w:val="21"/>
          <w:szCs w:val="21"/>
        </w:rPr>
        <w:t>毕业生</w:t>
      </w:r>
      <w:r>
        <w:rPr>
          <w:rFonts w:hint="eastAsia" w:asciiTheme="minorEastAsia" w:hAnsiTheme="minorEastAsia" w:eastAsiaTheme="minorEastAsia" w:cstheme="minorEastAsia"/>
          <w:color w:val="auto"/>
          <w:kern w:val="0"/>
          <w:sz w:val="21"/>
          <w:szCs w:val="21"/>
          <w:lang w:eastAsia="zh-CN"/>
        </w:rPr>
        <w:t>（不含中专、技校）</w:t>
      </w:r>
      <w:r>
        <w:rPr>
          <w:rFonts w:hint="eastAsia" w:asciiTheme="minorEastAsia" w:hAnsiTheme="minorEastAsia" w:eastAsiaTheme="minorEastAsia" w:cstheme="minorEastAsia"/>
          <w:color w:val="auto"/>
          <w:kern w:val="0"/>
          <w:sz w:val="21"/>
          <w:szCs w:val="21"/>
        </w:rPr>
        <w:t>升入高一级学校的学生人数</w:t>
      </w:r>
      <w:r>
        <w:rPr>
          <w:rFonts w:hint="eastAsia" w:asciiTheme="minorEastAsia" w:hAnsiTheme="minorEastAsia" w:eastAsiaTheme="minorEastAsia" w:cstheme="minorEastAsia"/>
          <w:color w:val="auto"/>
          <w:kern w:val="0"/>
          <w:sz w:val="21"/>
          <w:szCs w:val="21"/>
          <w:lang w:val="en-US" w:eastAsia="zh-CN"/>
        </w:rPr>
        <w:t>13611</w:t>
      </w:r>
      <w:r>
        <w:rPr>
          <w:rFonts w:hint="eastAsia" w:asciiTheme="minorEastAsia" w:hAnsiTheme="minorEastAsia" w:eastAsiaTheme="minorEastAsia" w:cstheme="minorEastAsia"/>
          <w:color w:val="auto"/>
          <w:kern w:val="0"/>
          <w:sz w:val="21"/>
          <w:szCs w:val="21"/>
        </w:rPr>
        <w:t>人，占毕业学生数的7</w:t>
      </w:r>
      <w:r>
        <w:rPr>
          <w:rFonts w:hint="eastAsia" w:asciiTheme="minorEastAsia" w:hAnsiTheme="minorEastAsia" w:eastAsiaTheme="minorEastAsia" w:cstheme="minorEastAsia"/>
          <w:color w:val="auto"/>
          <w:kern w:val="0"/>
          <w:sz w:val="21"/>
          <w:szCs w:val="21"/>
          <w:lang w:val="en-US" w:eastAsia="zh-CN"/>
        </w:rPr>
        <w:t>4.80</w:t>
      </w:r>
      <w:r>
        <w:rPr>
          <w:rFonts w:hint="eastAsia" w:asciiTheme="minorEastAsia" w:hAnsiTheme="minorEastAsia" w:eastAsiaTheme="minorEastAsia" w:cstheme="minorEastAsia"/>
          <w:color w:val="auto"/>
          <w:kern w:val="0"/>
          <w:sz w:val="21"/>
          <w:szCs w:val="21"/>
        </w:rPr>
        <w:t>%，比201</w:t>
      </w:r>
      <w:r>
        <w:rPr>
          <w:rFonts w:hint="eastAsia" w:asciiTheme="minorEastAsia" w:hAnsiTheme="minorEastAsia" w:eastAsiaTheme="minorEastAsia" w:cstheme="minorEastAsia"/>
          <w:color w:val="auto"/>
          <w:kern w:val="0"/>
          <w:sz w:val="21"/>
          <w:szCs w:val="21"/>
          <w:lang w:val="en-US" w:eastAsia="zh-CN"/>
        </w:rPr>
        <w:t>9</w:t>
      </w:r>
      <w:r>
        <w:rPr>
          <w:rFonts w:hint="eastAsia" w:asciiTheme="minorEastAsia" w:hAnsiTheme="minorEastAsia" w:eastAsiaTheme="minorEastAsia" w:cstheme="minorEastAsia"/>
          <w:color w:val="auto"/>
          <w:kern w:val="0"/>
          <w:sz w:val="21"/>
          <w:szCs w:val="21"/>
        </w:rPr>
        <w:t>年高出了</w:t>
      </w:r>
      <w:r>
        <w:rPr>
          <w:rFonts w:hint="eastAsia" w:asciiTheme="minorEastAsia" w:hAnsiTheme="minorEastAsia" w:eastAsiaTheme="minorEastAsia" w:cstheme="minorEastAsia"/>
          <w:color w:val="auto"/>
          <w:kern w:val="0"/>
          <w:sz w:val="21"/>
          <w:szCs w:val="21"/>
          <w:lang w:val="en-US" w:eastAsia="zh-CN"/>
        </w:rPr>
        <w:t>1.47</w:t>
      </w:r>
      <w:r>
        <w:rPr>
          <w:rFonts w:hint="eastAsia" w:asciiTheme="minorEastAsia" w:hAnsiTheme="minorEastAsia" w:eastAsiaTheme="minorEastAsia" w:cstheme="minorEastAsia"/>
          <w:color w:val="auto"/>
          <w:kern w:val="0"/>
          <w:sz w:val="21"/>
          <w:szCs w:val="21"/>
        </w:rPr>
        <w:t>个百分点。</w:t>
      </w:r>
    </w:p>
    <w:p>
      <w:pPr>
        <w:widowControl/>
        <w:shd w:val="clear" w:color="auto" w:fill="auto"/>
        <w:wordWrap/>
        <w:spacing w:before="157" w:beforeLines="50" w:afterLines="0" w:line="360" w:lineRule="auto"/>
        <w:ind w:left="0" w:leftChars="0" w:right="0" w:firstLine="421" w:firstLineChars="200"/>
        <w:jc w:val="left"/>
        <w:textAlignment w:val="auto"/>
        <w:outlineLvl w:val="9"/>
        <w:rPr>
          <w:rFonts w:hint="eastAsia" w:ascii="楷体_GB2312" w:hAnsi="楷体_GB2312" w:eastAsia="楷体_GB2312" w:cs="楷体_GB2312"/>
          <w:sz w:val="21"/>
          <w:szCs w:val="21"/>
          <w:lang w:eastAsia="zh-CN"/>
        </w:rPr>
      </w:pPr>
      <w:r>
        <w:rPr>
          <w:rFonts w:hint="eastAsia" w:ascii="楷体_GB2312" w:hAnsi="楷体_GB2312" w:eastAsia="楷体_GB2312" w:cs="楷体_GB2312"/>
          <w:b/>
          <w:sz w:val="21"/>
          <w:szCs w:val="21"/>
        </w:rPr>
        <w:t>【案例2-</w:t>
      </w:r>
      <w:r>
        <w:rPr>
          <w:rFonts w:hint="eastAsia" w:ascii="楷体_GB2312" w:hAnsi="楷体_GB2312" w:eastAsia="楷体_GB2312" w:cs="楷体_GB2312"/>
          <w:b/>
          <w:sz w:val="21"/>
          <w:szCs w:val="21"/>
          <w:lang w:val="en-US" w:eastAsia="zh-CN"/>
        </w:rPr>
        <w:t>4</w:t>
      </w:r>
      <w:r>
        <w:rPr>
          <w:rFonts w:hint="eastAsia" w:ascii="楷体_GB2312" w:hAnsi="楷体_GB2312" w:eastAsia="楷体_GB2312" w:cs="楷体_GB2312"/>
          <w:b/>
          <w:sz w:val="21"/>
          <w:szCs w:val="21"/>
        </w:rPr>
        <w:t>】20</w:t>
      </w:r>
      <w:r>
        <w:rPr>
          <w:rFonts w:hint="eastAsia" w:ascii="楷体_GB2312" w:hAnsi="楷体_GB2312" w:eastAsia="楷体_GB2312" w:cs="楷体_GB2312"/>
          <w:b/>
          <w:sz w:val="21"/>
          <w:szCs w:val="21"/>
          <w:lang w:val="en-US" w:eastAsia="zh-CN"/>
        </w:rPr>
        <w:t>20</w:t>
      </w:r>
      <w:r>
        <w:rPr>
          <w:rFonts w:hint="eastAsia" w:ascii="楷体_GB2312" w:hAnsi="楷体_GB2312" w:eastAsia="楷体_GB2312" w:cs="楷体_GB2312"/>
          <w:b/>
          <w:sz w:val="21"/>
          <w:szCs w:val="21"/>
        </w:rPr>
        <w:t>年省</w:t>
      </w:r>
      <w:r>
        <w:rPr>
          <w:rFonts w:hint="eastAsia" w:ascii="楷体_GB2312" w:hAnsi="楷体_GB2312" w:eastAsia="楷体_GB2312" w:cs="楷体_GB2312"/>
          <w:b/>
          <w:sz w:val="21"/>
          <w:szCs w:val="21"/>
          <w:lang w:eastAsia="zh-CN"/>
        </w:rPr>
        <w:t>单独考试</w:t>
      </w:r>
      <w:r>
        <w:rPr>
          <w:rFonts w:hint="eastAsia" w:ascii="楷体_GB2312" w:hAnsi="楷体_GB2312" w:eastAsia="楷体_GB2312" w:cs="楷体_GB2312"/>
          <w:b/>
          <w:sz w:val="21"/>
          <w:szCs w:val="21"/>
        </w:rPr>
        <w:t>杭州中职学生成绩</w:t>
      </w:r>
      <w:r>
        <w:rPr>
          <w:rFonts w:hint="eastAsia" w:ascii="楷体_GB2312" w:hAnsi="楷体_GB2312" w:eastAsia="楷体_GB2312" w:cs="楷体_GB2312"/>
          <w:b/>
          <w:sz w:val="21"/>
          <w:szCs w:val="21"/>
          <w:lang w:eastAsia="zh-CN"/>
        </w:rPr>
        <w:t>优异</w:t>
      </w:r>
    </w:p>
    <w:p>
      <w:pPr>
        <w:widowControl/>
        <w:shd w:val="clear" w:color="auto" w:fill="FFFFFF"/>
        <w:wordWrap/>
        <w:spacing w:beforeLines="0" w:afterLines="0" w:line="360" w:lineRule="auto"/>
        <w:ind w:left="0" w:leftChars="0" w:right="0" w:firstLine="420" w:firstLineChars="200"/>
        <w:jc w:val="left"/>
        <w:textAlignment w:val="baseline"/>
        <w:outlineLvl w:val="0"/>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2020 年浙江省职业院校</w:t>
      </w:r>
      <w:r>
        <w:rPr>
          <w:rFonts w:hint="eastAsia" w:ascii="仿宋_GB2312" w:hAnsi="仿宋_GB2312" w:eastAsia="仿宋_GB2312" w:cs="仿宋_GB2312"/>
          <w:sz w:val="21"/>
          <w:szCs w:val="21"/>
          <w:lang w:eastAsia="zh-CN"/>
        </w:rPr>
        <w:t>单独</w:t>
      </w:r>
      <w:r>
        <w:rPr>
          <w:rFonts w:hint="eastAsia" w:ascii="仿宋_GB2312" w:hAnsi="仿宋_GB2312" w:eastAsia="仿宋_GB2312" w:cs="仿宋_GB2312"/>
          <w:sz w:val="21"/>
          <w:szCs w:val="21"/>
        </w:rPr>
        <w:t>招生考试</w:t>
      </w:r>
      <w:r>
        <w:rPr>
          <w:rFonts w:hint="eastAsia" w:ascii="仿宋_GB2312" w:hAnsi="仿宋_GB2312" w:eastAsia="仿宋_GB2312" w:cs="仿宋_GB2312"/>
          <w:sz w:val="21"/>
          <w:szCs w:val="21"/>
          <w:lang w:eastAsia="zh-CN"/>
        </w:rPr>
        <w:t>中</w:t>
      </w:r>
      <w:r>
        <w:rPr>
          <w:rFonts w:hint="eastAsia" w:ascii="仿宋_GB2312" w:hAnsi="仿宋_GB2312" w:eastAsia="仿宋_GB2312" w:cs="仿宋_GB2312"/>
          <w:sz w:val="21"/>
          <w:szCs w:val="21"/>
        </w:rPr>
        <w:t>，杭州市在19个专业大类中获得了4个专业第一名，分别是：电子电工专业（杭州富阳职高）、园林专业（杭州富阳职高）、计算机网络专业（杭州市临平职高）、艺术专业（杭州市电子信息职校），790名学生本科上线，本科上线人数名列全省</w:t>
      </w:r>
      <w:r>
        <w:rPr>
          <w:rFonts w:hint="eastAsia" w:ascii="仿宋_GB2312" w:hAnsi="仿宋_GB2312" w:eastAsia="仿宋_GB2312" w:cs="仿宋_GB2312"/>
          <w:sz w:val="21"/>
          <w:szCs w:val="21"/>
          <w:lang w:eastAsia="zh-CN"/>
        </w:rPr>
        <w:t>前列。</w:t>
      </w:r>
    </w:p>
    <w:p>
      <w:pPr>
        <w:widowControl/>
        <w:shd w:val="clear" w:color="auto" w:fill="auto"/>
        <w:wordWrap/>
        <w:spacing w:before="313" w:beforeLines="100" w:afterLines="-2147483648" w:line="240" w:lineRule="auto"/>
        <w:ind w:left="0" w:leftChars="0" w:right="0" w:firstLine="720" w:firstLineChars="200"/>
        <w:jc w:val="left"/>
        <w:textAlignment w:val="auto"/>
        <w:outlineLvl w:val="9"/>
        <w:rPr>
          <w:rFonts w:hint="eastAsia" w:ascii="仿宋_GB2312" w:hAnsi="仿宋_GB2312" w:eastAsia="仿宋_GB2312" w:cs="仿宋_GB2312"/>
          <w:sz w:val="21"/>
          <w:szCs w:val="21"/>
          <w:lang w:eastAsia="zh-CN"/>
        </w:rPr>
      </w:pPr>
      <w:r>
        <w:rPr>
          <w:rFonts w:hint="eastAsia" w:ascii="黑体" w:hAnsi="黑体" w:eastAsia="黑体" w:cs="黑体"/>
          <w:b w:val="0"/>
          <w:bCs w:val="0"/>
          <w:color w:val="auto"/>
          <w:sz w:val="36"/>
          <w:szCs w:val="36"/>
        </w:rPr>
        <w:t>3</w:t>
      </w:r>
      <w:r>
        <w:rPr>
          <w:rFonts w:hint="eastAsia" w:ascii="黑体" w:hAnsi="黑体" w:eastAsia="黑体" w:cs="黑体"/>
          <w:b w:val="0"/>
          <w:bCs w:val="0"/>
          <w:color w:val="auto"/>
          <w:sz w:val="36"/>
          <w:szCs w:val="36"/>
          <w:lang w:eastAsia="zh-CN"/>
        </w:rPr>
        <w:t>.</w:t>
      </w:r>
      <w:r>
        <w:rPr>
          <w:rFonts w:hint="eastAsia" w:ascii="黑体" w:hAnsi="黑体" w:eastAsia="黑体" w:cs="黑体"/>
          <w:b w:val="0"/>
          <w:bCs w:val="0"/>
          <w:color w:val="auto"/>
          <w:sz w:val="36"/>
          <w:szCs w:val="36"/>
        </w:rPr>
        <w:t>质量保障</w:t>
      </w:r>
      <w:r>
        <w:rPr>
          <w:rFonts w:hint="eastAsia" w:ascii="黑体" w:hAnsi="黑体" w:eastAsia="黑体" w:cs="黑体"/>
          <w:b w:val="0"/>
          <w:bCs w:val="0"/>
          <w:color w:val="auto"/>
          <w:sz w:val="36"/>
          <w:szCs w:val="36"/>
          <w:lang w:eastAsia="zh-CN"/>
        </w:rPr>
        <w:t>措施</w:t>
      </w:r>
    </w:p>
    <w:bookmarkEnd w:id="56"/>
    <w:bookmarkEnd w:id="57"/>
    <w:p>
      <w:pPr>
        <w:pStyle w:val="2"/>
        <w:adjustRightInd/>
        <w:snapToGrid/>
        <w:spacing w:before="157" w:beforeLines="50" w:after="0" w:afterLines="0" w:afterAutospacing="0" w:line="360" w:lineRule="auto"/>
        <w:ind w:firstLine="420" w:firstLineChars="150"/>
        <w:jc w:val="both"/>
        <w:rPr>
          <w:rFonts w:hint="eastAsia" w:ascii="黑体" w:hAnsi="黑体" w:eastAsia="黑体" w:cs="黑体"/>
          <w:b w:val="0"/>
          <w:bCs w:val="0"/>
          <w:color w:val="auto"/>
          <w:kern w:val="44"/>
          <w:sz w:val="28"/>
          <w:szCs w:val="28"/>
        </w:rPr>
      </w:pPr>
      <w:bookmarkStart w:id="64" w:name="_Toc479992918_WPSOffice_Level2"/>
      <w:bookmarkStart w:id="65" w:name="_Toc664300722_WPSOffice_Level2"/>
      <w:bookmarkStart w:id="66" w:name="_Toc34559988"/>
      <w:bookmarkStart w:id="67" w:name="_Toc32840365"/>
      <w:r>
        <w:rPr>
          <w:rFonts w:hint="eastAsia" w:ascii="黑体" w:hAnsi="黑体" w:eastAsia="黑体" w:cs="黑体"/>
          <w:b w:val="0"/>
          <w:bCs w:val="0"/>
          <w:color w:val="auto"/>
          <w:kern w:val="44"/>
          <w:sz w:val="28"/>
          <w:szCs w:val="28"/>
        </w:rPr>
        <w:t>3.1 专业布局</w:t>
      </w:r>
      <w:bookmarkEnd w:id="64"/>
      <w:bookmarkEnd w:id="65"/>
      <w:bookmarkEnd w:id="66"/>
      <w:bookmarkEnd w:id="67"/>
    </w:p>
    <w:p>
      <w:pPr>
        <w:pStyle w:val="2"/>
        <w:adjustRightInd/>
        <w:snapToGrid/>
        <w:spacing w:before="0" w:beforeLines="0" w:after="0" w:afterLines="0" w:afterAutospacing="0" w:line="360" w:lineRule="auto"/>
        <w:ind w:firstLine="420" w:firstLineChars="200"/>
        <w:jc w:val="both"/>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根据区域产业转型升级和职业教育发展需要，以打造“全国数字经济第一城”和实施“新制造业计划”为契机，我市不断加强职业教育资源布局，进一步优化专业结构，专业建设水平逐步提高，服务经济社会的能力不断增强。2020年，杭州市中等职业学校共设置85个专业，对应三大产业和全市16大行业（能源与新能源类、司法服务类除外），中等职业教育一、二、三产业的专业在校学生占比分别为3.13%、17.14%和79.73%，</w:t>
      </w:r>
      <w:r>
        <w:rPr>
          <w:rFonts w:hint="eastAsia" w:asciiTheme="minorEastAsia" w:hAnsiTheme="minorEastAsia" w:eastAsiaTheme="minorEastAsia" w:cstheme="minorEastAsia"/>
          <w:b w:val="0"/>
          <w:bCs w:val="0"/>
          <w:kern w:val="0"/>
          <w:sz w:val="21"/>
          <w:szCs w:val="21"/>
        </w:rPr>
        <w:t>基本符合杭州城市功能定位和产业发展需求。中职学校专业建设向产业匹配度、社会贡献率、品牌美誉度三个向度不断延伸。</w:t>
      </w:r>
    </w:p>
    <w:p>
      <w:pPr>
        <w:adjustRightInd/>
        <w:snapToGrid/>
        <w:spacing w:beforeLines="0" w:afterLines="0" w:line="360" w:lineRule="auto"/>
        <w:ind w:firstLine="421" w:firstLineChars="200"/>
        <w:jc w:val="both"/>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b/>
          <w:bCs/>
          <w:sz w:val="21"/>
          <w:szCs w:val="21"/>
        </w:rPr>
        <w:t>专业动态调整，服务地方经济</w:t>
      </w:r>
      <w:r>
        <w:rPr>
          <w:rFonts w:hint="eastAsia" w:asciiTheme="minorEastAsia" w:hAnsiTheme="minorEastAsia" w:eastAsiaTheme="minorEastAsia" w:cstheme="minorEastAsia"/>
          <w:b/>
          <w:bCs/>
          <w:color w:val="auto"/>
          <w:sz w:val="21"/>
          <w:szCs w:val="21"/>
        </w:rPr>
        <w:t>。</w:t>
      </w:r>
      <w:r>
        <w:rPr>
          <w:rFonts w:hint="eastAsia" w:asciiTheme="minorEastAsia" w:hAnsiTheme="minorEastAsia" w:eastAsiaTheme="minorEastAsia" w:cstheme="minorEastAsia"/>
          <w:kern w:val="0"/>
          <w:sz w:val="21"/>
          <w:szCs w:val="21"/>
        </w:rPr>
        <w:t>在服务传统制造业对技术技能人才需求的基础上，杭州市中职学校重点打造智能制造、信息、金融、新能源汽车、健康、旅游、文化创意等十大新兴产业的专业设置。本着“市场定位专业、岗位决定课程、内容服务学生”的专业建设理念，主动适应杭州市经济社会发展和企业用人需求，建立了对接产业、企业、岗位的专业建设机制和专业设置的动态调整机制。依据产业结构优化升级适时调整专业，校企共同实施教学，着力建设满足地方产业急需、符合产业结构调整和企业用人方向的主体专业。根据杭州市统计局公布的《20</w:t>
      </w:r>
      <w:r>
        <w:rPr>
          <w:rFonts w:hint="eastAsia" w:asciiTheme="minorEastAsia" w:hAnsiTheme="minorEastAsia" w:eastAsiaTheme="minorEastAsia" w:cstheme="minorEastAsia"/>
          <w:kern w:val="0"/>
          <w:sz w:val="21"/>
          <w:szCs w:val="21"/>
          <w:lang w:val="en-US" w:eastAsia="zh-CN"/>
        </w:rPr>
        <w:t>20</w:t>
      </w:r>
      <w:r>
        <w:rPr>
          <w:rFonts w:hint="eastAsia" w:asciiTheme="minorEastAsia" w:hAnsiTheme="minorEastAsia" w:eastAsiaTheme="minorEastAsia" w:cstheme="minorEastAsia"/>
          <w:kern w:val="0"/>
          <w:sz w:val="21"/>
          <w:szCs w:val="21"/>
        </w:rPr>
        <w:t>年杭州市统计年鉴》，从各专业的在校生数占比与各行业从业人员占比对比发现，我市中职学校所设专业覆盖了16大行业，占比走势变化基本一致</w:t>
      </w:r>
      <w:r>
        <w:rPr>
          <w:rFonts w:hint="eastAsia" w:asciiTheme="minorEastAsia" w:hAnsiTheme="minorEastAsia" w:eastAsiaTheme="minorEastAsia" w:cstheme="minorEastAsia"/>
          <w:kern w:val="0"/>
          <w:sz w:val="21"/>
          <w:szCs w:val="21"/>
          <w:lang w:eastAsia="zh-CN"/>
        </w:rPr>
        <w:t>（图</w:t>
      </w:r>
      <w:r>
        <w:rPr>
          <w:rFonts w:hint="eastAsia" w:asciiTheme="minorEastAsia" w:hAnsiTheme="minorEastAsia" w:eastAsiaTheme="minorEastAsia" w:cstheme="minorEastAsia"/>
          <w:kern w:val="0"/>
          <w:sz w:val="21"/>
          <w:szCs w:val="21"/>
          <w:lang w:val="en-US" w:eastAsia="zh-CN"/>
        </w:rPr>
        <w:t>2</w:t>
      </w:r>
      <w:r>
        <w:rPr>
          <w:rFonts w:hint="eastAsia" w:asciiTheme="minorEastAsia" w:hAnsiTheme="minorEastAsia" w:eastAsiaTheme="minorEastAsia" w:cstheme="minorEastAsia"/>
          <w:kern w:val="0"/>
          <w:sz w:val="21"/>
          <w:szCs w:val="21"/>
          <w:lang w:eastAsia="zh-CN"/>
        </w:rPr>
        <w:t>）。</w:t>
      </w:r>
    </w:p>
    <w:p>
      <w:pPr>
        <w:adjustRightInd/>
        <w:snapToGrid/>
        <w:spacing w:beforeLines="0" w:afterLines="0" w:line="360" w:lineRule="auto"/>
        <w:ind w:firstLine="400" w:firstLineChars="200"/>
        <w:jc w:val="center"/>
        <w:rPr>
          <w:rFonts w:hint="eastAsia" w:asciiTheme="minorEastAsia" w:hAnsiTheme="minorEastAsia" w:eastAsiaTheme="minorEastAsia" w:cstheme="minorEastAsia"/>
          <w:kern w:val="0"/>
          <w:sz w:val="21"/>
          <w:szCs w:val="21"/>
          <w:lang w:eastAsia="zh-CN"/>
        </w:rPr>
      </w:pPr>
      <w:r>
        <w:drawing>
          <wp:inline distT="0" distB="0" distL="114300" distR="114300">
            <wp:extent cx="4572000" cy="2914650"/>
            <wp:effectExtent l="4445" t="4445" r="14605" b="1460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adjustRightInd w:val="0"/>
        <w:snapToGrid w:val="0"/>
        <w:spacing w:beforeLines="0" w:afterLines="0" w:line="360" w:lineRule="auto"/>
        <w:ind w:firstLine="105" w:firstLineChars="50"/>
        <w:jc w:val="center"/>
        <w:rPr>
          <w:rFonts w:hint="eastAsia" w:ascii="宋体" w:hAnsi="宋体" w:cs="宋体"/>
          <w:b/>
          <w:sz w:val="21"/>
          <w:szCs w:val="21"/>
        </w:rPr>
      </w:pPr>
      <w:r>
        <w:rPr>
          <w:rFonts w:hint="eastAsia" w:ascii="宋体" w:hAnsi="宋体" w:cs="宋体"/>
          <w:b/>
          <w:sz w:val="21"/>
          <w:szCs w:val="21"/>
        </w:rPr>
        <w:t>图</w:t>
      </w:r>
      <w:r>
        <w:rPr>
          <w:rFonts w:hint="eastAsia" w:ascii="宋体" w:hAnsi="宋体" w:cs="宋体"/>
          <w:b/>
          <w:sz w:val="21"/>
          <w:szCs w:val="21"/>
          <w:lang w:val="en-US" w:eastAsia="zh-CN"/>
        </w:rPr>
        <w:t>2</w:t>
      </w:r>
      <w:r>
        <w:rPr>
          <w:rFonts w:hint="eastAsia" w:ascii="宋体" w:hAnsi="宋体" w:cs="宋体"/>
          <w:b/>
          <w:sz w:val="21"/>
          <w:szCs w:val="21"/>
        </w:rPr>
        <w:t xml:space="preserve"> </w:t>
      </w:r>
      <w:r>
        <w:rPr>
          <w:rFonts w:ascii="宋体" w:hAnsi="宋体" w:cs="宋体"/>
          <w:b/>
          <w:sz w:val="21"/>
          <w:szCs w:val="21"/>
        </w:rPr>
        <w:t>20</w:t>
      </w:r>
      <w:r>
        <w:rPr>
          <w:rFonts w:hint="eastAsia" w:ascii="宋体" w:hAnsi="宋体" w:cs="宋体"/>
          <w:b/>
          <w:sz w:val="21"/>
          <w:szCs w:val="21"/>
          <w:lang w:val="en-US" w:eastAsia="zh-CN"/>
        </w:rPr>
        <w:t>20</w:t>
      </w:r>
      <w:r>
        <w:rPr>
          <w:rFonts w:hint="eastAsia" w:ascii="宋体" w:hAnsi="宋体" w:cs="宋体"/>
          <w:b/>
          <w:sz w:val="21"/>
          <w:szCs w:val="21"/>
        </w:rPr>
        <w:t>年在校生</w:t>
      </w:r>
      <w:r>
        <w:rPr>
          <w:rFonts w:hint="eastAsia" w:ascii="宋体" w:hAnsi="宋体" w:cs="宋体"/>
          <w:b/>
          <w:sz w:val="21"/>
          <w:szCs w:val="21"/>
          <w:lang w:eastAsia="zh-CN"/>
        </w:rPr>
        <w:t>数</w:t>
      </w:r>
      <w:r>
        <w:rPr>
          <w:rFonts w:hint="eastAsia" w:ascii="宋体" w:hAnsi="宋体" w:cs="宋体"/>
          <w:b/>
          <w:sz w:val="21"/>
          <w:szCs w:val="21"/>
        </w:rPr>
        <w:t>占比与行业从业人员占比对照表</w:t>
      </w:r>
    </w:p>
    <w:p>
      <w:pPr>
        <w:adjustRightInd w:val="0"/>
        <w:snapToGrid w:val="0"/>
        <w:spacing w:before="157" w:beforeLines="50" w:afterLines="0" w:line="360" w:lineRule="auto"/>
        <w:ind w:firstLine="421" w:firstLineChars="200"/>
        <w:rPr>
          <w:rFonts w:hint="default" w:asciiTheme="minorEastAsia" w:hAnsiTheme="minorEastAsia" w:eastAsiaTheme="minorEastAsia" w:cstheme="minorEastAsia"/>
          <w:b w:val="0"/>
          <w:bCs w:val="0"/>
          <w:kern w:val="0"/>
          <w:sz w:val="21"/>
          <w:szCs w:val="21"/>
          <w:lang w:val="en" w:eastAsia="zh-CN"/>
        </w:rPr>
      </w:pPr>
      <w:r>
        <w:rPr>
          <w:rFonts w:hint="eastAsia" w:asciiTheme="minorEastAsia" w:hAnsiTheme="minorEastAsia" w:eastAsiaTheme="minorEastAsia" w:cstheme="minorEastAsia"/>
          <w:b/>
          <w:bCs w:val="0"/>
          <w:sz w:val="21"/>
          <w:szCs w:val="21"/>
        </w:rPr>
        <w:t>做优特色专业，服务新兴产业发展</w:t>
      </w:r>
      <w:r>
        <w:rPr>
          <w:rFonts w:hint="eastAsia" w:asciiTheme="minorEastAsia" w:hAnsiTheme="minorEastAsia" w:eastAsiaTheme="minorEastAsia" w:cstheme="minorEastAsia"/>
          <w:b/>
          <w:bCs w:val="0"/>
          <w:sz w:val="21"/>
          <w:szCs w:val="21"/>
          <w:lang w:eastAsia="zh-CN"/>
        </w:rPr>
        <w:t>。</w:t>
      </w:r>
      <w:r>
        <w:rPr>
          <w:rFonts w:hint="eastAsia" w:asciiTheme="minorEastAsia" w:hAnsiTheme="minorEastAsia" w:eastAsiaTheme="minorEastAsia" w:cstheme="minorEastAsia"/>
          <w:b w:val="0"/>
          <w:bCs w:val="0"/>
          <w:kern w:val="0"/>
          <w:sz w:val="21"/>
          <w:szCs w:val="21"/>
        </w:rPr>
        <w:t>我市主动对接地方传统产业和新兴产业，积极培育特色、新兴专业。目前已建成省级特色、新兴专业10个、省级优势特色专业15个。目前全市十大战略性新兴产业相关专业数</w:t>
      </w:r>
      <w:r>
        <w:rPr>
          <w:rFonts w:hint="eastAsia" w:asciiTheme="minorEastAsia" w:hAnsiTheme="minorEastAsia" w:eastAsiaTheme="minorEastAsia" w:cstheme="minorEastAsia"/>
          <w:b w:val="0"/>
          <w:bCs w:val="0"/>
          <w:kern w:val="0"/>
          <w:sz w:val="21"/>
          <w:szCs w:val="21"/>
          <w:lang w:val="en-US" w:eastAsia="zh-CN"/>
        </w:rPr>
        <w:t>80</w:t>
      </w:r>
      <w:r>
        <w:rPr>
          <w:rFonts w:hint="eastAsia" w:asciiTheme="minorEastAsia" w:hAnsiTheme="minorEastAsia" w:eastAsiaTheme="minorEastAsia" w:cstheme="minorEastAsia"/>
          <w:b w:val="0"/>
          <w:bCs w:val="0"/>
          <w:kern w:val="0"/>
          <w:sz w:val="21"/>
          <w:szCs w:val="21"/>
        </w:rPr>
        <w:t>个，在校生数达到2</w:t>
      </w:r>
      <w:r>
        <w:rPr>
          <w:rFonts w:hint="eastAsia" w:asciiTheme="minorEastAsia" w:hAnsiTheme="minorEastAsia" w:eastAsiaTheme="minorEastAsia" w:cstheme="minorEastAsia"/>
          <w:b w:val="0"/>
          <w:bCs w:val="0"/>
          <w:kern w:val="0"/>
          <w:sz w:val="21"/>
          <w:szCs w:val="21"/>
          <w:lang w:eastAsia="zh-CN"/>
        </w:rPr>
        <w:t>4</w:t>
      </w:r>
      <w:r>
        <w:rPr>
          <w:rFonts w:hint="eastAsia" w:asciiTheme="minorEastAsia" w:hAnsiTheme="minorEastAsia" w:eastAsiaTheme="minorEastAsia" w:cstheme="minorEastAsia"/>
          <w:b w:val="0"/>
          <w:bCs w:val="0"/>
          <w:kern w:val="0"/>
          <w:sz w:val="21"/>
          <w:szCs w:val="21"/>
          <w:lang w:val="en-US" w:eastAsia="zh-CN"/>
        </w:rPr>
        <w:t>459</w:t>
      </w:r>
      <w:r>
        <w:rPr>
          <w:rFonts w:hint="eastAsia" w:asciiTheme="minorEastAsia" w:hAnsiTheme="minorEastAsia" w:eastAsiaTheme="minorEastAsia" w:cstheme="minorEastAsia"/>
          <w:b w:val="0"/>
          <w:bCs w:val="0"/>
          <w:kern w:val="0"/>
          <w:sz w:val="21"/>
          <w:szCs w:val="21"/>
        </w:rPr>
        <w:t>人，约占全市在校生数的三分之一。鼓励和支持中职学校调整传统专业，设置新兴专业。如中策职校开设工业机器人技术应用</w:t>
      </w:r>
      <w:r>
        <w:rPr>
          <w:rFonts w:hint="eastAsia" w:asciiTheme="minorEastAsia" w:hAnsiTheme="minorEastAsia" w:eastAsiaTheme="minorEastAsia" w:cstheme="minorEastAsia"/>
          <w:b w:val="0"/>
          <w:bCs w:val="0"/>
          <w:kern w:val="0"/>
          <w:sz w:val="21"/>
          <w:szCs w:val="21"/>
          <w:lang w:eastAsia="zh-CN"/>
        </w:rPr>
        <w:t>和</w:t>
      </w:r>
      <w:r>
        <w:rPr>
          <w:rFonts w:hint="eastAsia" w:asciiTheme="minorEastAsia" w:hAnsiTheme="minorEastAsia" w:eastAsiaTheme="minorEastAsia" w:cstheme="minorEastAsia"/>
          <w:b w:val="0"/>
          <w:bCs w:val="0"/>
          <w:kern w:val="0"/>
          <w:sz w:val="21"/>
          <w:szCs w:val="21"/>
        </w:rPr>
        <w:t>中西</w:t>
      </w:r>
      <w:r>
        <w:rPr>
          <w:rFonts w:hint="eastAsia" w:asciiTheme="minorEastAsia" w:hAnsiTheme="minorEastAsia" w:eastAsiaTheme="minorEastAsia" w:cstheme="minorEastAsia"/>
          <w:b w:val="0"/>
          <w:bCs w:val="0"/>
          <w:kern w:val="0"/>
          <w:sz w:val="21"/>
          <w:szCs w:val="21"/>
          <w:lang w:eastAsia="zh-CN"/>
        </w:rPr>
        <w:t>面</w:t>
      </w:r>
      <w:r>
        <w:rPr>
          <w:rFonts w:hint="eastAsia" w:asciiTheme="minorEastAsia" w:hAnsiTheme="minorEastAsia" w:eastAsiaTheme="minorEastAsia" w:cstheme="minorEastAsia"/>
          <w:b w:val="0"/>
          <w:bCs w:val="0"/>
          <w:kern w:val="0"/>
          <w:sz w:val="21"/>
          <w:szCs w:val="21"/>
        </w:rPr>
        <w:t>点</w:t>
      </w:r>
      <w:r>
        <w:rPr>
          <w:rFonts w:hint="eastAsia" w:asciiTheme="minorEastAsia" w:hAnsiTheme="minorEastAsia" w:eastAsiaTheme="minorEastAsia" w:cstheme="minorEastAsia"/>
          <w:b w:val="0"/>
          <w:bCs w:val="0"/>
          <w:kern w:val="0"/>
          <w:sz w:val="21"/>
          <w:szCs w:val="21"/>
          <w:lang w:eastAsia="zh-CN"/>
        </w:rPr>
        <w:t>专业</w:t>
      </w:r>
      <w:r>
        <w:rPr>
          <w:rFonts w:hint="eastAsia" w:asciiTheme="minorEastAsia" w:hAnsiTheme="minorEastAsia" w:eastAsiaTheme="minorEastAsia" w:cstheme="minorEastAsia"/>
          <w:b w:val="0"/>
          <w:bCs w:val="0"/>
          <w:kern w:val="0"/>
          <w:sz w:val="21"/>
          <w:szCs w:val="21"/>
        </w:rPr>
        <w:t>，积极培养现代制造业、现代服务业发展急需的人才；</w:t>
      </w:r>
      <w:r>
        <w:rPr>
          <w:rFonts w:hint="eastAsia" w:asciiTheme="minorEastAsia" w:hAnsiTheme="minorEastAsia" w:eastAsiaTheme="minorEastAsia" w:cstheme="minorEastAsia"/>
          <w:b w:val="0"/>
          <w:bCs w:val="0"/>
          <w:kern w:val="0"/>
          <w:sz w:val="21"/>
          <w:szCs w:val="21"/>
          <w:lang w:eastAsia="zh-CN"/>
        </w:rPr>
        <w:t>交通职高为适应新能源汽车行业快速发展需求，新开新能源汽车维修专业；美术职校整合服装职高专业资源</w:t>
      </w:r>
      <w:r>
        <w:rPr>
          <w:rFonts w:hint="eastAsia" w:asciiTheme="minorEastAsia" w:hAnsiTheme="minorEastAsia" w:eastAsiaTheme="minorEastAsia" w:cstheme="minorEastAsia"/>
          <w:b w:val="0"/>
          <w:bCs w:val="0"/>
          <w:kern w:val="0"/>
          <w:sz w:val="21"/>
          <w:szCs w:val="21"/>
        </w:rPr>
        <w:t>，新开设服装陈列与展示设计专业，为</w:t>
      </w:r>
      <w:r>
        <w:rPr>
          <w:rFonts w:hint="eastAsia" w:asciiTheme="minorEastAsia" w:hAnsiTheme="minorEastAsia" w:eastAsiaTheme="minorEastAsia" w:cstheme="minorEastAsia"/>
          <w:b w:val="0"/>
          <w:bCs w:val="0"/>
          <w:kern w:val="0"/>
          <w:sz w:val="21"/>
          <w:szCs w:val="21"/>
          <w:lang w:eastAsia="zh-CN"/>
        </w:rPr>
        <w:t>服装产业</w:t>
      </w:r>
      <w:r>
        <w:rPr>
          <w:rFonts w:hint="eastAsia" w:asciiTheme="minorEastAsia" w:hAnsiTheme="minorEastAsia" w:eastAsiaTheme="minorEastAsia" w:cstheme="minorEastAsia"/>
          <w:b w:val="0"/>
          <w:bCs w:val="0"/>
          <w:kern w:val="0"/>
          <w:sz w:val="21"/>
          <w:szCs w:val="21"/>
        </w:rPr>
        <w:t>提供人才支撑。</w:t>
      </w:r>
      <w:r>
        <w:rPr>
          <w:rFonts w:hint="eastAsia" w:asciiTheme="minorEastAsia" w:hAnsiTheme="minorEastAsia" w:eastAsiaTheme="minorEastAsia" w:cstheme="minorEastAsia"/>
          <w:b w:val="0"/>
          <w:bCs w:val="0"/>
          <w:kern w:val="0"/>
          <w:sz w:val="21"/>
          <w:szCs w:val="21"/>
          <w:lang w:eastAsia="zh-CN"/>
        </w:rPr>
        <w:t>临平职高积极培养现代制造业、现代服务业发展急需人才，开设增材制造技术应用、新能源汽车维修、物联网技术应用。富阳职高开设</w:t>
      </w:r>
      <w:r>
        <w:rPr>
          <w:rFonts w:hint="eastAsia" w:asciiTheme="minorEastAsia" w:hAnsiTheme="minorEastAsia" w:eastAsiaTheme="minorEastAsia" w:cstheme="minorEastAsia"/>
          <w:b w:val="0"/>
          <w:bCs w:val="0"/>
          <w:kern w:val="0"/>
          <w:sz w:val="21"/>
          <w:szCs w:val="21"/>
        </w:rPr>
        <w:t>无人机操控与维护</w:t>
      </w:r>
      <w:r>
        <w:rPr>
          <w:rFonts w:hint="eastAsia" w:asciiTheme="minorEastAsia" w:hAnsiTheme="minorEastAsia" w:eastAsiaTheme="minorEastAsia" w:cstheme="minorEastAsia"/>
          <w:b w:val="0"/>
          <w:bCs w:val="0"/>
          <w:kern w:val="0"/>
          <w:sz w:val="21"/>
          <w:szCs w:val="21"/>
          <w:lang w:eastAsia="zh-CN"/>
        </w:rPr>
        <w:t>专业，主动服务区域经济提质增效、产业转型升级。</w:t>
      </w:r>
      <w:r>
        <w:rPr>
          <w:rFonts w:hint="default" w:asciiTheme="minorEastAsia" w:hAnsiTheme="minorEastAsia" w:eastAsiaTheme="minorEastAsia" w:cstheme="minorEastAsia"/>
          <w:b w:val="0"/>
          <w:bCs w:val="0"/>
          <w:kern w:val="0"/>
          <w:sz w:val="21"/>
          <w:szCs w:val="21"/>
          <w:lang w:val="en" w:eastAsia="zh-CN"/>
        </w:rPr>
        <w:t xml:space="preserve"> </w:t>
      </w:r>
    </w:p>
    <w:p>
      <w:pPr>
        <w:adjustRightInd w:val="0"/>
        <w:snapToGrid w:val="0"/>
        <w:spacing w:beforeLines="0" w:afterLines="0" w:line="360" w:lineRule="auto"/>
        <w:ind w:firstLine="421" w:firstLineChars="200"/>
        <w:rPr>
          <w:rFonts w:hint="eastAsia" w:asciiTheme="minorEastAsia" w:hAnsiTheme="minorEastAsia" w:eastAsiaTheme="minorEastAsia" w:cstheme="minorEastAsia"/>
          <w:b w:val="0"/>
          <w:bCs w:val="0"/>
          <w:kern w:val="0"/>
          <w:sz w:val="21"/>
          <w:szCs w:val="21"/>
          <w:lang w:val="en-US" w:eastAsia="zh-CN"/>
        </w:rPr>
      </w:pPr>
      <w:r>
        <w:rPr>
          <w:rFonts w:hint="eastAsia" w:asciiTheme="minorEastAsia" w:hAnsiTheme="minorEastAsia" w:eastAsiaTheme="minorEastAsia" w:cstheme="minorEastAsia"/>
          <w:b/>
          <w:bCs/>
          <w:kern w:val="0"/>
          <w:sz w:val="21"/>
          <w:szCs w:val="21"/>
        </w:rPr>
        <w:t>打造品牌专业，服务区域经济发展</w:t>
      </w:r>
      <w:r>
        <w:rPr>
          <w:rFonts w:hint="eastAsia" w:asciiTheme="minorEastAsia" w:hAnsiTheme="minorEastAsia" w:eastAsiaTheme="minorEastAsia" w:cstheme="minorEastAsia"/>
          <w:b/>
          <w:bCs/>
          <w:kern w:val="0"/>
          <w:sz w:val="21"/>
          <w:szCs w:val="21"/>
          <w:lang w:eastAsia="zh-CN"/>
        </w:rPr>
        <w:t>。</w:t>
      </w:r>
      <w:r>
        <w:rPr>
          <w:rFonts w:hint="eastAsia" w:asciiTheme="minorEastAsia" w:hAnsiTheme="minorEastAsia" w:eastAsiaTheme="minorEastAsia" w:cstheme="minorEastAsia"/>
          <w:b w:val="0"/>
          <w:bCs w:val="0"/>
          <w:kern w:val="0"/>
          <w:sz w:val="21"/>
          <w:szCs w:val="21"/>
        </w:rPr>
        <w:t>我市积极实施省市中职教育质量</w:t>
      </w:r>
      <w:r>
        <w:rPr>
          <w:rFonts w:hint="eastAsia" w:asciiTheme="minorEastAsia" w:hAnsiTheme="minorEastAsia" w:eastAsiaTheme="minorEastAsia" w:cstheme="minorEastAsia"/>
          <w:b w:val="0"/>
          <w:bCs w:val="0"/>
          <w:kern w:val="0"/>
          <w:sz w:val="21"/>
          <w:szCs w:val="21"/>
          <w:lang w:eastAsia="zh-CN"/>
        </w:rPr>
        <w:t>提升</w:t>
      </w:r>
      <w:r>
        <w:rPr>
          <w:rFonts w:hint="eastAsia" w:asciiTheme="minorEastAsia" w:hAnsiTheme="minorEastAsia" w:eastAsiaTheme="minorEastAsia" w:cstheme="minorEastAsia"/>
          <w:b w:val="0"/>
          <w:bCs w:val="0"/>
          <w:kern w:val="0"/>
          <w:sz w:val="21"/>
          <w:szCs w:val="21"/>
        </w:rPr>
        <w:t>行动计划（工程），以项目建设为载体，通过加大财政投入，推进师资队伍建设、实训基地建设、课程改革、信息化建设、现代学徒制试点等工作，致力于做强品牌专业。目前已创建省级品牌专业17个，市级品牌专业50个。通过品牌专业建设，增强了职业教育服务区域经济和产业发展的能力。</w:t>
      </w:r>
      <w:r>
        <w:rPr>
          <w:rFonts w:hint="eastAsia" w:asciiTheme="minorEastAsia" w:hAnsiTheme="minorEastAsia" w:eastAsiaTheme="minorEastAsia" w:cstheme="minorEastAsia"/>
          <w:b w:val="0"/>
          <w:bCs w:val="0"/>
          <w:kern w:val="0"/>
          <w:sz w:val="21"/>
          <w:szCs w:val="21"/>
          <w:lang w:val="en-US" w:eastAsia="zh-CN"/>
        </w:rPr>
        <w:t xml:space="preserve">2020年，我市有6所中职学校入选省高水平中职学校，附建12个A类专业；19个中职专业入选省高水平建设专业，其中A类专业5个，B类专业14个。 </w:t>
      </w:r>
    </w:p>
    <w:p>
      <w:pPr>
        <w:adjustRightInd w:val="0"/>
        <w:snapToGrid w:val="0"/>
        <w:spacing w:beforeLines="0" w:afterLines="0" w:line="360" w:lineRule="auto"/>
        <w:ind w:firstLine="421" w:firstLineChars="200"/>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bCs/>
          <w:kern w:val="0"/>
          <w:sz w:val="21"/>
          <w:szCs w:val="21"/>
        </w:rPr>
        <w:t>做强主干专业，服务薄弱学校发展</w:t>
      </w:r>
      <w:r>
        <w:rPr>
          <w:rFonts w:hint="eastAsia" w:asciiTheme="minorEastAsia" w:hAnsiTheme="minorEastAsia" w:eastAsiaTheme="minorEastAsia" w:cstheme="minorEastAsia"/>
          <w:b/>
          <w:bCs/>
          <w:kern w:val="0"/>
          <w:sz w:val="21"/>
          <w:szCs w:val="21"/>
          <w:lang w:eastAsia="zh-CN"/>
        </w:rPr>
        <w:t>。</w:t>
      </w:r>
      <w:r>
        <w:rPr>
          <w:rFonts w:hint="eastAsia" w:asciiTheme="minorEastAsia" w:hAnsiTheme="minorEastAsia" w:eastAsiaTheme="minorEastAsia" w:cstheme="minorEastAsia"/>
          <w:b w:val="0"/>
          <w:bCs w:val="0"/>
          <w:kern w:val="0"/>
          <w:sz w:val="21"/>
          <w:szCs w:val="21"/>
        </w:rPr>
        <w:t>我市认真落实“十三五”期间重点扶持学校主干专业建设规划，加强全市重点扶持学校主干专业的建设，以市中职教育质量提升工程创建为契机，积极实施重点扶持措施，专业建设成效明显。20</w:t>
      </w:r>
      <w:r>
        <w:rPr>
          <w:rFonts w:hint="eastAsia" w:asciiTheme="minorEastAsia" w:hAnsiTheme="minorEastAsia" w:eastAsiaTheme="minorEastAsia" w:cstheme="minorEastAsia"/>
          <w:b w:val="0"/>
          <w:bCs w:val="0"/>
          <w:kern w:val="0"/>
          <w:sz w:val="21"/>
          <w:szCs w:val="21"/>
          <w:lang w:val="en-US" w:eastAsia="zh-CN"/>
        </w:rPr>
        <w:t>20</w:t>
      </w:r>
      <w:r>
        <w:rPr>
          <w:rFonts w:hint="eastAsia" w:asciiTheme="minorEastAsia" w:hAnsiTheme="minorEastAsia" w:eastAsiaTheme="minorEastAsia" w:cstheme="minorEastAsia"/>
          <w:b w:val="0"/>
          <w:bCs w:val="0"/>
          <w:kern w:val="0"/>
          <w:sz w:val="21"/>
          <w:szCs w:val="21"/>
        </w:rPr>
        <w:t>年全市重点扶持学校主干专业共有</w:t>
      </w:r>
      <w:r>
        <w:rPr>
          <w:rFonts w:hint="eastAsia" w:asciiTheme="minorEastAsia" w:hAnsiTheme="minorEastAsia" w:eastAsiaTheme="minorEastAsia" w:cstheme="minorEastAsia"/>
          <w:b w:val="0"/>
          <w:bCs w:val="0"/>
          <w:kern w:val="0"/>
          <w:sz w:val="21"/>
          <w:szCs w:val="21"/>
          <w:lang w:eastAsia="zh-CN"/>
        </w:rPr>
        <w:t>7</w:t>
      </w:r>
      <w:r>
        <w:rPr>
          <w:rFonts w:hint="eastAsia" w:asciiTheme="minorEastAsia" w:hAnsiTheme="minorEastAsia" w:eastAsiaTheme="minorEastAsia" w:cstheme="minorEastAsia"/>
          <w:b w:val="0"/>
          <w:bCs w:val="0"/>
          <w:kern w:val="0"/>
          <w:sz w:val="21"/>
          <w:szCs w:val="21"/>
        </w:rPr>
        <w:t>个，累计共有重点扶持主干专业</w:t>
      </w:r>
      <w:r>
        <w:rPr>
          <w:rFonts w:hint="eastAsia" w:asciiTheme="minorEastAsia" w:hAnsiTheme="minorEastAsia" w:eastAsiaTheme="minorEastAsia" w:cstheme="minorEastAsia"/>
          <w:b w:val="0"/>
          <w:bCs w:val="0"/>
          <w:kern w:val="0"/>
          <w:sz w:val="21"/>
          <w:szCs w:val="21"/>
          <w:lang w:eastAsia="zh-CN"/>
        </w:rPr>
        <w:t>3</w:t>
      </w:r>
      <w:r>
        <w:rPr>
          <w:rFonts w:hint="eastAsia" w:asciiTheme="minorEastAsia" w:hAnsiTheme="minorEastAsia" w:eastAsiaTheme="minorEastAsia" w:cstheme="minorEastAsia"/>
          <w:b w:val="0"/>
          <w:bCs w:val="0"/>
          <w:kern w:val="0"/>
          <w:sz w:val="21"/>
          <w:szCs w:val="21"/>
          <w:lang w:val="en-US" w:eastAsia="zh-CN"/>
        </w:rPr>
        <w:t>7</w:t>
      </w:r>
      <w:r>
        <w:rPr>
          <w:rFonts w:hint="eastAsia" w:asciiTheme="minorEastAsia" w:hAnsiTheme="minorEastAsia" w:eastAsiaTheme="minorEastAsia" w:cstheme="minorEastAsia"/>
          <w:b w:val="0"/>
          <w:bCs w:val="0"/>
          <w:kern w:val="0"/>
          <w:sz w:val="21"/>
          <w:szCs w:val="21"/>
        </w:rPr>
        <w:t>个。根据初步统计，全市对重点薄弱学校主干专业资金投入数为</w:t>
      </w:r>
      <w:r>
        <w:rPr>
          <w:rFonts w:hint="eastAsia" w:asciiTheme="minorEastAsia" w:hAnsiTheme="minorEastAsia" w:eastAsiaTheme="minorEastAsia" w:cstheme="minorEastAsia"/>
          <w:b w:val="0"/>
          <w:bCs w:val="0"/>
          <w:kern w:val="0"/>
          <w:sz w:val="21"/>
          <w:szCs w:val="21"/>
          <w:lang w:eastAsia="zh-CN"/>
        </w:rPr>
        <w:t>1</w:t>
      </w:r>
      <w:r>
        <w:rPr>
          <w:rFonts w:hint="eastAsia" w:asciiTheme="minorEastAsia" w:hAnsiTheme="minorEastAsia" w:eastAsiaTheme="minorEastAsia" w:cstheme="minorEastAsia"/>
          <w:b w:val="0"/>
          <w:bCs w:val="0"/>
          <w:kern w:val="0"/>
          <w:sz w:val="21"/>
          <w:szCs w:val="21"/>
          <w:lang w:val="en-US" w:eastAsia="zh-CN"/>
        </w:rPr>
        <w:t>709.51</w:t>
      </w:r>
      <w:r>
        <w:rPr>
          <w:rFonts w:hint="eastAsia" w:asciiTheme="minorEastAsia" w:hAnsiTheme="minorEastAsia" w:eastAsiaTheme="minorEastAsia" w:cstheme="minorEastAsia"/>
          <w:b w:val="0"/>
          <w:bCs w:val="0"/>
          <w:kern w:val="0"/>
          <w:sz w:val="21"/>
          <w:szCs w:val="21"/>
        </w:rPr>
        <w:t>万元，历年总投入数1</w:t>
      </w:r>
      <w:r>
        <w:rPr>
          <w:rFonts w:hint="eastAsia" w:asciiTheme="minorEastAsia" w:hAnsiTheme="minorEastAsia" w:eastAsiaTheme="minorEastAsia" w:cstheme="minorEastAsia"/>
          <w:b w:val="0"/>
          <w:bCs w:val="0"/>
          <w:kern w:val="0"/>
          <w:sz w:val="21"/>
          <w:szCs w:val="21"/>
          <w:lang w:eastAsia="zh-CN"/>
        </w:rPr>
        <w:t>2</w:t>
      </w:r>
      <w:r>
        <w:rPr>
          <w:rFonts w:hint="eastAsia" w:asciiTheme="minorEastAsia" w:hAnsiTheme="minorEastAsia" w:eastAsiaTheme="minorEastAsia" w:cstheme="minorEastAsia"/>
          <w:b w:val="0"/>
          <w:bCs w:val="0"/>
          <w:kern w:val="0"/>
          <w:sz w:val="21"/>
          <w:szCs w:val="21"/>
          <w:lang w:val="en-US" w:eastAsia="zh-CN"/>
        </w:rPr>
        <w:t>209.48</w:t>
      </w:r>
      <w:r>
        <w:rPr>
          <w:rFonts w:hint="eastAsia" w:asciiTheme="minorEastAsia" w:hAnsiTheme="minorEastAsia" w:eastAsiaTheme="minorEastAsia" w:cstheme="minorEastAsia"/>
          <w:b w:val="0"/>
          <w:bCs w:val="0"/>
          <w:kern w:val="0"/>
          <w:sz w:val="21"/>
          <w:szCs w:val="21"/>
        </w:rPr>
        <w:t>万元。在日常教研活动、师资交流、校企合作、项目创建等方面加大帮扶与指导力度，全市合力推进重点薄弱学校主干专业建设，</w:t>
      </w:r>
      <w:r>
        <w:rPr>
          <w:rFonts w:hint="eastAsia" w:asciiTheme="minorEastAsia" w:hAnsiTheme="minorEastAsia" w:eastAsiaTheme="minorEastAsia" w:cstheme="minorEastAsia"/>
          <w:b w:val="0"/>
          <w:bCs w:val="0"/>
          <w:kern w:val="0"/>
          <w:sz w:val="21"/>
          <w:szCs w:val="21"/>
          <w:lang w:eastAsia="zh-CN"/>
        </w:rPr>
        <w:t>相关</w:t>
      </w:r>
      <w:r>
        <w:rPr>
          <w:rFonts w:hint="eastAsia" w:asciiTheme="minorEastAsia" w:hAnsiTheme="minorEastAsia" w:eastAsiaTheme="minorEastAsia" w:cstheme="minorEastAsia"/>
          <w:b w:val="0"/>
          <w:bCs w:val="0"/>
          <w:kern w:val="0"/>
          <w:sz w:val="21"/>
          <w:szCs w:val="21"/>
        </w:rPr>
        <w:t>专业均较好地完成建设任务，取得了较好的发展。</w:t>
      </w:r>
    </w:p>
    <w:p>
      <w:pPr>
        <w:wordWrap/>
        <w:spacing w:before="157" w:beforeLines="50" w:afterLines="0" w:line="360" w:lineRule="auto"/>
        <w:ind w:right="0" w:firstLine="421" w:firstLineChars="200"/>
        <w:textAlignment w:val="auto"/>
        <w:rPr>
          <w:rFonts w:hint="eastAsia" w:ascii="楷体_GB2312" w:hAnsi="楷体_GB2312" w:eastAsia="楷体_GB2312" w:cs="楷体_GB2312"/>
          <w:b/>
          <w:bCs/>
          <w:color w:val="auto"/>
          <w:kern w:val="44"/>
          <w:sz w:val="21"/>
          <w:szCs w:val="21"/>
          <w:lang w:eastAsia="zh-CN"/>
        </w:rPr>
      </w:pPr>
      <w:r>
        <w:rPr>
          <w:rFonts w:hint="eastAsia" w:ascii="楷体_GB2312" w:hAnsi="楷体_GB2312" w:eastAsia="楷体_GB2312" w:cs="楷体_GB2312"/>
          <w:b/>
          <w:bCs/>
          <w:color w:val="auto"/>
          <w:kern w:val="44"/>
          <w:sz w:val="21"/>
          <w:szCs w:val="21"/>
          <w:lang w:eastAsia="zh-CN"/>
        </w:rPr>
        <w:t>【案例3</w:t>
      </w:r>
      <w:r>
        <w:rPr>
          <w:rFonts w:hint="eastAsia" w:ascii="楷体_GB2312" w:hAnsi="楷体_GB2312" w:eastAsia="楷体_GB2312" w:cs="楷体_GB2312"/>
          <w:b/>
          <w:bCs/>
          <w:color w:val="auto"/>
          <w:kern w:val="44"/>
          <w:sz w:val="21"/>
          <w:szCs w:val="21"/>
          <w:lang w:val="en-US" w:eastAsia="zh-CN"/>
        </w:rPr>
        <w:t>-1</w:t>
      </w:r>
      <w:r>
        <w:rPr>
          <w:rFonts w:hint="eastAsia" w:ascii="楷体_GB2312" w:hAnsi="楷体_GB2312" w:eastAsia="楷体_GB2312" w:cs="楷体_GB2312"/>
          <w:b/>
          <w:bCs/>
          <w:color w:val="auto"/>
          <w:kern w:val="44"/>
          <w:sz w:val="21"/>
          <w:szCs w:val="21"/>
          <w:lang w:eastAsia="zh-CN"/>
        </w:rPr>
        <w:t>】余杭区中职学校对接产业发展需求，动态调整专业设置</w:t>
      </w:r>
    </w:p>
    <w:p>
      <w:pPr>
        <w:widowControl/>
        <w:shd w:val="clear" w:color="auto" w:fill="FFFFFF"/>
        <w:wordWrap/>
        <w:spacing w:beforeLines="0" w:afterLines="0" w:line="360" w:lineRule="auto"/>
        <w:ind w:left="0" w:leftChars="0" w:right="0" w:firstLine="420" w:firstLineChars="200"/>
        <w:jc w:val="left"/>
        <w:textAlignment w:val="baseline"/>
        <w:outlineLvl w:val="0"/>
        <w:rPr>
          <w:rFonts w:hint="eastAsia" w:ascii="仿宋_GB2312" w:hAnsi="仿宋_GB2312" w:eastAsia="仿宋_GB2312" w:cs="仿宋_GB2312"/>
          <w:sz w:val="21"/>
          <w:szCs w:val="21"/>
          <w:lang w:val="zh-CN" w:eastAsia="zh-CN"/>
        </w:rPr>
      </w:pPr>
      <w:r>
        <w:rPr>
          <w:rFonts w:hint="eastAsia" w:ascii="仿宋_GB2312" w:hAnsi="仿宋_GB2312" w:eastAsia="仿宋_GB2312" w:cs="仿宋_GB2312"/>
          <w:sz w:val="21"/>
          <w:szCs w:val="21"/>
          <w:lang w:val="en-US" w:eastAsia="zh-CN"/>
        </w:rPr>
        <w:t>根据“做强主体专业，拓展新兴专业，提升传统专业，做亮特色专业”的思路，</w:t>
      </w:r>
      <w:r>
        <w:rPr>
          <w:rFonts w:hint="eastAsia" w:ascii="仿宋_GB2312" w:hAnsi="仿宋_GB2312" w:eastAsia="仿宋_GB2312" w:cs="仿宋_GB2312"/>
          <w:sz w:val="21"/>
          <w:szCs w:val="21"/>
          <w:lang w:val="zh-CN" w:eastAsia="zh-CN"/>
        </w:rPr>
        <w:t>余杭区中等职业学校在服务余杭传统制造业对技术技能型人才需求的基础上，</w:t>
      </w:r>
      <w:r>
        <w:rPr>
          <w:rFonts w:hint="eastAsia" w:ascii="仿宋_GB2312" w:hAnsi="仿宋_GB2312" w:eastAsia="仿宋_GB2312" w:cs="仿宋_GB2312"/>
          <w:sz w:val="21"/>
          <w:szCs w:val="21"/>
          <w:lang w:val="en-US" w:eastAsia="zh-CN"/>
        </w:rPr>
        <w:t>结合区域经济社会发展需求，积极动态调整专业设置。如杭州市临平职高增设</w:t>
      </w:r>
      <w:r>
        <w:rPr>
          <w:rFonts w:hint="eastAsia" w:ascii="仿宋_GB2312" w:hAnsi="仿宋_GB2312" w:eastAsia="仿宋_GB2312" w:cs="仿宋_GB2312"/>
          <w:sz w:val="21"/>
          <w:szCs w:val="21"/>
          <w:lang w:val="zh-CN" w:eastAsia="zh-CN"/>
        </w:rPr>
        <w:t>航空服务、新能源汽车维修、物联网技术应用、增材制造技术应用四个专业；乔司职高增设服装表演、美发与形象设计、汽车营销与服务专业三个专业；良渚职高增设农村经济综合管理专业；余杭商贸职高增设金融事务、跨境电子商务专业两个专业。依据产业结构优化升级适时调整专业，全区四所学校共增设</w:t>
      </w:r>
      <w:r>
        <w:rPr>
          <w:rFonts w:hint="eastAsia" w:ascii="仿宋_GB2312" w:hAnsi="仿宋_GB2312" w:eastAsia="仿宋_GB2312" w:cs="仿宋_GB2312"/>
          <w:sz w:val="21"/>
          <w:szCs w:val="21"/>
          <w:lang w:val="en-US" w:eastAsia="zh-CN"/>
        </w:rPr>
        <w:t>10专业，</w:t>
      </w:r>
      <w:r>
        <w:rPr>
          <w:rFonts w:hint="eastAsia" w:ascii="仿宋_GB2312" w:hAnsi="仿宋_GB2312" w:eastAsia="仿宋_GB2312" w:cs="仿宋_GB2312"/>
          <w:sz w:val="21"/>
          <w:szCs w:val="21"/>
          <w:lang w:val="zh-CN" w:eastAsia="zh-CN"/>
        </w:rPr>
        <w:t>校企共同实施教学，着力建设满足地方支柱产业急需、符合产业结构调整和企业用人方向的主体专业。</w:t>
      </w:r>
    </w:p>
    <w:p>
      <w:pPr>
        <w:spacing w:before="157" w:beforeLines="50" w:after="0" w:afterLines="0" w:line="360" w:lineRule="auto"/>
        <w:ind w:firstLine="450" w:firstLineChars="150"/>
        <w:rPr>
          <w:rFonts w:hint="eastAsia" w:ascii="黑体" w:hAnsi="黑体" w:eastAsia="黑体" w:cs="黑体"/>
          <w:b w:val="0"/>
          <w:bCs w:val="0"/>
          <w:color w:val="auto"/>
          <w:kern w:val="44"/>
          <w:sz w:val="30"/>
          <w:szCs w:val="30"/>
          <w:lang w:eastAsia="zh-CN"/>
        </w:rPr>
      </w:pPr>
      <w:bookmarkStart w:id="68" w:name="_Toc32840366"/>
      <w:bookmarkStart w:id="69" w:name="_Toc34559989"/>
      <w:bookmarkStart w:id="70" w:name="_Toc242367033_WPSOffice_Level2"/>
      <w:bookmarkStart w:id="71" w:name="_Toc316058349_WPSOffice_Level2"/>
      <w:r>
        <w:rPr>
          <w:rFonts w:hint="eastAsia" w:ascii="黑体" w:hAnsi="黑体" w:eastAsia="黑体" w:cs="黑体"/>
          <w:b w:val="0"/>
          <w:bCs w:val="0"/>
          <w:color w:val="auto"/>
          <w:kern w:val="44"/>
          <w:sz w:val="30"/>
          <w:szCs w:val="30"/>
        </w:rPr>
        <w:t xml:space="preserve">3.2 </w:t>
      </w:r>
      <w:bookmarkEnd w:id="68"/>
      <w:bookmarkEnd w:id="69"/>
      <w:r>
        <w:rPr>
          <w:rFonts w:hint="eastAsia" w:ascii="黑体" w:hAnsi="黑体" w:eastAsia="黑体" w:cs="黑体"/>
          <w:b w:val="0"/>
          <w:bCs w:val="0"/>
          <w:color w:val="auto"/>
          <w:kern w:val="44"/>
          <w:sz w:val="30"/>
          <w:szCs w:val="30"/>
          <w:lang w:eastAsia="zh-CN"/>
        </w:rPr>
        <w:t>质量保障</w:t>
      </w:r>
      <w:bookmarkEnd w:id="70"/>
      <w:bookmarkEnd w:id="71"/>
    </w:p>
    <w:p>
      <w:pPr>
        <w:adjustRightInd/>
        <w:snapToGrid/>
        <w:spacing w:beforeLines="0" w:afterLines="0" w:line="360" w:lineRule="auto"/>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以提高人才培养质量为根本，以促进学校自主发展、内涵发展为宗旨，我市印发了《杭州市中等职业学校教学诊断与改进工作实施方案》和《杭州市教育局办公室关于加快推进杭州市中等职业学校教学诊断与改进工作的通知》，坚持“需求导向、自我保证，多元诊断、重在改进”的工作方针，改善办学条件、规范学校管理、深化教学改革、完善制度体系、健全运行机制，促进中等职业教育健康可持续发展，全面提升了中职教育人才培养质量，努力打造“杭州工匠”品牌。</w:t>
      </w:r>
    </w:p>
    <w:p>
      <w:pPr>
        <w:pStyle w:val="4"/>
        <w:adjustRightInd/>
        <w:snapToGrid/>
        <w:spacing w:before="0" w:beforeLines="0" w:after="0" w:afterLines="0" w:line="360" w:lineRule="auto"/>
        <w:ind w:left="0" w:right="0" w:firstLine="453" w:firstLineChars="215"/>
        <w:rPr>
          <w:rFonts w:hint="eastAsia" w:asciiTheme="minorEastAsia" w:hAnsiTheme="minorEastAsia" w:eastAsiaTheme="minorEastAsia" w:cstheme="minorEastAsia"/>
          <w:b w:val="0"/>
          <w:bCs w:val="0"/>
          <w:kern w:val="0"/>
          <w:sz w:val="21"/>
          <w:szCs w:val="21"/>
        </w:rPr>
      </w:pPr>
      <w:bookmarkStart w:id="72" w:name="_Toc29540397"/>
      <w:bookmarkStart w:id="73" w:name="_Toc29480849"/>
      <w:r>
        <w:rPr>
          <w:rFonts w:hint="eastAsia" w:asciiTheme="minorEastAsia" w:hAnsiTheme="minorEastAsia" w:eastAsiaTheme="minorEastAsia" w:cstheme="minorEastAsia"/>
          <w:b/>
          <w:bCs/>
          <w:kern w:val="0"/>
          <w:sz w:val="21"/>
          <w:szCs w:val="21"/>
        </w:rPr>
        <w:t>健全教学诊改机制，加强过程监控</w:t>
      </w:r>
      <w:bookmarkEnd w:id="72"/>
      <w:bookmarkEnd w:id="73"/>
      <w:r>
        <w:rPr>
          <w:rFonts w:hint="eastAsia" w:asciiTheme="minorEastAsia" w:hAnsiTheme="minorEastAsia" w:eastAsiaTheme="minorEastAsia" w:cstheme="minorEastAsia"/>
          <w:b/>
          <w:bCs/>
          <w:kern w:val="0"/>
          <w:sz w:val="21"/>
          <w:szCs w:val="21"/>
          <w:lang w:eastAsia="zh-CN"/>
        </w:rPr>
        <w:t>。</w:t>
      </w:r>
      <w:r>
        <w:rPr>
          <w:rFonts w:hint="eastAsia" w:asciiTheme="minorEastAsia" w:hAnsiTheme="minorEastAsia" w:eastAsiaTheme="minorEastAsia" w:cstheme="minorEastAsia"/>
          <w:b w:val="0"/>
          <w:bCs w:val="0"/>
          <w:kern w:val="0"/>
          <w:sz w:val="21"/>
          <w:szCs w:val="21"/>
        </w:rPr>
        <w:t>全市各中职学校重视教学诊断与改进工作，学校自主诊断、教育行政部门复核、学校落实改进三步走扎实有效。全面推进该项工作任务落实，认真做好各项数据采集，确保数据真实、完整、准确，根据任务方案及进程按时完成数据录入和备案工作。</w:t>
      </w:r>
    </w:p>
    <w:p>
      <w:pPr>
        <w:adjustRightInd/>
        <w:snapToGrid/>
        <w:spacing w:beforeLines="0" w:afterLines="0" w:line="360" w:lineRule="auto"/>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我市职业教育建立了一套比较健全的教学评价信息反馈机制，通过主题教研、座谈会、专题讲座等形式向学校反馈教学评价结果，促进学校教育教学，形成了良性循环。继续扎实开展毕业生职业发展状况跟踪调查。通过毕业生跟踪调查、在校生实习就业情况调研，建立中职学生就业质量、实习质量的评估和监测，形成以企业为主体，以贡献为导向的学校评价模式和以能力为核心的学生评价机制。同时，建立内外部监控机制：内部监控由学校负责，对学校教学过程进行监控；外部监控由杭州市</w:t>
      </w:r>
      <w:r>
        <w:rPr>
          <w:rFonts w:hint="eastAsia" w:asciiTheme="minorEastAsia" w:hAnsiTheme="minorEastAsia" w:eastAsiaTheme="minorEastAsia" w:cstheme="minorEastAsia"/>
          <w:kern w:val="0"/>
          <w:sz w:val="21"/>
          <w:szCs w:val="21"/>
          <w:lang w:eastAsia="zh-CN"/>
        </w:rPr>
        <w:t>教育科学研究院</w:t>
      </w:r>
      <w:r>
        <w:rPr>
          <w:rFonts w:hint="eastAsia" w:asciiTheme="minorEastAsia" w:hAnsiTheme="minorEastAsia" w:eastAsiaTheme="minorEastAsia" w:cstheme="minorEastAsia"/>
          <w:kern w:val="0"/>
          <w:sz w:val="21"/>
          <w:szCs w:val="21"/>
        </w:rPr>
        <w:t>负责，依托统测信息管理平台，借鉴大赛技术标准和高职考试要求,形成赛项模块，逐步构建实训、竞赛、抽测一体的专业技能模块考核评价体系，实现对学校进行评价，即时反馈结果，督促和指导学校更有效地提高教学质量。</w:t>
      </w:r>
      <w:bookmarkStart w:id="74" w:name="_Toc29480850"/>
      <w:bookmarkStart w:id="75" w:name="_Toc29540398"/>
    </w:p>
    <w:p>
      <w:pPr>
        <w:adjustRightInd/>
        <w:snapToGrid/>
        <w:spacing w:beforeLines="0" w:afterLines="0" w:line="360" w:lineRule="auto"/>
        <w:ind w:firstLine="421"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kern w:val="0"/>
          <w:sz w:val="21"/>
          <w:szCs w:val="21"/>
        </w:rPr>
        <w:t>推进质量提升工程，提升办学质量</w:t>
      </w:r>
      <w:bookmarkEnd w:id="74"/>
      <w:bookmarkEnd w:id="75"/>
      <w:r>
        <w:rPr>
          <w:rFonts w:hint="eastAsia" w:asciiTheme="minorEastAsia" w:hAnsiTheme="minorEastAsia" w:eastAsiaTheme="minorEastAsia" w:cstheme="minorEastAsia"/>
          <w:b/>
          <w:bCs/>
          <w:kern w:val="0"/>
          <w:sz w:val="21"/>
          <w:szCs w:val="21"/>
          <w:lang w:eastAsia="zh-CN"/>
        </w:rPr>
        <w:t>。</w:t>
      </w:r>
      <w:r>
        <w:rPr>
          <w:rFonts w:hint="eastAsia" w:asciiTheme="minorEastAsia" w:hAnsiTheme="minorEastAsia" w:eastAsiaTheme="minorEastAsia" w:cstheme="minorEastAsia"/>
          <w:kern w:val="0"/>
          <w:sz w:val="21"/>
          <w:szCs w:val="21"/>
        </w:rPr>
        <w:t>实施省市中等职业教育质量提升工程，着力打造职业教育新品牌。积极组织开展项目申报，评审认定市中职教育质量提升工程</w:t>
      </w:r>
      <w:r>
        <w:rPr>
          <w:rFonts w:hint="eastAsia" w:asciiTheme="minorEastAsia" w:hAnsiTheme="minorEastAsia" w:eastAsiaTheme="minorEastAsia" w:cstheme="minorEastAsia"/>
          <w:kern w:val="0"/>
          <w:sz w:val="21"/>
          <w:szCs w:val="21"/>
          <w:lang w:eastAsia="zh-CN"/>
        </w:rPr>
        <w:t>2</w:t>
      </w:r>
      <w:r>
        <w:rPr>
          <w:rFonts w:hint="eastAsia" w:asciiTheme="minorEastAsia" w:hAnsiTheme="minorEastAsia" w:eastAsiaTheme="minorEastAsia" w:cstheme="minorEastAsia"/>
          <w:kern w:val="0"/>
          <w:sz w:val="21"/>
          <w:szCs w:val="21"/>
          <w:lang w:val="en-US" w:eastAsia="zh-CN"/>
        </w:rPr>
        <w:t>5</w:t>
      </w:r>
      <w:r>
        <w:rPr>
          <w:rFonts w:hint="eastAsia" w:asciiTheme="minorEastAsia" w:hAnsiTheme="minorEastAsia" w:eastAsiaTheme="minorEastAsia" w:cstheme="minorEastAsia"/>
          <w:kern w:val="0"/>
          <w:sz w:val="21"/>
          <w:szCs w:val="21"/>
        </w:rPr>
        <w:t>个项目；成功创建20</w:t>
      </w:r>
      <w:r>
        <w:rPr>
          <w:rFonts w:hint="eastAsia" w:asciiTheme="minorEastAsia" w:hAnsiTheme="minorEastAsia" w:eastAsiaTheme="minorEastAsia" w:cstheme="minorEastAsia"/>
          <w:kern w:val="0"/>
          <w:sz w:val="21"/>
          <w:szCs w:val="21"/>
          <w:lang w:eastAsia="zh-CN"/>
        </w:rPr>
        <w:t>2</w:t>
      </w:r>
      <w:r>
        <w:rPr>
          <w:rFonts w:hint="eastAsia" w:asciiTheme="minorEastAsia" w:hAnsiTheme="minorEastAsia" w:eastAsiaTheme="minorEastAsia" w:cstheme="minorEastAsia"/>
          <w:kern w:val="0"/>
          <w:sz w:val="21"/>
          <w:szCs w:val="21"/>
          <w:lang w:val="en-US" w:eastAsia="zh-CN"/>
        </w:rPr>
        <w:t>0</w:t>
      </w:r>
      <w:r>
        <w:rPr>
          <w:rFonts w:hint="eastAsia" w:asciiTheme="minorEastAsia" w:hAnsiTheme="minorEastAsia" w:eastAsiaTheme="minorEastAsia" w:cstheme="minorEastAsia"/>
          <w:kern w:val="0"/>
          <w:sz w:val="21"/>
          <w:szCs w:val="21"/>
        </w:rPr>
        <w:t>年省“中职质量提升行动计划”建设项目3</w:t>
      </w:r>
      <w:r>
        <w:rPr>
          <w:rFonts w:hint="eastAsia" w:asciiTheme="minorEastAsia" w:hAnsiTheme="minorEastAsia" w:eastAsiaTheme="minorEastAsia" w:cstheme="minorEastAsia"/>
          <w:kern w:val="0"/>
          <w:sz w:val="21"/>
          <w:szCs w:val="21"/>
          <w:lang w:val="en-US" w:eastAsia="zh-CN"/>
        </w:rPr>
        <w:t>5</w:t>
      </w:r>
      <w:r>
        <w:rPr>
          <w:rFonts w:hint="eastAsia" w:asciiTheme="minorEastAsia" w:hAnsiTheme="minorEastAsia" w:eastAsiaTheme="minorEastAsia" w:cstheme="minorEastAsia"/>
          <w:kern w:val="0"/>
          <w:sz w:val="21"/>
          <w:szCs w:val="21"/>
        </w:rPr>
        <w:t>个，其中校企合作共同体</w:t>
      </w:r>
      <w:r>
        <w:rPr>
          <w:rFonts w:hint="eastAsia" w:asciiTheme="minorEastAsia" w:hAnsiTheme="minorEastAsia" w:eastAsiaTheme="minorEastAsia" w:cstheme="minorEastAsia"/>
          <w:kern w:val="0"/>
          <w:sz w:val="21"/>
          <w:szCs w:val="21"/>
          <w:lang w:val="en-US" w:eastAsia="zh-CN"/>
        </w:rPr>
        <w:t>4</w:t>
      </w:r>
      <w:r>
        <w:rPr>
          <w:rFonts w:hint="eastAsia" w:asciiTheme="minorEastAsia" w:hAnsiTheme="minorEastAsia" w:eastAsiaTheme="minorEastAsia" w:cstheme="minorEastAsia"/>
          <w:kern w:val="0"/>
          <w:sz w:val="21"/>
          <w:szCs w:val="21"/>
        </w:rPr>
        <w:t>个、德育品牌</w:t>
      </w:r>
      <w:r>
        <w:rPr>
          <w:rFonts w:hint="eastAsia" w:asciiTheme="minorEastAsia" w:hAnsiTheme="minorEastAsia" w:eastAsiaTheme="minorEastAsia" w:cstheme="minorEastAsia"/>
          <w:kern w:val="0"/>
          <w:sz w:val="21"/>
          <w:szCs w:val="21"/>
          <w:lang w:val="en-US" w:eastAsia="zh-CN"/>
        </w:rPr>
        <w:t>4</w:t>
      </w:r>
      <w:r>
        <w:rPr>
          <w:rFonts w:hint="eastAsia" w:asciiTheme="minorEastAsia" w:hAnsiTheme="minorEastAsia" w:eastAsiaTheme="minorEastAsia" w:cstheme="minorEastAsia"/>
          <w:kern w:val="0"/>
          <w:sz w:val="21"/>
          <w:szCs w:val="21"/>
        </w:rPr>
        <w:t>个、创新创业教育实验室</w:t>
      </w:r>
      <w:r>
        <w:rPr>
          <w:rFonts w:hint="eastAsia" w:asciiTheme="minorEastAsia" w:hAnsiTheme="minorEastAsia" w:eastAsiaTheme="minorEastAsia" w:cstheme="minorEastAsia"/>
          <w:kern w:val="0"/>
          <w:sz w:val="21"/>
          <w:szCs w:val="21"/>
          <w:lang w:val="en-US" w:eastAsia="zh-CN"/>
        </w:rPr>
        <w:t>4</w:t>
      </w:r>
      <w:r>
        <w:rPr>
          <w:rFonts w:hint="eastAsia" w:asciiTheme="minorEastAsia" w:hAnsiTheme="minorEastAsia" w:eastAsiaTheme="minorEastAsia" w:cstheme="minorEastAsia"/>
          <w:kern w:val="0"/>
          <w:sz w:val="21"/>
          <w:szCs w:val="21"/>
        </w:rPr>
        <w:t>个、优秀毕业生典型</w:t>
      </w:r>
      <w:r>
        <w:rPr>
          <w:rFonts w:hint="eastAsia" w:asciiTheme="minorEastAsia" w:hAnsiTheme="minorEastAsia" w:eastAsiaTheme="minorEastAsia" w:cstheme="minorEastAsia"/>
          <w:kern w:val="0"/>
          <w:sz w:val="21"/>
          <w:szCs w:val="21"/>
          <w:lang w:val="en-US" w:eastAsia="zh-CN"/>
        </w:rPr>
        <w:t>4</w:t>
      </w:r>
      <w:r>
        <w:rPr>
          <w:rFonts w:hint="eastAsia" w:asciiTheme="minorEastAsia" w:hAnsiTheme="minorEastAsia" w:eastAsiaTheme="minorEastAsia" w:cstheme="minorEastAsia"/>
          <w:kern w:val="0"/>
          <w:sz w:val="21"/>
          <w:szCs w:val="21"/>
        </w:rPr>
        <w:t>个、学习型城市</w:t>
      </w:r>
      <w:r>
        <w:rPr>
          <w:rFonts w:hint="eastAsia" w:asciiTheme="minorEastAsia" w:hAnsiTheme="minorEastAsia" w:eastAsiaTheme="minorEastAsia" w:cstheme="minorEastAsia"/>
          <w:kern w:val="0"/>
          <w:sz w:val="21"/>
          <w:szCs w:val="21"/>
          <w:lang w:val="en-US" w:eastAsia="zh-CN"/>
        </w:rPr>
        <w:t>2</w:t>
      </w:r>
      <w:r>
        <w:rPr>
          <w:rFonts w:hint="eastAsia" w:asciiTheme="minorEastAsia" w:hAnsiTheme="minorEastAsia" w:eastAsiaTheme="minorEastAsia" w:cstheme="minorEastAsia"/>
          <w:kern w:val="0"/>
          <w:sz w:val="21"/>
          <w:szCs w:val="21"/>
        </w:rPr>
        <w:t>个、现代化成人学校</w:t>
      </w:r>
      <w:r>
        <w:rPr>
          <w:rFonts w:hint="eastAsia" w:asciiTheme="minorEastAsia" w:hAnsiTheme="minorEastAsia" w:eastAsiaTheme="minorEastAsia" w:cstheme="minorEastAsia"/>
          <w:kern w:val="0"/>
          <w:sz w:val="21"/>
          <w:szCs w:val="21"/>
          <w:lang w:val="en-US" w:eastAsia="zh-CN"/>
        </w:rPr>
        <w:t>8</w:t>
      </w:r>
      <w:r>
        <w:rPr>
          <w:rFonts w:hint="eastAsia" w:asciiTheme="minorEastAsia" w:hAnsiTheme="minorEastAsia" w:eastAsiaTheme="minorEastAsia" w:cstheme="minorEastAsia"/>
          <w:kern w:val="0"/>
          <w:sz w:val="21"/>
          <w:szCs w:val="21"/>
        </w:rPr>
        <w:t>所、成教品牌项目</w:t>
      </w:r>
      <w:r>
        <w:rPr>
          <w:rFonts w:hint="eastAsia" w:asciiTheme="minorEastAsia" w:hAnsiTheme="minorEastAsia" w:eastAsiaTheme="minorEastAsia" w:cstheme="minorEastAsia"/>
          <w:kern w:val="0"/>
          <w:sz w:val="21"/>
          <w:szCs w:val="21"/>
          <w:lang w:val="en-US" w:eastAsia="zh-CN"/>
        </w:rPr>
        <w:t>9</w:t>
      </w:r>
      <w:r>
        <w:rPr>
          <w:rFonts w:hint="eastAsia" w:asciiTheme="minorEastAsia" w:hAnsiTheme="minorEastAsia" w:eastAsiaTheme="minorEastAsia" w:cstheme="minorEastAsia"/>
          <w:kern w:val="0"/>
          <w:sz w:val="21"/>
          <w:szCs w:val="21"/>
        </w:rPr>
        <w:t xml:space="preserve">个。 </w:t>
      </w:r>
    </w:p>
    <w:p>
      <w:pPr>
        <w:adjustRightInd/>
        <w:snapToGrid/>
        <w:spacing w:beforeLines="0" w:afterLines="0" w:line="360" w:lineRule="auto"/>
        <w:ind w:firstLine="420" w:firstLineChars="200"/>
        <w:rPr>
          <w:rFonts w:hint="eastAsia" w:asciiTheme="minorEastAsia" w:hAnsiTheme="minorEastAsia" w:eastAsiaTheme="minorEastAsia" w:cstheme="minorEastAsia"/>
          <w:b w:val="0"/>
          <w:bCs w:val="0"/>
          <w:kern w:val="0"/>
          <w:sz w:val="21"/>
          <w:szCs w:val="21"/>
          <w:lang w:eastAsia="zh-CN"/>
        </w:rPr>
      </w:pPr>
      <w:r>
        <w:rPr>
          <w:rFonts w:hint="eastAsia" w:asciiTheme="minorEastAsia" w:hAnsiTheme="minorEastAsia" w:eastAsiaTheme="minorEastAsia" w:cstheme="minorEastAsia"/>
          <w:kern w:val="0"/>
          <w:sz w:val="21"/>
          <w:szCs w:val="21"/>
        </w:rPr>
        <w:t>加强建设过程督导，顺利完成了201</w:t>
      </w:r>
      <w:r>
        <w:rPr>
          <w:rFonts w:hint="eastAsia" w:asciiTheme="minorEastAsia" w:hAnsiTheme="minorEastAsia" w:eastAsiaTheme="minorEastAsia" w:cstheme="minorEastAsia"/>
          <w:kern w:val="0"/>
          <w:sz w:val="21"/>
          <w:szCs w:val="21"/>
          <w:lang w:val="en-US" w:eastAsia="zh-CN"/>
        </w:rPr>
        <w:t>9</w:t>
      </w:r>
      <w:r>
        <w:rPr>
          <w:rFonts w:hint="eastAsia" w:asciiTheme="minorEastAsia" w:hAnsiTheme="minorEastAsia" w:eastAsiaTheme="minorEastAsia" w:cstheme="minorEastAsia"/>
          <w:kern w:val="0"/>
          <w:sz w:val="21"/>
          <w:szCs w:val="21"/>
        </w:rPr>
        <w:t xml:space="preserve"> 年市中职教育质量提升工程项目第一轮年度绩效考核检查工作</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2017 年市中职教育质量提升工程项目</w:t>
      </w:r>
      <w:r>
        <w:rPr>
          <w:rFonts w:hint="eastAsia" w:asciiTheme="minorEastAsia" w:hAnsiTheme="minorEastAsia" w:eastAsiaTheme="minorEastAsia" w:cstheme="minorEastAsia"/>
          <w:kern w:val="0"/>
          <w:sz w:val="21"/>
          <w:szCs w:val="21"/>
          <w:lang w:eastAsia="zh-CN"/>
        </w:rPr>
        <w:t>立项验收和</w:t>
      </w:r>
      <w:r>
        <w:rPr>
          <w:rFonts w:hint="eastAsia" w:asciiTheme="minorEastAsia" w:hAnsiTheme="minorEastAsia" w:eastAsiaTheme="minorEastAsia" w:cstheme="minorEastAsia"/>
          <w:kern w:val="0"/>
          <w:sz w:val="21"/>
          <w:szCs w:val="21"/>
          <w:lang w:val="en-US" w:eastAsia="zh-CN"/>
        </w:rPr>
        <w:t>2018年立项项目</w:t>
      </w:r>
      <w:r>
        <w:rPr>
          <w:rFonts w:hint="eastAsia" w:asciiTheme="minorEastAsia" w:hAnsiTheme="minorEastAsia" w:eastAsiaTheme="minorEastAsia" w:cstheme="minorEastAsia"/>
          <w:kern w:val="0"/>
          <w:sz w:val="21"/>
          <w:szCs w:val="21"/>
        </w:rPr>
        <w:t>第二轮年度绩效考核实地检查工作。</w:t>
      </w:r>
    </w:p>
    <w:p>
      <w:pPr>
        <w:wordWrap/>
        <w:adjustRightInd/>
        <w:snapToGrid/>
        <w:spacing w:beforeLines="0" w:afterLines="0" w:line="360" w:lineRule="auto"/>
        <w:ind w:firstLine="421" w:firstLineChars="200"/>
        <w:jc w:val="both"/>
        <w:textAlignment w:val="auto"/>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bCs/>
          <w:color w:val="auto"/>
          <w:sz w:val="21"/>
          <w:szCs w:val="21"/>
          <w:lang w:val="en-US" w:eastAsia="zh-CN"/>
        </w:rPr>
        <w:t>优质资源支撑质量，</w:t>
      </w:r>
      <w:r>
        <w:rPr>
          <w:rFonts w:hint="eastAsia" w:asciiTheme="minorEastAsia" w:hAnsiTheme="minorEastAsia" w:eastAsiaTheme="minorEastAsia" w:cstheme="minorEastAsia"/>
          <w:b/>
          <w:bCs/>
          <w:kern w:val="0"/>
          <w:sz w:val="21"/>
          <w:szCs w:val="21"/>
        </w:rPr>
        <w:t>信息技术赋能教育</w:t>
      </w:r>
      <w:r>
        <w:rPr>
          <w:rFonts w:hint="eastAsia" w:asciiTheme="minorEastAsia" w:hAnsiTheme="minorEastAsia" w:eastAsiaTheme="minorEastAsia" w:cstheme="minorEastAsia"/>
          <w:b/>
          <w:bCs/>
          <w:color w:val="auto"/>
          <w:sz w:val="21"/>
          <w:szCs w:val="21"/>
          <w:lang w:val="en-US" w:eastAsia="zh-CN"/>
        </w:rPr>
        <w:t>。</w:t>
      </w:r>
      <w:r>
        <w:rPr>
          <w:rFonts w:hint="eastAsia" w:asciiTheme="minorEastAsia" w:hAnsiTheme="minorEastAsia" w:eastAsiaTheme="minorEastAsia" w:cstheme="minorEastAsia"/>
          <w:b w:val="0"/>
          <w:bCs w:val="0"/>
          <w:color w:val="auto"/>
          <w:kern w:val="0"/>
          <w:sz w:val="21"/>
          <w:szCs w:val="21"/>
        </w:rPr>
        <w:t>疫情期间，杭州中职高质量的课程资源储备，既服务了本土学生，保障了教学的有序高效，同时也辐射了省内甚至国内相关地市的兄弟学校，实现资源共享。优质课程储备让杭州从容应对，杭州中职为全省乃至全国提供了一批高质量标准化的在线课程资源</w:t>
      </w:r>
      <w:r>
        <w:rPr>
          <w:rFonts w:hint="eastAsia" w:asciiTheme="minorEastAsia" w:hAnsiTheme="minorEastAsia" w:eastAsiaTheme="minorEastAsia" w:cstheme="minorEastAsia"/>
          <w:b w:val="0"/>
          <w:bCs w:val="0"/>
          <w:color w:val="auto"/>
          <w:kern w:val="0"/>
          <w:sz w:val="21"/>
          <w:szCs w:val="21"/>
          <w:lang w:eastAsia="zh-CN"/>
        </w:rPr>
        <w:t>。</w:t>
      </w:r>
      <w:r>
        <w:rPr>
          <w:rFonts w:hint="eastAsia" w:asciiTheme="minorEastAsia" w:hAnsiTheme="minorEastAsia" w:eastAsiaTheme="minorEastAsia" w:cstheme="minorEastAsia"/>
          <w:b w:val="0"/>
          <w:bCs w:val="0"/>
          <w:color w:val="auto"/>
          <w:kern w:val="0"/>
          <w:sz w:val="21"/>
          <w:szCs w:val="21"/>
        </w:rPr>
        <w:t>杭州中职开发了1327节在线课程，参与教师3465人，占专任教师总数的69%，参与学习的市本级学生达48591人。课程将技能实操与教学标准有机结合，开发了符合行业要求与技能考核要求的精准在线教学实训资源。</w:t>
      </w:r>
      <w:bookmarkStart w:id="76" w:name="_Toc29047003"/>
      <w:bookmarkStart w:id="77" w:name="_Toc3720"/>
    </w:p>
    <w:bookmarkEnd w:id="76"/>
    <w:bookmarkEnd w:id="77"/>
    <w:p>
      <w:pPr>
        <w:pStyle w:val="20"/>
        <w:shd w:val="clear" w:color="auto" w:fill="FFFFFF"/>
        <w:spacing w:before="0" w:beforeLines="0" w:beforeAutospacing="0" w:after="0" w:afterLines="0" w:afterAutospacing="0" w:line="360" w:lineRule="auto"/>
        <w:ind w:firstLine="482"/>
        <w:jc w:val="both"/>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2020年全省中职学校教师信息化教学设计与说课大赛，杭州代表队共获一等奖17个，二等奖19个，三等奖20个, 总成绩和奖牌数名列全省第一名。在全省中等职业学校职业能力大赛“信息化教学”赛项中，杭州市代表队取得了5个一等奖，7个二等奖，3个三等奖的骄人战绩，并获得4个国赛名额，并在国赛中取得了</w:t>
      </w:r>
      <w:r>
        <w:rPr>
          <w:rFonts w:hint="eastAsia" w:asciiTheme="minorEastAsia" w:hAnsiTheme="minorEastAsia" w:eastAsiaTheme="minorEastAsia" w:cstheme="minorEastAsia"/>
          <w:b w:val="0"/>
          <w:bCs w:val="0"/>
          <w:kern w:val="0"/>
          <w:sz w:val="21"/>
          <w:szCs w:val="21"/>
          <w:lang w:eastAsia="zh-CN"/>
        </w:rPr>
        <w:t>1</w:t>
      </w:r>
      <w:r>
        <w:rPr>
          <w:rFonts w:hint="eastAsia" w:asciiTheme="minorEastAsia" w:hAnsiTheme="minorEastAsia" w:eastAsiaTheme="minorEastAsia" w:cstheme="minorEastAsia"/>
          <w:b w:val="0"/>
          <w:bCs w:val="0"/>
          <w:kern w:val="0"/>
          <w:sz w:val="21"/>
          <w:szCs w:val="21"/>
        </w:rPr>
        <w:t>金</w:t>
      </w:r>
      <w:r>
        <w:rPr>
          <w:rFonts w:hint="eastAsia" w:asciiTheme="minorEastAsia" w:hAnsiTheme="minorEastAsia" w:eastAsiaTheme="minorEastAsia" w:cstheme="minorEastAsia"/>
          <w:b w:val="0"/>
          <w:bCs w:val="0"/>
          <w:kern w:val="0"/>
          <w:sz w:val="21"/>
          <w:szCs w:val="21"/>
          <w:lang w:eastAsia="zh-CN"/>
        </w:rPr>
        <w:t>3</w:t>
      </w:r>
      <w:r>
        <w:rPr>
          <w:rFonts w:hint="eastAsia" w:asciiTheme="minorEastAsia" w:hAnsiTheme="minorEastAsia" w:eastAsiaTheme="minorEastAsia" w:cstheme="minorEastAsia"/>
          <w:b w:val="0"/>
          <w:bCs w:val="0"/>
          <w:kern w:val="0"/>
          <w:sz w:val="21"/>
          <w:szCs w:val="21"/>
        </w:rPr>
        <w:t>铜的好成绩，其中中策职</w:t>
      </w:r>
      <w:r>
        <w:rPr>
          <w:rFonts w:hint="eastAsia" w:asciiTheme="minorEastAsia" w:hAnsiTheme="minorEastAsia" w:eastAsiaTheme="minorEastAsia" w:cstheme="minorEastAsia"/>
          <w:b w:val="0"/>
          <w:bCs w:val="0"/>
          <w:kern w:val="0"/>
          <w:sz w:val="21"/>
          <w:szCs w:val="21"/>
          <w:lang w:eastAsia="zh-CN"/>
        </w:rPr>
        <w:t>校</w:t>
      </w:r>
      <w:r>
        <w:rPr>
          <w:rFonts w:hint="eastAsia" w:asciiTheme="minorEastAsia" w:hAnsiTheme="minorEastAsia" w:eastAsiaTheme="minorEastAsia" w:cstheme="minorEastAsia"/>
          <w:b w:val="0"/>
          <w:bCs w:val="0"/>
          <w:kern w:val="0"/>
          <w:sz w:val="21"/>
          <w:szCs w:val="21"/>
        </w:rPr>
        <w:t>的环保专业获得全国比赛一等奖，成为浙江省“信息化教学”大赛的最大赢家。</w:t>
      </w:r>
    </w:p>
    <w:p>
      <w:pPr>
        <w:pStyle w:val="20"/>
        <w:shd w:val="clear" w:color="auto" w:fill="FFFFFF"/>
        <w:spacing w:before="157" w:beforeLines="50" w:beforeAutospacing="0" w:after="0" w:afterLines="0" w:afterAutospacing="0" w:line="360" w:lineRule="auto"/>
        <w:ind w:firstLine="421" w:firstLineChars="200"/>
        <w:jc w:val="both"/>
        <w:rPr>
          <w:rFonts w:hint="eastAsia" w:ascii="楷体_GB2312" w:hAnsi="楷体_GB2312" w:eastAsia="楷体_GB2312" w:cs="楷体_GB2312"/>
          <w:b/>
          <w:bCs/>
          <w:color w:val="auto"/>
          <w:kern w:val="44"/>
          <w:sz w:val="21"/>
          <w:szCs w:val="21"/>
          <w:lang w:val="en-US" w:eastAsia="zh-CN" w:bidi="ar-SA"/>
        </w:rPr>
      </w:pPr>
      <w:r>
        <w:rPr>
          <w:rFonts w:hint="eastAsia" w:ascii="楷体_GB2312" w:hAnsi="楷体_GB2312" w:eastAsia="楷体_GB2312" w:cs="楷体_GB2312"/>
          <w:b/>
          <w:bCs/>
          <w:color w:val="auto"/>
          <w:kern w:val="44"/>
          <w:sz w:val="21"/>
          <w:szCs w:val="21"/>
          <w:lang w:val="zh-CN" w:eastAsia="zh-CN" w:bidi="ar-SA"/>
        </w:rPr>
        <w:t>【案例</w:t>
      </w:r>
      <w:r>
        <w:rPr>
          <w:rFonts w:hint="eastAsia" w:ascii="楷体_GB2312" w:hAnsi="楷体_GB2312" w:eastAsia="楷体_GB2312" w:cs="楷体_GB2312"/>
          <w:b/>
          <w:bCs/>
          <w:color w:val="auto"/>
          <w:kern w:val="44"/>
          <w:sz w:val="21"/>
          <w:szCs w:val="21"/>
          <w:lang w:val="en-US" w:eastAsia="zh-CN" w:bidi="ar-SA"/>
        </w:rPr>
        <w:t>3-2</w:t>
      </w:r>
      <w:r>
        <w:rPr>
          <w:rFonts w:hint="eastAsia" w:ascii="楷体_GB2312" w:hAnsi="楷体_GB2312" w:eastAsia="楷体_GB2312" w:cs="楷体_GB2312"/>
          <w:b/>
          <w:bCs/>
          <w:color w:val="auto"/>
          <w:kern w:val="44"/>
          <w:sz w:val="21"/>
          <w:szCs w:val="21"/>
          <w:lang w:val="zh-CN" w:eastAsia="zh-CN" w:bidi="ar-SA"/>
        </w:rPr>
        <w:t>】</w:t>
      </w:r>
      <w:r>
        <w:rPr>
          <w:rFonts w:hint="eastAsia" w:ascii="楷体_GB2312" w:hAnsi="楷体_GB2312" w:eastAsia="楷体_GB2312" w:cs="楷体_GB2312"/>
          <w:b/>
          <w:bCs/>
          <w:color w:val="auto"/>
          <w:kern w:val="44"/>
          <w:sz w:val="21"/>
          <w:szCs w:val="21"/>
          <w:lang w:val="en-US" w:eastAsia="zh-CN" w:bidi="ar-SA"/>
        </w:rPr>
        <w:t>共同抗疫：“共享课堂”保障在线教学质量</w:t>
      </w:r>
    </w:p>
    <w:p>
      <w:pPr>
        <w:pStyle w:val="20"/>
        <w:widowControl/>
        <w:shd w:val="clear" w:color="auto" w:fill="FFFFFF"/>
        <w:wordWrap/>
        <w:spacing w:before="0" w:beforeLines="0" w:beforeAutospacing="0" w:after="0" w:afterLines="0" w:afterAutospacing="0" w:line="360" w:lineRule="auto"/>
        <w:ind w:right="0" w:firstLine="420" w:firstLineChars="200"/>
        <w:jc w:val="both"/>
        <w:textAlignment w:val="auto"/>
        <w:outlineLvl w:val="0"/>
        <w:rPr>
          <w:rFonts w:hint="eastAsia" w:ascii="仿宋_GB2312" w:hAnsi="仿宋_GB2312" w:eastAsia="仿宋_GB2312" w:cs="仿宋_GB2312"/>
          <w:sz w:val="21"/>
          <w:szCs w:val="21"/>
          <w:lang w:val="zh-CN" w:eastAsia="zh-CN"/>
        </w:rPr>
      </w:pPr>
      <w:r>
        <w:rPr>
          <w:rFonts w:hint="eastAsia" w:ascii="仿宋_GB2312" w:hAnsi="仿宋_GB2312" w:eastAsia="仿宋_GB2312" w:cs="仿宋_GB2312"/>
          <w:sz w:val="21"/>
          <w:szCs w:val="21"/>
          <w:lang w:val="zh-CN" w:eastAsia="zh-CN"/>
        </w:rPr>
        <w:t>杭州市电子信息职业学校与企业携手，为计算机专业学生搭建在线实训平台。实训平台集学生实训、自动批阅、成绩报表、仿真资源于一体，包含中职计算机专业4门核心课程，满足学生居家技能实训，解决实训难、批改难、反馈难等问题。</w:t>
      </w:r>
    </w:p>
    <w:p>
      <w:pPr>
        <w:widowControl/>
        <w:shd w:val="clear" w:color="auto" w:fill="FFFFFF"/>
        <w:wordWrap/>
        <w:spacing w:beforeLines="0" w:afterLines="0" w:line="360" w:lineRule="auto"/>
        <w:ind w:left="0" w:leftChars="0" w:right="0" w:firstLine="420" w:firstLineChars="200"/>
        <w:jc w:val="both"/>
        <w:textAlignment w:val="baseline"/>
        <w:outlineLvl w:val="0"/>
        <w:rPr>
          <w:rFonts w:hint="eastAsia" w:ascii="仿宋_GB2312" w:hAnsi="仿宋_GB2312" w:eastAsia="仿宋_GB2312" w:cs="仿宋_GB2312"/>
          <w:sz w:val="21"/>
          <w:szCs w:val="21"/>
          <w:lang w:val="zh-CN" w:eastAsia="zh-CN"/>
        </w:rPr>
      </w:pPr>
      <w:r>
        <w:rPr>
          <w:rFonts w:hint="eastAsia" w:ascii="仿宋_GB2312" w:hAnsi="仿宋_GB2312" w:eastAsia="仿宋_GB2312" w:cs="仿宋_GB2312"/>
          <w:sz w:val="21"/>
          <w:szCs w:val="21"/>
          <w:lang w:val="zh-CN" w:eastAsia="zh-CN"/>
        </w:rPr>
        <w:t>杭州市交通职业高级中学把汽车实训车间搬到了线上，开展汽车底盘实训课程，按照企业实际工作环境汽车虚拟实训车间，引导学生基于任务开展自主学习、探究学习，同时以游戏化的形式实现了汽车实训课的线上教学。教学平台将汽车和维修工具等资源1:1真实建模，用玩游戏的方式让学生在虚拟操作中学习方法，在游戏过程中掌握知识，方便快捷掌握技能学习点。学习平台还能一键生成学生学习的数据和评价，帮助老师掌握学生学习情况，及时调整教学目标和教学内容，引导学生发现和解决问题，提高了课堂学习效率。</w:t>
      </w:r>
    </w:p>
    <w:p>
      <w:pPr>
        <w:widowControl/>
        <w:shd w:val="clear" w:color="auto" w:fill="FFFFFF"/>
        <w:wordWrap/>
        <w:spacing w:beforeLines="0" w:afterLines="0" w:line="360" w:lineRule="auto"/>
        <w:ind w:left="0" w:leftChars="0" w:right="0" w:firstLine="420" w:firstLineChars="200"/>
        <w:jc w:val="both"/>
        <w:textAlignment w:val="baseline"/>
        <w:outlineLvl w:val="0"/>
        <w:rPr>
          <w:rFonts w:hint="eastAsia" w:ascii="仿宋_GB2312" w:hAnsi="仿宋_GB2312" w:eastAsia="仿宋_GB2312" w:cs="仿宋_GB2312"/>
          <w:sz w:val="21"/>
          <w:szCs w:val="21"/>
          <w:lang w:val="zh-CN" w:eastAsia="zh-CN"/>
        </w:rPr>
      </w:pPr>
      <w:r>
        <w:rPr>
          <w:rFonts w:hint="eastAsia" w:ascii="仿宋_GB2312" w:hAnsi="仿宋_GB2312" w:eastAsia="仿宋_GB2312" w:cs="仿宋_GB2312"/>
          <w:sz w:val="21"/>
          <w:szCs w:val="21"/>
          <w:lang w:val="zh-CN" w:eastAsia="zh-CN"/>
        </w:rPr>
        <w:t>杭州市开元商贸职业学校组织“云上贸易节”，由学校教师和企业专家为主体，根据线上营销的特点开发系列线上实战课程，搭建网商活动平台、制定网红营销策划方案，培训网上开店流程、活动选品、促销活动设置、直播使用、主播带货等，让学生云上学技能，开网店更有底气。</w:t>
      </w:r>
    </w:p>
    <w:p>
      <w:pPr>
        <w:widowControl/>
        <w:shd w:val="clear" w:color="auto" w:fill="FFFFFF"/>
        <w:wordWrap/>
        <w:spacing w:beforeLines="0" w:afterLines="0" w:line="360" w:lineRule="auto"/>
        <w:ind w:left="0" w:leftChars="0" w:right="0" w:firstLine="420" w:firstLineChars="200"/>
        <w:jc w:val="both"/>
        <w:textAlignment w:val="baseline"/>
        <w:outlineLvl w:val="0"/>
        <w:rPr>
          <w:rFonts w:hint="eastAsia" w:ascii="仿宋_GB2312" w:hAnsi="仿宋_GB2312" w:eastAsia="仿宋_GB2312" w:cs="仿宋_GB2312"/>
          <w:sz w:val="21"/>
          <w:szCs w:val="21"/>
          <w:lang w:val="zh-CN" w:eastAsia="zh-CN"/>
        </w:rPr>
      </w:pPr>
      <w:r>
        <w:rPr>
          <w:rFonts w:hint="eastAsia" w:ascii="仿宋_GB2312" w:hAnsi="仿宋_GB2312" w:eastAsia="仿宋_GB2312" w:cs="仿宋_GB2312"/>
          <w:sz w:val="21"/>
          <w:szCs w:val="21"/>
          <w:lang w:val="zh-CN" w:eastAsia="zh-CN"/>
        </w:rPr>
        <w:t>疫情期间，杭州中职为全省乃至全国提供了一批高质量标准化的在线课程资源，浙江省电子电工在线教学资源库由杭州中职团队研发，浙江省中职英语高一的线上课程资源全部来源于杭州。杭州市中职信息技术学科大组应贵州省台江职校的请求，为该校专门设计了机房配置和人工智能设备清单。为此，还专门建立了台江职校的教师培训群，为他们单独辅导详细讲解，取得了较好的教学效果。</w:t>
      </w:r>
    </w:p>
    <w:p>
      <w:pPr>
        <w:keepNext w:val="0"/>
        <w:keepLines w:val="0"/>
        <w:widowControl/>
        <w:shd w:val="clear" w:color="auto" w:fill="FFFFFF"/>
        <w:adjustRightInd/>
        <w:snapToGrid/>
        <w:spacing w:before="157" w:beforeLines="50" w:after="0" w:afterLines="0" w:line="360" w:lineRule="auto"/>
        <w:ind w:firstLine="450" w:firstLineChars="150"/>
        <w:jc w:val="left"/>
        <w:textAlignment w:val="baseline"/>
        <w:outlineLvl w:val="0"/>
        <w:rPr>
          <w:rFonts w:hint="eastAsia" w:ascii="黑体" w:hAnsi="黑体" w:eastAsia="黑体" w:cs="黑体"/>
          <w:b w:val="0"/>
          <w:bCs w:val="0"/>
          <w:color w:val="auto"/>
          <w:kern w:val="44"/>
          <w:sz w:val="30"/>
          <w:szCs w:val="30"/>
        </w:rPr>
      </w:pPr>
      <w:bookmarkStart w:id="78" w:name="_Toc34559990"/>
      <w:bookmarkStart w:id="79" w:name="_Toc32840367"/>
      <w:bookmarkStart w:id="80" w:name="_Toc1812073602_WPSOffice_Level2"/>
      <w:bookmarkStart w:id="81" w:name="_Toc247496736_WPSOffice_Level2"/>
      <w:r>
        <w:rPr>
          <w:rFonts w:hint="eastAsia" w:ascii="黑体" w:hAnsi="黑体" w:eastAsia="黑体" w:cs="黑体"/>
          <w:b w:val="0"/>
          <w:bCs w:val="0"/>
          <w:color w:val="auto"/>
          <w:kern w:val="44"/>
          <w:sz w:val="30"/>
          <w:szCs w:val="30"/>
        </w:rPr>
        <w:t xml:space="preserve">3.3 </w:t>
      </w:r>
      <w:bookmarkEnd w:id="78"/>
      <w:bookmarkEnd w:id="79"/>
      <w:bookmarkStart w:id="82" w:name="_Toc32840368"/>
      <w:bookmarkStart w:id="83" w:name="_Toc34559991"/>
      <w:r>
        <w:rPr>
          <w:rFonts w:hint="eastAsia" w:ascii="黑体" w:hAnsi="黑体" w:eastAsia="黑体" w:cs="黑体"/>
          <w:b w:val="0"/>
          <w:bCs w:val="0"/>
          <w:color w:val="auto"/>
          <w:kern w:val="44"/>
          <w:sz w:val="30"/>
          <w:szCs w:val="30"/>
        </w:rPr>
        <w:t>教师培养</w:t>
      </w:r>
      <w:bookmarkEnd w:id="80"/>
      <w:bookmarkEnd w:id="81"/>
      <w:bookmarkEnd w:id="82"/>
      <w:bookmarkEnd w:id="83"/>
    </w:p>
    <w:p>
      <w:pPr>
        <w:keepNext w:val="0"/>
        <w:keepLines w:val="0"/>
        <w:widowControl/>
        <w:shd w:val="clear" w:color="auto" w:fill="FFFFFF"/>
        <w:adjustRightInd/>
        <w:snapToGrid/>
        <w:spacing w:beforeLines="0" w:afterLines="0" w:line="360" w:lineRule="auto"/>
        <w:ind w:firstLine="420" w:firstLineChars="200"/>
        <w:jc w:val="distribute"/>
        <w:textAlignment w:val="baseline"/>
        <w:outlineLvl w:val="0"/>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bidi="ar-SA"/>
        </w:rPr>
        <w:t>按照“统筹规划、改革创新、按需施训、注重实效”的原则，</w:t>
      </w:r>
      <w:r>
        <w:rPr>
          <w:rFonts w:hint="eastAsia" w:ascii="宋体" w:hAnsi="宋体" w:cs="宋体"/>
          <w:b w:val="0"/>
          <w:bCs w:val="0"/>
          <w:kern w:val="0"/>
          <w:sz w:val="21"/>
          <w:szCs w:val="21"/>
          <w:lang w:val="en-US" w:eastAsia="zh-CN" w:bidi="ar-SA"/>
        </w:rPr>
        <w:t>结合疫情防控要求</w:t>
      </w:r>
      <w:r>
        <w:rPr>
          <w:rFonts w:hint="eastAsia" w:ascii="宋体" w:hAnsi="宋体" w:eastAsia="宋体" w:cs="宋体"/>
          <w:b w:val="0"/>
          <w:bCs w:val="0"/>
          <w:kern w:val="0"/>
          <w:sz w:val="21"/>
          <w:szCs w:val="21"/>
          <w:lang w:val="en-US" w:eastAsia="zh-CN" w:bidi="ar-SA"/>
        </w:rPr>
        <w:t>，省市各级各类培训按照必须、稳定、安全的原则有序开展线上线下相结合的培训</w:t>
      </w:r>
      <w:r>
        <w:rPr>
          <w:rFonts w:hint="eastAsia" w:ascii="宋体" w:hAnsi="宋体" w:cs="宋体"/>
          <w:b w:val="0"/>
          <w:bCs w:val="0"/>
          <w:kern w:val="0"/>
          <w:sz w:val="21"/>
          <w:szCs w:val="21"/>
          <w:lang w:val="en-US" w:eastAsia="zh-CN" w:bidi="ar-SA"/>
        </w:rPr>
        <w:t>形式</w:t>
      </w:r>
      <w:r>
        <w:rPr>
          <w:rFonts w:hint="eastAsia" w:ascii="宋体" w:hAnsi="宋体" w:eastAsia="宋体" w:cs="宋体"/>
          <w:b w:val="0"/>
          <w:bCs w:val="0"/>
          <w:kern w:val="0"/>
          <w:sz w:val="21"/>
          <w:szCs w:val="21"/>
          <w:lang w:val="en-US" w:eastAsia="zh-CN" w:bidi="ar-SA"/>
        </w:rPr>
        <w:t>，线下培训主要集中在下半年，创新培训模式机制，增强培训针对性和实效性。主要开展了常规指令性培训，充分利用培训资源，最大限度满足教师的培训需求，有效提高了教师队伍的整体水平。</w:t>
      </w:r>
    </w:p>
    <w:p>
      <w:pPr>
        <w:keepNext w:val="0"/>
        <w:keepLines w:val="0"/>
        <w:widowControl/>
        <w:shd w:val="clear" w:color="auto" w:fill="FFFFFF"/>
        <w:adjustRightInd/>
        <w:snapToGrid/>
        <w:spacing w:beforeLines="0" w:afterLines="0" w:line="360" w:lineRule="auto"/>
        <w:ind w:firstLine="420" w:firstLineChars="200"/>
        <w:jc w:val="both"/>
        <w:textAlignment w:val="baseline"/>
        <w:outlineLvl w:val="0"/>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bidi="ar-SA"/>
        </w:rPr>
        <w:t>2020年，我市顺利完成非师范类专业课教师培训、省级和国家级指令性培训任务，认真完成省培下达的培训任务。其中省非师范类专业课教师培训人数37人，落实职业院校骨干教师</w:t>
      </w:r>
      <w:r>
        <w:rPr>
          <w:rFonts w:hint="eastAsia" w:ascii="宋体" w:hAnsi="宋体" w:cs="宋体"/>
          <w:b w:val="0"/>
          <w:bCs w:val="0"/>
          <w:kern w:val="0"/>
          <w:sz w:val="21"/>
          <w:szCs w:val="21"/>
          <w:lang w:val="en-US" w:eastAsia="zh-CN" w:bidi="ar-SA"/>
        </w:rPr>
        <w:t>省级</w:t>
      </w:r>
      <w:r>
        <w:rPr>
          <w:rFonts w:hint="eastAsia" w:ascii="宋体" w:hAnsi="宋体" w:eastAsia="宋体" w:cs="宋体"/>
          <w:b w:val="0"/>
          <w:bCs w:val="0"/>
          <w:kern w:val="0"/>
          <w:sz w:val="21"/>
          <w:szCs w:val="21"/>
          <w:lang w:val="en-US" w:eastAsia="zh-CN" w:bidi="ar-SA"/>
        </w:rPr>
        <w:t>培训46人，落实国家中等职业学校10门公共基础课课程标准线上培训的报名工作。2020年度市级培训主要有两类</w:t>
      </w:r>
      <w:r>
        <w:rPr>
          <w:rFonts w:hint="eastAsia" w:ascii="宋体" w:hAnsi="宋体" w:cs="宋体"/>
          <w:b w:val="0"/>
          <w:bCs w:val="0"/>
          <w:kern w:val="0"/>
          <w:sz w:val="21"/>
          <w:szCs w:val="21"/>
          <w:lang w:val="en-US" w:eastAsia="zh-CN" w:bidi="ar-SA"/>
        </w:rPr>
        <w:t>：</w:t>
      </w:r>
      <w:r>
        <w:rPr>
          <w:rFonts w:hint="eastAsia" w:ascii="宋体" w:hAnsi="宋体" w:eastAsia="宋体" w:cs="宋体"/>
          <w:b w:val="0"/>
          <w:bCs w:val="0"/>
          <w:kern w:val="0"/>
          <w:sz w:val="21"/>
          <w:szCs w:val="21"/>
          <w:lang w:val="en-US" w:eastAsia="zh-CN" w:bidi="ar-SA"/>
        </w:rPr>
        <w:t>高端人才培训、常规指令性培训。高端人才培训包括杭州市中等职业学校名校长高级研修班、杭州市中职教育名师培育工程，合计培训人数达90余人；常规指令性培训主要开展了市、区（县）两级教研人员的自身素质培训、教学校长与教研员培训、杭州市中职机械和财经</w:t>
      </w:r>
      <w:r>
        <w:rPr>
          <w:rFonts w:hint="eastAsia" w:ascii="宋体" w:hAnsi="宋体" w:cs="宋体"/>
          <w:b w:val="0"/>
          <w:bCs w:val="0"/>
          <w:kern w:val="0"/>
          <w:sz w:val="21"/>
          <w:szCs w:val="21"/>
          <w:lang w:val="en-US" w:eastAsia="zh-CN" w:bidi="ar-SA"/>
        </w:rPr>
        <w:t>专业</w:t>
      </w:r>
      <w:r>
        <w:rPr>
          <w:rFonts w:hint="eastAsia" w:ascii="宋体" w:hAnsi="宋体" w:eastAsia="宋体" w:cs="宋体"/>
          <w:b w:val="0"/>
          <w:bCs w:val="0"/>
          <w:kern w:val="0"/>
          <w:sz w:val="21"/>
          <w:szCs w:val="21"/>
          <w:lang w:val="en-US" w:eastAsia="zh-CN" w:bidi="ar-SA"/>
        </w:rPr>
        <w:t>青年</w:t>
      </w:r>
      <w:r>
        <w:rPr>
          <w:rFonts w:hint="eastAsia" w:ascii="宋体" w:hAnsi="宋体" w:cs="宋体"/>
          <w:b w:val="0"/>
          <w:bCs w:val="0"/>
          <w:kern w:val="0"/>
          <w:sz w:val="21"/>
          <w:szCs w:val="21"/>
          <w:lang w:val="en-US" w:eastAsia="zh-CN" w:bidi="ar-SA"/>
        </w:rPr>
        <w:t>教师</w:t>
      </w:r>
      <w:r>
        <w:rPr>
          <w:rFonts w:hint="eastAsia" w:ascii="宋体" w:hAnsi="宋体" w:eastAsia="宋体" w:cs="宋体"/>
          <w:b w:val="0"/>
          <w:bCs w:val="0"/>
          <w:kern w:val="0"/>
          <w:sz w:val="21"/>
          <w:szCs w:val="21"/>
          <w:lang w:val="en-US" w:eastAsia="zh-CN" w:bidi="ar-SA"/>
        </w:rPr>
        <w:t>培训、“1+X” 证书制度试点师资培训、教师教学能力大赛师资培训，完成专项培训达300余人次。</w:t>
      </w:r>
    </w:p>
    <w:p>
      <w:pPr>
        <w:widowControl w:val="0"/>
        <w:wordWrap/>
        <w:adjustRightInd/>
        <w:snapToGrid/>
        <w:spacing w:before="157" w:beforeLines="50" w:afterLines="0" w:line="360" w:lineRule="auto"/>
        <w:ind w:left="0" w:leftChars="0" w:right="0" w:firstLine="421" w:firstLineChars="200"/>
        <w:jc w:val="left"/>
        <w:textAlignment w:val="auto"/>
        <w:outlineLvl w:val="9"/>
        <w:rPr>
          <w:rFonts w:hint="eastAsia" w:ascii="楷体_GB2312" w:hAnsi="楷体_GB2312" w:eastAsia="楷体_GB2312" w:cs="楷体_GB2312"/>
          <w:b/>
          <w:bCs/>
          <w:color w:val="auto"/>
          <w:kern w:val="44"/>
          <w:sz w:val="21"/>
          <w:szCs w:val="21"/>
          <w:lang w:val="zh-CN" w:eastAsia="zh-CN" w:bidi="ar-SA"/>
        </w:rPr>
      </w:pPr>
      <w:r>
        <w:rPr>
          <w:rFonts w:hint="eastAsia" w:ascii="楷体_GB2312" w:hAnsi="楷体_GB2312" w:eastAsia="楷体_GB2312" w:cs="楷体_GB2312"/>
          <w:b/>
          <w:bCs/>
          <w:color w:val="auto"/>
          <w:kern w:val="44"/>
          <w:sz w:val="21"/>
          <w:szCs w:val="21"/>
          <w:lang w:val="zh-CN" w:eastAsia="zh-CN" w:bidi="ar-SA"/>
        </w:rPr>
        <w:t>【案例3-</w:t>
      </w:r>
      <w:r>
        <w:rPr>
          <w:rFonts w:hint="eastAsia" w:ascii="楷体_GB2312" w:hAnsi="楷体_GB2312" w:eastAsia="楷体_GB2312" w:cs="楷体_GB2312"/>
          <w:b/>
          <w:bCs/>
          <w:color w:val="auto"/>
          <w:kern w:val="44"/>
          <w:sz w:val="21"/>
          <w:szCs w:val="21"/>
          <w:lang w:val="en-US" w:eastAsia="zh-CN" w:bidi="ar-SA"/>
        </w:rPr>
        <w:t>3</w:t>
      </w:r>
      <w:r>
        <w:rPr>
          <w:rFonts w:hint="eastAsia" w:ascii="楷体_GB2312" w:hAnsi="楷体_GB2312" w:eastAsia="楷体_GB2312" w:cs="楷体_GB2312"/>
          <w:b/>
          <w:bCs/>
          <w:color w:val="auto"/>
          <w:kern w:val="44"/>
          <w:sz w:val="21"/>
          <w:szCs w:val="21"/>
          <w:lang w:val="zh-CN" w:eastAsia="zh-CN" w:bidi="ar-SA"/>
        </w:rPr>
        <w:t>】杭州市中职教育名师名校长培育工程圆满收官</w:t>
      </w:r>
    </w:p>
    <w:p>
      <w:pPr>
        <w:widowControl w:val="0"/>
        <w:wordWrap/>
        <w:adjustRightInd/>
        <w:snapToGrid/>
        <w:spacing w:beforeLines="0" w:afterLines="0" w:line="360" w:lineRule="auto"/>
        <w:ind w:left="0" w:leftChars="0" w:right="0" w:firstLine="420" w:firstLineChars="200"/>
        <w:jc w:val="left"/>
        <w:textAlignment w:val="auto"/>
        <w:outlineLvl w:val="9"/>
        <w:rPr>
          <w:rFonts w:hint="eastAsia" w:ascii="楷体" w:hAnsi="楷体" w:eastAsia="楷体" w:cs="楷体"/>
          <w:sz w:val="24"/>
          <w:szCs w:val="24"/>
          <w:lang w:val="zh-CN" w:eastAsia="zh-CN"/>
        </w:rPr>
      </w:pPr>
      <w:r>
        <w:rPr>
          <w:rFonts w:hint="eastAsia" w:ascii="仿宋_GB2312" w:hAnsi="仿宋_GB2312" w:eastAsia="仿宋_GB2312" w:cs="仿宋_GB2312"/>
          <w:sz w:val="21"/>
          <w:szCs w:val="21"/>
          <w:lang w:val="zh-CN" w:eastAsia="zh-CN"/>
        </w:rPr>
        <w:t>根据《杭州市人民政府关于加快发展现代职业教育的意见》（杭政〔2015〕43 号）和《杭州市教育局办公室关于印发全市中等职业教育质量提升工程系列实施方案的通知》（杭教办职成〔2017〕37 号）文件精神，杭州市中职教育名师名校长培育工程经过三年的培训，已进入收官阶段。11月，90位名师名校长在南京进行结业培训，本次研修活动由上海同济大学继续教育学院承办，以专家讲座、研讨交流、现场教学、案例分享、参观考察等形式，进一步拓宽视野、提升理念、提高管理能力和业务水平。结业典礼上，杭州市教育局孙青峰副局长就如何担当新时代名师名校长的职责使命提出要求和希望，他希望名校长们要关注师生的成长，体现职教独特的魅力；要有宏大的格局和宽阔的视野，增强职教的适应性；要做优秀的掌舵人，必须引领专业建设和教师专业发展；他希望名师们教书育人，一定要研究学生、研究教学、研究并带动青年教师的成长，让团队助推师生的发展。他希望名师名校长们继续为我市中职教育的发展作出更大的贡献。</w:t>
      </w:r>
      <w:bookmarkStart w:id="84" w:name="_Toc32840369"/>
    </w:p>
    <w:p>
      <w:pPr>
        <w:spacing w:beforeLines="100" w:afterLines="50"/>
        <w:ind w:firstLine="360" w:firstLineChars="100"/>
        <w:jc w:val="left"/>
        <w:outlineLvl w:val="9"/>
        <w:rPr>
          <w:rFonts w:ascii="黑体" w:hAnsi="黑体" w:eastAsia="黑体" w:cs="仿宋"/>
          <w:b w:val="0"/>
          <w:bCs w:val="0"/>
          <w:sz w:val="36"/>
          <w:szCs w:val="36"/>
        </w:rPr>
      </w:pPr>
      <w:bookmarkStart w:id="85" w:name="_Toc373099600_WPSOffice_Level1"/>
      <w:bookmarkStart w:id="86" w:name="_Toc29540404"/>
      <w:bookmarkStart w:id="87" w:name="_Toc1136307964_WPSOffice_Level1"/>
      <w:bookmarkStart w:id="88" w:name="_Toc29480856"/>
      <w:bookmarkStart w:id="89" w:name="_Toc1492449369_WPSOffice_Level1"/>
      <w:r>
        <w:rPr>
          <w:rFonts w:hint="eastAsia" w:ascii="黑体" w:hAnsi="黑体" w:eastAsia="黑体" w:cs="仿宋"/>
          <w:b w:val="0"/>
          <w:bCs w:val="0"/>
          <w:sz w:val="36"/>
          <w:szCs w:val="36"/>
        </w:rPr>
        <w:t>4.校企合作</w:t>
      </w:r>
      <w:bookmarkEnd w:id="85"/>
      <w:bookmarkEnd w:id="86"/>
      <w:bookmarkEnd w:id="87"/>
      <w:bookmarkEnd w:id="88"/>
      <w:bookmarkEnd w:id="89"/>
    </w:p>
    <w:p>
      <w:pPr>
        <w:keepNext/>
        <w:keepLines/>
        <w:adjustRightInd/>
        <w:snapToGrid/>
        <w:spacing w:before="157" w:beforeLines="50" w:after="0" w:afterLines="0" w:line="360" w:lineRule="auto"/>
        <w:ind w:firstLine="450" w:firstLineChars="150"/>
        <w:outlineLvl w:val="1"/>
        <w:rPr>
          <w:rFonts w:hint="eastAsia" w:ascii="黑体" w:hAnsi="黑体" w:eastAsia="黑体" w:cs="黑体"/>
          <w:b w:val="0"/>
          <w:bCs w:val="0"/>
          <w:color w:val="auto"/>
          <w:kern w:val="44"/>
          <w:sz w:val="30"/>
          <w:szCs w:val="30"/>
          <w:lang w:eastAsia="zh-CN"/>
        </w:rPr>
      </w:pPr>
      <w:bookmarkStart w:id="90" w:name="_bookmark28"/>
      <w:bookmarkEnd w:id="90"/>
      <w:bookmarkStart w:id="91" w:name="_Toc349082514_WPSOffice_Level2"/>
      <w:bookmarkStart w:id="92" w:name="_Toc2101170889_WPSOffice_Level2"/>
      <w:bookmarkStart w:id="93" w:name="_Toc29480858"/>
      <w:bookmarkStart w:id="94" w:name="_Toc29540406"/>
      <w:r>
        <w:rPr>
          <w:rFonts w:hint="eastAsia" w:ascii="黑体" w:hAnsi="黑体" w:eastAsia="黑体" w:cs="黑体"/>
          <w:b w:val="0"/>
          <w:bCs w:val="0"/>
          <w:color w:val="auto"/>
          <w:kern w:val="44"/>
          <w:sz w:val="30"/>
          <w:szCs w:val="30"/>
          <w:lang w:val="en-US" w:eastAsia="zh-CN"/>
        </w:rPr>
        <w:t>4.1</w:t>
      </w:r>
      <w:r>
        <w:rPr>
          <w:rFonts w:hint="eastAsia" w:ascii="黑体" w:hAnsi="黑体" w:eastAsia="黑体" w:cs="黑体"/>
          <w:b w:val="0"/>
          <w:bCs w:val="0"/>
          <w:color w:val="auto"/>
          <w:kern w:val="44"/>
          <w:sz w:val="30"/>
          <w:szCs w:val="30"/>
          <w:lang w:eastAsia="zh-CN"/>
        </w:rPr>
        <w:t>校企合作开展情况和效果</w:t>
      </w:r>
      <w:bookmarkEnd w:id="91"/>
      <w:bookmarkEnd w:id="92"/>
    </w:p>
    <w:p>
      <w:pPr>
        <w:widowControl/>
        <w:wordWrap/>
        <w:adjustRightInd/>
        <w:snapToGrid/>
        <w:spacing w:beforeLines="0" w:afterLines="0" w:line="360" w:lineRule="auto"/>
        <w:ind w:left="0" w:leftChars="0" w:right="0" w:firstLine="420" w:firstLineChars="200"/>
        <w:jc w:val="both"/>
        <w:textAlignment w:val="auto"/>
        <w:outlineLvl w:val="9"/>
        <w:rPr>
          <w:rFonts w:hint="eastAsia" w:ascii="黑体" w:hAnsi="黑体" w:cs="仿宋"/>
          <w:sz w:val="21"/>
          <w:szCs w:val="21"/>
        </w:rPr>
      </w:pPr>
      <w:r>
        <w:rPr>
          <w:rFonts w:hint="eastAsia" w:asciiTheme="minorEastAsia" w:hAnsiTheme="minorEastAsia" w:eastAsiaTheme="minorEastAsia" w:cstheme="minorEastAsia"/>
          <w:sz w:val="21"/>
          <w:szCs w:val="21"/>
        </w:rPr>
        <w:t>2020年2月，作为国家产教融合型试点城市，杭州市发布了《关于深化产教融合的实施意见》</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以制度建设破解校企合作难题，促进教育链、人才链与产业链、创新链有机衔接。</w:t>
      </w:r>
      <w:r>
        <w:rPr>
          <w:rFonts w:hint="eastAsia" w:asciiTheme="minorEastAsia" w:hAnsiTheme="minorEastAsia" w:eastAsiaTheme="minorEastAsia" w:cstheme="minorEastAsia"/>
          <w:sz w:val="21"/>
          <w:szCs w:val="21"/>
          <w:lang w:eastAsia="zh-CN"/>
        </w:rPr>
        <w:t>我市</w:t>
      </w:r>
      <w:r>
        <w:rPr>
          <w:rFonts w:hint="eastAsia" w:asciiTheme="minorEastAsia" w:hAnsiTheme="minorEastAsia" w:eastAsiaTheme="minorEastAsia" w:cstheme="minorEastAsia"/>
          <w:sz w:val="21"/>
          <w:szCs w:val="21"/>
        </w:rPr>
        <w:t>对照浙江省“五个一批”</w:t>
      </w:r>
      <w:r>
        <w:rPr>
          <w:rFonts w:hint="eastAsia" w:asciiTheme="minorEastAsia" w:hAnsiTheme="minorEastAsia" w:eastAsiaTheme="minorEastAsia" w:cstheme="minorEastAsia"/>
          <w:sz w:val="21"/>
          <w:szCs w:val="21"/>
          <w:lang w:eastAsia="zh-CN"/>
        </w:rPr>
        <w:t>和市</w:t>
      </w:r>
      <w:r>
        <w:rPr>
          <w:rFonts w:hint="eastAsia" w:asciiTheme="minorEastAsia" w:hAnsiTheme="minorEastAsia" w:eastAsiaTheme="minorEastAsia" w:cstheme="minorEastAsia"/>
          <w:sz w:val="21"/>
          <w:szCs w:val="21"/>
        </w:rPr>
        <w:t>《关于深化产教融合的实施意见》的主要精神和建设标准，对标创标，从融合机制、搭建平台、规划设计、项目载体、运行管理、绩效评估等方面探索一条全新的产教融合实践路径，构建互融共生、多方共赢的产教融合发展生态圈。</w:t>
      </w:r>
      <w:r>
        <w:rPr>
          <w:rFonts w:hint="eastAsia" w:cs="仿宋_GB2312" w:asciiTheme="minorEastAsia" w:hAnsiTheme="minorEastAsia" w:eastAsiaTheme="minorEastAsia"/>
          <w:kern w:val="0"/>
          <w:sz w:val="21"/>
          <w:szCs w:val="21"/>
        </w:rPr>
        <w:t xml:space="preserve">全市中等职业学校均与企业建立起较为密切的校企合作关系，签订长期合作协议的企业数达到了 </w:t>
      </w:r>
      <w:r>
        <w:rPr>
          <w:rFonts w:hint="eastAsia" w:cs="仿宋_GB2312" w:asciiTheme="minorEastAsia" w:hAnsiTheme="minorEastAsia" w:eastAsiaTheme="minorEastAsia"/>
          <w:kern w:val="0"/>
          <w:sz w:val="21"/>
          <w:szCs w:val="21"/>
          <w:lang w:val="en-US" w:eastAsia="zh-CN"/>
        </w:rPr>
        <w:t>534</w:t>
      </w:r>
      <w:r>
        <w:rPr>
          <w:rFonts w:hint="eastAsia" w:cs="仿宋_GB2312" w:asciiTheme="minorEastAsia" w:hAnsiTheme="minorEastAsia" w:eastAsiaTheme="minorEastAsia"/>
          <w:kern w:val="0"/>
          <w:sz w:val="21"/>
          <w:szCs w:val="21"/>
        </w:rPr>
        <w:t>家，其中大中型企业</w:t>
      </w:r>
      <w:r>
        <w:rPr>
          <w:rFonts w:hint="eastAsia" w:cs="仿宋_GB2312" w:asciiTheme="minorEastAsia" w:hAnsiTheme="minorEastAsia" w:eastAsiaTheme="minorEastAsia"/>
          <w:kern w:val="0"/>
          <w:sz w:val="21"/>
          <w:szCs w:val="21"/>
          <w:lang w:val="en-US" w:eastAsia="zh-CN"/>
        </w:rPr>
        <w:t>373</w:t>
      </w:r>
      <w:r>
        <w:rPr>
          <w:rFonts w:hint="eastAsia" w:cs="仿宋_GB2312" w:asciiTheme="minorEastAsia" w:hAnsiTheme="minorEastAsia" w:eastAsiaTheme="minorEastAsia"/>
          <w:kern w:val="0"/>
          <w:sz w:val="21"/>
          <w:szCs w:val="21"/>
        </w:rPr>
        <w:t>家。</w:t>
      </w:r>
    </w:p>
    <w:bookmarkEnd w:id="93"/>
    <w:bookmarkEnd w:id="94"/>
    <w:p>
      <w:pPr>
        <w:adjustRightInd/>
        <w:snapToGrid/>
        <w:spacing w:beforeLines="0" w:afterLines="0" w:line="360" w:lineRule="auto"/>
        <w:ind w:firstLine="421" w:firstLineChars="200"/>
        <w:rPr>
          <w:rFonts w:cs="仿宋_GB2312" w:asciiTheme="minorEastAsia" w:hAnsiTheme="minorEastAsia" w:eastAsiaTheme="minorEastAsia"/>
          <w:kern w:val="0"/>
          <w:szCs w:val="21"/>
        </w:rPr>
      </w:pPr>
      <w:r>
        <w:rPr>
          <w:rFonts w:hint="eastAsia" w:asciiTheme="minorEastAsia" w:hAnsiTheme="minorEastAsia" w:eastAsiaTheme="minorEastAsia" w:cstheme="minorEastAsia"/>
          <w:b/>
          <w:bCs/>
          <w:sz w:val="21"/>
          <w:szCs w:val="21"/>
        </w:rPr>
        <w:t>构建多方共赢的产教融合发展生态圈</w:t>
      </w:r>
      <w:r>
        <w:rPr>
          <w:rFonts w:hint="eastAsia" w:ascii="黑体" w:hAnsi="黑体" w:cs="仿宋"/>
          <w:b/>
          <w:bCs/>
          <w:szCs w:val="28"/>
          <w:lang w:eastAsia="zh-CN"/>
        </w:rPr>
        <w:t>。</w:t>
      </w:r>
      <w:r>
        <w:rPr>
          <w:rFonts w:hint="eastAsia" w:cs="仿宋_GB2312" w:asciiTheme="minorEastAsia" w:hAnsiTheme="minorEastAsia" w:eastAsiaTheme="minorEastAsia"/>
          <w:kern w:val="0"/>
          <w:sz w:val="21"/>
          <w:szCs w:val="21"/>
          <w:lang w:eastAsia="zh-CN"/>
        </w:rPr>
        <w:t>构建产教融合发展机制，促进人才供给侧和产业需求侧结构要素全方位融合，为打造“全国数字经济第一城”和实施“新制造业计划”汇聚发展新动能。继续</w:t>
      </w:r>
      <w:r>
        <w:rPr>
          <w:rFonts w:hint="eastAsia" w:cs="仿宋_GB2312" w:asciiTheme="minorEastAsia" w:hAnsiTheme="minorEastAsia" w:eastAsiaTheme="minorEastAsia"/>
          <w:kern w:val="0"/>
          <w:sz w:val="21"/>
          <w:szCs w:val="21"/>
        </w:rPr>
        <w:t>积极实施杭州市中职教育产教融合建设工程，主要有校企合作共同体、教学实训车间、示范性职业教育集团、技能名师工作室等四个建设项目。截至目前，全市已经确定校企合作共同体</w:t>
      </w:r>
      <w:r>
        <w:rPr>
          <w:rFonts w:hint="eastAsia" w:cs="仿宋_GB2312" w:asciiTheme="minorEastAsia" w:hAnsiTheme="minorEastAsia" w:eastAsiaTheme="minorEastAsia"/>
          <w:kern w:val="0"/>
          <w:sz w:val="21"/>
          <w:szCs w:val="21"/>
          <w:lang w:val="en-US" w:eastAsia="zh-CN"/>
        </w:rPr>
        <w:t>59</w:t>
      </w:r>
      <w:r>
        <w:rPr>
          <w:rFonts w:hint="eastAsia" w:cs="仿宋_GB2312" w:asciiTheme="minorEastAsia" w:hAnsiTheme="minorEastAsia" w:eastAsiaTheme="minorEastAsia"/>
          <w:kern w:val="0"/>
          <w:sz w:val="21"/>
          <w:szCs w:val="21"/>
        </w:rPr>
        <w:t>个、其中省级校企合作共同体</w:t>
      </w:r>
      <w:r>
        <w:rPr>
          <w:rFonts w:hint="eastAsia" w:cs="仿宋_GB2312" w:asciiTheme="minorEastAsia" w:hAnsiTheme="minorEastAsia" w:eastAsiaTheme="minorEastAsia"/>
          <w:kern w:val="0"/>
          <w:sz w:val="21"/>
          <w:szCs w:val="21"/>
          <w:lang w:eastAsia="zh-CN"/>
        </w:rPr>
        <w:t>1</w:t>
      </w:r>
      <w:r>
        <w:rPr>
          <w:rFonts w:hint="eastAsia" w:cs="仿宋_GB2312" w:asciiTheme="minorEastAsia" w:hAnsiTheme="minorEastAsia" w:eastAsiaTheme="minorEastAsia"/>
          <w:kern w:val="0"/>
          <w:sz w:val="21"/>
          <w:szCs w:val="21"/>
          <w:lang w:val="en-US" w:eastAsia="zh-CN"/>
        </w:rPr>
        <w:t>5</w:t>
      </w:r>
      <w:r>
        <w:rPr>
          <w:rFonts w:hint="eastAsia" w:cs="仿宋_GB2312" w:asciiTheme="minorEastAsia" w:hAnsiTheme="minorEastAsia" w:eastAsiaTheme="minorEastAsia"/>
          <w:kern w:val="0"/>
          <w:sz w:val="21"/>
          <w:szCs w:val="21"/>
        </w:rPr>
        <w:t>个，市县级校企合作共同体</w:t>
      </w:r>
      <w:r>
        <w:rPr>
          <w:rFonts w:hint="eastAsia" w:cs="仿宋_GB2312" w:asciiTheme="minorEastAsia" w:hAnsiTheme="minorEastAsia" w:eastAsiaTheme="minorEastAsia"/>
          <w:kern w:val="0"/>
          <w:sz w:val="21"/>
          <w:szCs w:val="21"/>
          <w:lang w:val="en-US" w:eastAsia="zh-CN"/>
        </w:rPr>
        <w:t>49</w:t>
      </w:r>
      <w:r>
        <w:rPr>
          <w:rFonts w:hint="eastAsia" w:cs="仿宋_GB2312" w:asciiTheme="minorEastAsia" w:hAnsiTheme="minorEastAsia" w:eastAsiaTheme="minorEastAsia"/>
          <w:kern w:val="0"/>
          <w:sz w:val="21"/>
          <w:szCs w:val="21"/>
        </w:rPr>
        <w:t>个。成功创建</w:t>
      </w:r>
      <w:r>
        <w:rPr>
          <w:rFonts w:cs="仿宋_GB2312" w:asciiTheme="minorEastAsia" w:hAnsiTheme="minorEastAsia" w:eastAsiaTheme="minorEastAsia"/>
          <w:kern w:val="0"/>
          <w:sz w:val="21"/>
          <w:szCs w:val="21"/>
        </w:rPr>
        <w:t>省级示范性职业教育集团2个和</w:t>
      </w:r>
      <w:r>
        <w:rPr>
          <w:rFonts w:hint="eastAsia" w:cs="仿宋_GB2312" w:asciiTheme="minorEastAsia" w:hAnsiTheme="minorEastAsia" w:eastAsiaTheme="minorEastAsia"/>
          <w:kern w:val="0"/>
          <w:sz w:val="21"/>
          <w:szCs w:val="21"/>
        </w:rPr>
        <w:t>省级技能大师工作室</w:t>
      </w:r>
      <w:r>
        <w:rPr>
          <w:rFonts w:cs="仿宋_GB2312" w:asciiTheme="minorEastAsia" w:hAnsiTheme="minorEastAsia" w:eastAsiaTheme="minorEastAsia"/>
          <w:kern w:val="0"/>
          <w:sz w:val="21"/>
          <w:szCs w:val="21"/>
        </w:rPr>
        <w:t>14</w:t>
      </w:r>
      <w:r>
        <w:rPr>
          <w:rFonts w:hint="eastAsia" w:cs="仿宋_GB2312" w:asciiTheme="minorEastAsia" w:hAnsiTheme="minorEastAsia" w:eastAsiaTheme="minorEastAsia"/>
          <w:kern w:val="0"/>
          <w:sz w:val="21"/>
          <w:szCs w:val="21"/>
        </w:rPr>
        <w:t>个，市级示范性职业教育集团</w:t>
      </w:r>
      <w:r>
        <w:rPr>
          <w:rFonts w:cs="仿宋_GB2312" w:asciiTheme="minorEastAsia" w:hAnsiTheme="minorEastAsia" w:eastAsiaTheme="minorEastAsia"/>
          <w:kern w:val="0"/>
          <w:sz w:val="21"/>
          <w:szCs w:val="21"/>
        </w:rPr>
        <w:t>10</w:t>
      </w:r>
      <w:r>
        <w:rPr>
          <w:rFonts w:hint="eastAsia" w:cs="仿宋_GB2312" w:asciiTheme="minorEastAsia" w:hAnsiTheme="minorEastAsia" w:eastAsiaTheme="minorEastAsia"/>
          <w:kern w:val="0"/>
          <w:sz w:val="21"/>
          <w:szCs w:val="21"/>
        </w:rPr>
        <w:t>个、市级教学实训车间</w:t>
      </w:r>
      <w:r>
        <w:rPr>
          <w:rFonts w:hint="eastAsia" w:cs="仿宋_GB2312" w:asciiTheme="minorEastAsia" w:hAnsiTheme="minorEastAsia" w:eastAsiaTheme="minorEastAsia"/>
          <w:kern w:val="0"/>
          <w:sz w:val="21"/>
          <w:szCs w:val="21"/>
          <w:lang w:val="en-US" w:eastAsia="zh-CN"/>
        </w:rPr>
        <w:t>50</w:t>
      </w:r>
      <w:r>
        <w:rPr>
          <w:rFonts w:hint="eastAsia" w:cs="仿宋_GB2312" w:asciiTheme="minorEastAsia" w:hAnsiTheme="minorEastAsia" w:eastAsiaTheme="minorEastAsia"/>
          <w:kern w:val="0"/>
          <w:sz w:val="21"/>
          <w:szCs w:val="21"/>
        </w:rPr>
        <w:t>个和市级技能名师工作室</w:t>
      </w:r>
      <w:r>
        <w:rPr>
          <w:rFonts w:cs="仿宋_GB2312" w:asciiTheme="minorEastAsia" w:hAnsiTheme="minorEastAsia" w:eastAsiaTheme="minorEastAsia"/>
          <w:kern w:val="0"/>
          <w:sz w:val="21"/>
          <w:szCs w:val="21"/>
        </w:rPr>
        <w:t>30</w:t>
      </w:r>
      <w:r>
        <w:rPr>
          <w:rFonts w:hint="eastAsia" w:cs="仿宋_GB2312" w:asciiTheme="minorEastAsia" w:hAnsiTheme="minorEastAsia" w:eastAsiaTheme="minorEastAsia"/>
          <w:kern w:val="0"/>
          <w:sz w:val="21"/>
          <w:szCs w:val="21"/>
        </w:rPr>
        <w:t>个。通过项目建设，进一步强化学校、企业及用人单位的共同责任，增进学校人才培养与社会人才需求和使用的契合度，有效提升技术技能人才培养质量。</w:t>
      </w:r>
    </w:p>
    <w:p>
      <w:pPr>
        <w:widowControl w:val="0"/>
        <w:wordWrap/>
        <w:adjustRightInd/>
        <w:snapToGrid/>
        <w:spacing w:before="157" w:beforeLines="50" w:afterLines="0" w:line="360" w:lineRule="auto"/>
        <w:ind w:left="0" w:leftChars="0" w:right="0" w:firstLine="421" w:firstLineChars="200"/>
        <w:jc w:val="left"/>
        <w:textAlignment w:val="auto"/>
        <w:outlineLvl w:val="9"/>
        <w:rPr>
          <w:rFonts w:hint="eastAsia" w:ascii="楷体_GB2312" w:hAnsi="楷体_GB2312" w:eastAsia="楷体_GB2312" w:cs="楷体_GB2312"/>
          <w:b/>
          <w:bCs/>
          <w:color w:val="auto"/>
          <w:kern w:val="44"/>
          <w:sz w:val="21"/>
          <w:szCs w:val="21"/>
          <w:lang w:val="zh-CN" w:eastAsia="zh-CN" w:bidi="ar-SA"/>
        </w:rPr>
      </w:pPr>
      <w:bookmarkStart w:id="95" w:name="_bookmark29"/>
      <w:bookmarkEnd w:id="95"/>
      <w:bookmarkStart w:id="96" w:name="_Toc29540407"/>
      <w:bookmarkStart w:id="97" w:name="_Toc29480859"/>
      <w:r>
        <w:rPr>
          <w:rFonts w:hint="eastAsia" w:ascii="楷体_GB2312" w:hAnsi="楷体_GB2312" w:eastAsia="楷体_GB2312" w:cs="楷体_GB2312"/>
          <w:b/>
          <w:bCs/>
          <w:color w:val="auto"/>
          <w:kern w:val="44"/>
          <w:sz w:val="21"/>
          <w:szCs w:val="21"/>
          <w:lang w:val="zh-CN" w:eastAsia="zh-CN" w:bidi="ar-SA"/>
        </w:rPr>
        <w:t>【案例</w:t>
      </w:r>
      <w:r>
        <w:rPr>
          <w:rFonts w:hint="eastAsia" w:ascii="楷体_GB2312" w:hAnsi="楷体_GB2312" w:eastAsia="楷体_GB2312" w:cs="楷体_GB2312"/>
          <w:b/>
          <w:bCs/>
          <w:color w:val="auto"/>
          <w:kern w:val="44"/>
          <w:sz w:val="21"/>
          <w:szCs w:val="21"/>
          <w:lang w:val="en-US" w:eastAsia="zh-CN" w:bidi="ar-SA"/>
        </w:rPr>
        <w:t>4</w:t>
      </w:r>
      <w:r>
        <w:rPr>
          <w:rFonts w:hint="eastAsia" w:ascii="楷体_GB2312" w:hAnsi="楷体_GB2312" w:eastAsia="楷体_GB2312" w:cs="楷体_GB2312"/>
          <w:b/>
          <w:bCs/>
          <w:color w:val="auto"/>
          <w:kern w:val="44"/>
          <w:sz w:val="21"/>
          <w:szCs w:val="21"/>
          <w:lang w:val="zh-CN" w:eastAsia="zh-CN" w:bidi="ar-SA"/>
        </w:rPr>
        <w:t>-</w:t>
      </w:r>
      <w:r>
        <w:rPr>
          <w:rFonts w:hint="eastAsia" w:ascii="楷体_GB2312" w:hAnsi="楷体_GB2312" w:eastAsia="楷体_GB2312" w:cs="楷体_GB2312"/>
          <w:b/>
          <w:bCs/>
          <w:color w:val="auto"/>
          <w:kern w:val="44"/>
          <w:sz w:val="21"/>
          <w:szCs w:val="21"/>
          <w:lang w:val="en-US" w:eastAsia="zh-CN" w:bidi="ar-SA"/>
        </w:rPr>
        <w:t>1</w:t>
      </w:r>
      <w:r>
        <w:rPr>
          <w:rFonts w:hint="eastAsia" w:ascii="楷体_GB2312" w:hAnsi="楷体_GB2312" w:eastAsia="楷体_GB2312" w:cs="楷体_GB2312"/>
          <w:b/>
          <w:bCs/>
          <w:color w:val="auto"/>
          <w:kern w:val="44"/>
          <w:sz w:val="21"/>
          <w:szCs w:val="21"/>
          <w:lang w:val="zh-CN" w:eastAsia="zh-CN" w:bidi="ar-SA"/>
        </w:rPr>
        <w:t>】杭州市建筑装饰产教融合联盟暨亚厦领航计划</w:t>
      </w:r>
    </w:p>
    <w:p>
      <w:pPr>
        <w:keepNext w:val="0"/>
        <w:keepLines w:val="0"/>
        <w:adjustRightInd/>
        <w:snapToGrid/>
        <w:spacing w:beforeLines="0" w:afterLines="0" w:line="360" w:lineRule="auto"/>
        <w:ind w:firstLine="420" w:firstLineChars="200"/>
        <w:outlineLvl w:val="9"/>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2020年5月8日，“杭州市建筑装饰产教融合联盟暨亚厦领航计划”发布仪式在亚厦中心举行，开启了产教融合的自我迭代和路径创新。作为全国建筑装饰行业龙头企业、首家国家级高新技术企业，亚厦集团以“工业化”为核心，8年投资12亿元，用来研发装配式内装全产业链。当8年修炼的“秘密武器”从技术研发推向市场应用，亚厦不仅需要高层次技术研发的创新人才，更需要推动产业转型、技术转化、市场应用的大批高素质技术技能人才。于是，亚厦向职业教育抛出“橄榄枝”，主动寻求与职业院校合作，联合修建建筑装饰人才蓄水池。亚厦集团与杭州市职成教研究室联合发起，成立“杭州建筑装饰产教融合联盟”，构建全新的产教融合“平台+项目”，促进成员间信息互通、交流分享和协同育人，探索融合发展的长效合作机制，促进杭州建筑装饰产业与职业院校、行业企业走向深度融合，努力打通产教融合的痛点、堵点和难点，走出一条“产业+教育”的实践突围之路。</w:t>
      </w:r>
    </w:p>
    <w:p>
      <w:pPr>
        <w:keepNext w:val="0"/>
        <w:keepLines w:val="0"/>
        <w:widowControl w:val="0"/>
        <w:wordWrap/>
        <w:adjustRightInd/>
        <w:snapToGrid/>
        <w:spacing w:before="157" w:beforeLines="50" w:afterLines="0" w:line="360" w:lineRule="auto"/>
        <w:ind w:left="0" w:leftChars="0" w:right="0" w:firstLine="421" w:firstLineChars="200"/>
        <w:jc w:val="both"/>
        <w:textAlignment w:val="auto"/>
        <w:outlineLvl w:val="9"/>
        <w:rPr>
          <w:rFonts w:hint="eastAsia" w:ascii="仿宋_GB2312" w:hAnsi="仿宋_GB2312" w:eastAsia="仿宋_GB2312" w:cs="仿宋_GB2312"/>
          <w:kern w:val="0"/>
          <w:sz w:val="21"/>
          <w:szCs w:val="21"/>
          <w:lang w:val="en-US" w:eastAsia="zh-CN" w:bidi="ar-SA"/>
        </w:rPr>
      </w:pPr>
      <w:r>
        <w:rPr>
          <w:rFonts w:hint="eastAsia" w:ascii="黑体" w:hAnsi="黑体" w:cs="仿宋"/>
          <w:b/>
          <w:bCs/>
          <w:sz w:val="21"/>
          <w:szCs w:val="21"/>
        </w:rPr>
        <w:t>深化现代学徒制改革，推进</w:t>
      </w:r>
      <w:r>
        <w:rPr>
          <w:rFonts w:ascii="黑体" w:hAnsi="黑体" w:cs="仿宋"/>
          <w:b/>
          <w:bCs/>
          <w:sz w:val="21"/>
          <w:szCs w:val="21"/>
        </w:rPr>
        <w:t>1+X</w:t>
      </w:r>
      <w:r>
        <w:rPr>
          <w:rFonts w:hint="eastAsia" w:ascii="黑体" w:hAnsi="黑体" w:cs="仿宋"/>
          <w:b/>
          <w:bCs/>
          <w:sz w:val="21"/>
          <w:szCs w:val="21"/>
        </w:rPr>
        <w:t>证书制度试点</w:t>
      </w:r>
      <w:r>
        <w:rPr>
          <w:rFonts w:hint="eastAsia" w:ascii="黑体" w:hAnsi="黑体" w:cs="仿宋"/>
          <w:b/>
          <w:bCs/>
          <w:sz w:val="21"/>
          <w:szCs w:val="21"/>
          <w:lang w:eastAsia="zh-CN"/>
        </w:rPr>
        <w:t>。</w:t>
      </w:r>
      <w:r>
        <w:rPr>
          <w:rFonts w:cs="仿宋_GB2312" w:asciiTheme="minorEastAsia" w:hAnsiTheme="minorEastAsia" w:eastAsiaTheme="minorEastAsia"/>
          <w:kern w:val="0"/>
          <w:sz w:val="21"/>
          <w:szCs w:val="21"/>
        </w:rPr>
        <w:t>2</w:t>
      </w:r>
      <w:r>
        <w:rPr>
          <w:rFonts w:cs="仿宋_GB2312" w:asciiTheme="minorEastAsia" w:hAnsiTheme="minorEastAsia" w:eastAsiaTheme="minorEastAsia"/>
          <w:b w:val="0"/>
          <w:bCs w:val="0"/>
          <w:kern w:val="0"/>
          <w:sz w:val="21"/>
          <w:szCs w:val="21"/>
        </w:rPr>
        <w:t>0</w:t>
      </w:r>
      <w:r>
        <w:rPr>
          <w:rFonts w:hint="eastAsia" w:cs="仿宋_GB2312" w:asciiTheme="minorEastAsia" w:hAnsiTheme="minorEastAsia" w:eastAsiaTheme="minorEastAsia"/>
          <w:b w:val="0"/>
          <w:bCs w:val="0"/>
          <w:kern w:val="0"/>
          <w:sz w:val="21"/>
          <w:szCs w:val="21"/>
          <w:lang w:val="en-US" w:eastAsia="zh-CN"/>
        </w:rPr>
        <w:t>20</w:t>
      </w:r>
      <w:r>
        <w:rPr>
          <w:rFonts w:cs="仿宋_GB2312" w:asciiTheme="minorEastAsia" w:hAnsiTheme="minorEastAsia" w:eastAsiaTheme="minorEastAsia"/>
          <w:b w:val="0"/>
          <w:bCs w:val="0"/>
          <w:kern w:val="0"/>
          <w:sz w:val="21"/>
          <w:szCs w:val="21"/>
        </w:rPr>
        <w:t>年</w:t>
      </w:r>
      <w:r>
        <w:rPr>
          <w:rFonts w:hint="eastAsia" w:cs="仿宋_GB2312" w:asciiTheme="minorEastAsia" w:hAnsiTheme="minorEastAsia" w:eastAsiaTheme="minorEastAsia"/>
          <w:b w:val="0"/>
          <w:bCs w:val="0"/>
          <w:kern w:val="0"/>
          <w:sz w:val="21"/>
          <w:szCs w:val="21"/>
        </w:rPr>
        <w:t>，</w:t>
      </w:r>
      <w:r>
        <w:rPr>
          <w:rFonts w:cs="仿宋_GB2312" w:asciiTheme="minorEastAsia" w:hAnsiTheme="minorEastAsia" w:eastAsiaTheme="minorEastAsia"/>
          <w:b w:val="0"/>
          <w:bCs w:val="0"/>
          <w:kern w:val="0"/>
          <w:sz w:val="21"/>
          <w:szCs w:val="21"/>
        </w:rPr>
        <w:t>我市进一步</w:t>
      </w:r>
      <w:r>
        <w:rPr>
          <w:rFonts w:hint="eastAsia" w:cs="仿宋_GB2312" w:asciiTheme="minorEastAsia" w:hAnsiTheme="minorEastAsia" w:eastAsiaTheme="minorEastAsia"/>
          <w:b w:val="0"/>
          <w:bCs w:val="0"/>
          <w:kern w:val="0"/>
          <w:sz w:val="21"/>
          <w:szCs w:val="21"/>
        </w:rPr>
        <w:t>深化</w:t>
      </w:r>
      <w:r>
        <w:rPr>
          <w:rFonts w:cs="仿宋_GB2312" w:asciiTheme="minorEastAsia" w:hAnsiTheme="minorEastAsia" w:eastAsiaTheme="minorEastAsia"/>
          <w:b w:val="0"/>
          <w:bCs w:val="0"/>
          <w:kern w:val="0"/>
          <w:sz w:val="21"/>
          <w:szCs w:val="21"/>
        </w:rPr>
        <w:t>现代学徒制</w:t>
      </w:r>
      <w:r>
        <w:rPr>
          <w:rFonts w:hint="eastAsia" w:cs="仿宋_GB2312" w:asciiTheme="minorEastAsia" w:hAnsiTheme="minorEastAsia" w:eastAsiaTheme="minorEastAsia"/>
          <w:b w:val="0"/>
          <w:bCs w:val="0"/>
          <w:kern w:val="0"/>
          <w:sz w:val="21"/>
          <w:szCs w:val="21"/>
        </w:rPr>
        <w:t>改革，加强课题研究和标准建设，制定推广现代学徒制工作规范和教学标准，深化省市试点单位的改革实施，推广和宣传典型经验，现代学徒制“杭州样式”日渐成熟。加强试点项目培育，目前已评定</w:t>
      </w:r>
      <w:r>
        <w:rPr>
          <w:rFonts w:cs="仿宋_GB2312" w:asciiTheme="minorEastAsia" w:hAnsiTheme="minorEastAsia" w:eastAsiaTheme="minorEastAsia"/>
          <w:b w:val="0"/>
          <w:bCs w:val="0"/>
          <w:kern w:val="0"/>
          <w:sz w:val="21"/>
          <w:szCs w:val="21"/>
        </w:rPr>
        <w:t>市级试点项目</w:t>
      </w:r>
      <w:r>
        <w:rPr>
          <w:rFonts w:hint="eastAsia" w:cs="仿宋_GB2312" w:asciiTheme="minorEastAsia" w:hAnsiTheme="minorEastAsia" w:eastAsiaTheme="minorEastAsia"/>
          <w:b w:val="0"/>
          <w:bCs w:val="0"/>
          <w:kern w:val="0"/>
          <w:sz w:val="21"/>
          <w:szCs w:val="21"/>
        </w:rPr>
        <w:t>3</w:t>
      </w:r>
      <w:r>
        <w:rPr>
          <w:rFonts w:cs="仿宋_GB2312" w:asciiTheme="minorEastAsia" w:hAnsiTheme="minorEastAsia" w:eastAsiaTheme="minorEastAsia"/>
          <w:b w:val="0"/>
          <w:bCs w:val="0"/>
          <w:kern w:val="0"/>
          <w:sz w:val="21"/>
          <w:szCs w:val="21"/>
        </w:rPr>
        <w:t>0个，省</w:t>
      </w:r>
      <w:r>
        <w:rPr>
          <w:rFonts w:hint="eastAsia" w:cs="仿宋_GB2312" w:asciiTheme="minorEastAsia" w:hAnsiTheme="minorEastAsia" w:eastAsiaTheme="minorEastAsia"/>
          <w:b w:val="0"/>
          <w:bCs w:val="0"/>
          <w:kern w:val="0"/>
          <w:sz w:val="21"/>
          <w:szCs w:val="21"/>
        </w:rPr>
        <w:t>现代学徒制试点单位共16个，其中</w:t>
      </w:r>
      <w:r>
        <w:rPr>
          <w:rFonts w:cs="仿宋_GB2312" w:asciiTheme="minorEastAsia" w:hAnsiTheme="minorEastAsia" w:eastAsiaTheme="minorEastAsia"/>
          <w:b w:val="0"/>
          <w:bCs w:val="0"/>
          <w:kern w:val="0"/>
          <w:sz w:val="21"/>
          <w:szCs w:val="21"/>
        </w:rPr>
        <w:t>6</w:t>
      </w:r>
      <w:r>
        <w:rPr>
          <w:rFonts w:hint="eastAsia" w:cs="仿宋_GB2312" w:asciiTheme="minorEastAsia" w:hAnsiTheme="minorEastAsia" w:eastAsiaTheme="minorEastAsia"/>
          <w:b w:val="0"/>
          <w:bCs w:val="0"/>
          <w:kern w:val="0"/>
          <w:sz w:val="21"/>
          <w:szCs w:val="21"/>
        </w:rPr>
        <w:t>个</w:t>
      </w:r>
      <w:r>
        <w:rPr>
          <w:rFonts w:cs="仿宋_GB2312" w:asciiTheme="minorEastAsia" w:hAnsiTheme="minorEastAsia" w:eastAsiaTheme="minorEastAsia"/>
          <w:b w:val="0"/>
          <w:bCs w:val="0"/>
          <w:kern w:val="0"/>
          <w:sz w:val="21"/>
          <w:szCs w:val="21"/>
        </w:rPr>
        <w:t>第一批现代学徒制试点</w:t>
      </w:r>
      <w:r>
        <w:rPr>
          <w:rFonts w:hint="eastAsia" w:cs="仿宋_GB2312" w:asciiTheme="minorEastAsia" w:hAnsiTheme="minorEastAsia" w:eastAsiaTheme="minorEastAsia"/>
          <w:b w:val="0"/>
          <w:bCs w:val="0"/>
          <w:kern w:val="0"/>
          <w:sz w:val="21"/>
          <w:szCs w:val="21"/>
        </w:rPr>
        <w:t>顺利通过验收。加大现代学徒制补助力度，建立对学徒实习超过一个月人均补助</w:t>
      </w:r>
      <w:r>
        <w:rPr>
          <w:rFonts w:cs="仿宋_GB2312" w:asciiTheme="minorEastAsia" w:hAnsiTheme="minorEastAsia" w:eastAsiaTheme="minorEastAsia"/>
          <w:b w:val="0"/>
          <w:bCs w:val="0"/>
          <w:kern w:val="0"/>
          <w:sz w:val="21"/>
          <w:szCs w:val="21"/>
        </w:rPr>
        <w:t>300元的补偿机制、外聘教师发放补贴的导师津贴发放机制</w:t>
      </w:r>
      <w:r>
        <w:rPr>
          <w:rFonts w:hint="eastAsia" w:cs="仿宋_GB2312" w:asciiTheme="minorEastAsia" w:hAnsiTheme="minorEastAsia" w:eastAsiaTheme="minorEastAsia"/>
          <w:b w:val="0"/>
          <w:bCs w:val="0"/>
          <w:kern w:val="0"/>
          <w:sz w:val="21"/>
          <w:szCs w:val="21"/>
        </w:rPr>
        <w:t>。目前，全市教育部门办中职学校全部参与试点，试点专业37个，占全市专业数的5</w:t>
      </w:r>
      <w:r>
        <w:rPr>
          <w:rFonts w:hint="eastAsia" w:cs="仿宋_GB2312" w:asciiTheme="minorEastAsia" w:hAnsiTheme="minorEastAsia" w:eastAsiaTheme="minorEastAsia"/>
          <w:b w:val="0"/>
          <w:bCs w:val="0"/>
          <w:kern w:val="0"/>
          <w:sz w:val="21"/>
          <w:szCs w:val="21"/>
          <w:lang w:val="en-US" w:eastAsia="zh-CN"/>
        </w:rPr>
        <w:t>4.41</w:t>
      </w:r>
      <w:r>
        <w:rPr>
          <w:rFonts w:hint="eastAsia" w:cs="仿宋_GB2312" w:asciiTheme="minorEastAsia" w:hAnsiTheme="minorEastAsia" w:eastAsiaTheme="minorEastAsia"/>
          <w:b w:val="0"/>
          <w:bCs w:val="0"/>
          <w:kern w:val="0"/>
          <w:sz w:val="21"/>
          <w:szCs w:val="21"/>
        </w:rPr>
        <w:t>%，参与试点学生</w:t>
      </w:r>
      <w:r>
        <w:rPr>
          <w:rFonts w:hint="eastAsia" w:cs="仿宋_GB2312" w:asciiTheme="minorEastAsia" w:hAnsiTheme="minorEastAsia" w:eastAsiaTheme="minorEastAsia"/>
          <w:b w:val="0"/>
          <w:bCs w:val="0"/>
          <w:kern w:val="0"/>
          <w:sz w:val="21"/>
          <w:szCs w:val="21"/>
          <w:lang w:eastAsia="zh-CN"/>
        </w:rPr>
        <w:t>1</w:t>
      </w:r>
      <w:r>
        <w:rPr>
          <w:rFonts w:hint="eastAsia" w:cs="仿宋_GB2312" w:asciiTheme="minorEastAsia" w:hAnsiTheme="minorEastAsia" w:eastAsiaTheme="minorEastAsia"/>
          <w:b w:val="0"/>
          <w:bCs w:val="0"/>
          <w:kern w:val="0"/>
          <w:sz w:val="21"/>
          <w:szCs w:val="21"/>
          <w:lang w:val="en-US" w:eastAsia="zh-CN"/>
        </w:rPr>
        <w:t>5462</w:t>
      </w:r>
      <w:r>
        <w:rPr>
          <w:rFonts w:hint="eastAsia" w:cs="仿宋_GB2312" w:asciiTheme="minorEastAsia" w:hAnsiTheme="minorEastAsia" w:eastAsiaTheme="minorEastAsia"/>
          <w:b w:val="0"/>
          <w:bCs w:val="0"/>
          <w:kern w:val="0"/>
          <w:sz w:val="21"/>
          <w:szCs w:val="21"/>
        </w:rPr>
        <w:t>人，签订协议的企业3</w:t>
      </w:r>
      <w:r>
        <w:rPr>
          <w:rFonts w:hint="eastAsia" w:cs="仿宋_GB2312" w:asciiTheme="minorEastAsia" w:hAnsiTheme="minorEastAsia" w:eastAsiaTheme="minorEastAsia"/>
          <w:b w:val="0"/>
          <w:bCs w:val="0"/>
          <w:kern w:val="0"/>
          <w:sz w:val="21"/>
          <w:szCs w:val="21"/>
          <w:lang w:val="en-US" w:eastAsia="zh-CN"/>
        </w:rPr>
        <w:t>29</w:t>
      </w:r>
      <w:r>
        <w:rPr>
          <w:rFonts w:hint="eastAsia" w:cs="仿宋_GB2312" w:asciiTheme="minorEastAsia" w:hAnsiTheme="minorEastAsia" w:eastAsiaTheme="minorEastAsia"/>
          <w:b w:val="0"/>
          <w:bCs w:val="0"/>
          <w:kern w:val="0"/>
          <w:sz w:val="21"/>
          <w:szCs w:val="21"/>
        </w:rPr>
        <w:t>家，技术技能人才培养质量得到</w:t>
      </w:r>
      <w:r>
        <w:rPr>
          <w:rFonts w:hint="eastAsia" w:asciiTheme="minorEastAsia" w:hAnsiTheme="minorEastAsia" w:eastAsiaTheme="minorEastAsia" w:cstheme="minorEastAsia"/>
          <w:b w:val="0"/>
          <w:bCs w:val="0"/>
          <w:kern w:val="0"/>
          <w:sz w:val="21"/>
          <w:szCs w:val="21"/>
        </w:rPr>
        <w:t>有效提升。</w:t>
      </w:r>
      <w:r>
        <w:rPr>
          <w:rFonts w:hint="eastAsia" w:asciiTheme="minorEastAsia" w:hAnsiTheme="minorEastAsia" w:eastAsiaTheme="minorEastAsia" w:cstheme="minorEastAsia"/>
          <w:kern w:val="0"/>
          <w:sz w:val="21"/>
          <w:szCs w:val="21"/>
        </w:rPr>
        <w:t>我市稳步推进1+X证书制度试点工作，大力支持中职学校积极参与1+X证书制度试点，不断探索书证融通机制，鼓励学生取得更多的职业技能等级证书，努力提升综合职业能力。</w:t>
      </w:r>
      <w:r>
        <w:rPr>
          <w:rFonts w:hint="eastAsia" w:asciiTheme="minorEastAsia" w:hAnsiTheme="minorEastAsia" w:eastAsiaTheme="minorEastAsia" w:cstheme="minorEastAsia"/>
          <w:kern w:val="0"/>
          <w:sz w:val="21"/>
          <w:szCs w:val="21"/>
          <w:lang w:eastAsia="zh-CN"/>
        </w:rPr>
        <w:t>全</w:t>
      </w:r>
      <w:r>
        <w:rPr>
          <w:rFonts w:hint="eastAsia" w:asciiTheme="minorEastAsia" w:hAnsiTheme="minorEastAsia" w:eastAsiaTheme="minorEastAsia" w:cstheme="minorEastAsia"/>
          <w:sz w:val="21"/>
          <w:szCs w:val="21"/>
          <w:lang w:val="en-US" w:eastAsia="zh-CN"/>
        </w:rPr>
        <w:t>市共有24所中职学校参与试点，涉及34个专业、57类(86项)证书，试点的学生规模达5650人次</w:t>
      </w:r>
      <w:r>
        <w:rPr>
          <w:rFonts w:hint="eastAsia" w:asciiTheme="minorEastAsia" w:hAnsiTheme="minorEastAsia" w:eastAsiaTheme="minorEastAsia" w:cstheme="minorEastAsia"/>
          <w:kern w:val="0"/>
          <w:sz w:val="21"/>
          <w:szCs w:val="21"/>
        </w:rPr>
        <w:t>。如</w:t>
      </w:r>
      <w:r>
        <w:rPr>
          <w:rFonts w:hint="eastAsia" w:asciiTheme="minorEastAsia" w:hAnsiTheme="minorEastAsia" w:eastAsiaTheme="minorEastAsia" w:cstheme="minorEastAsia"/>
          <w:kern w:val="0"/>
          <w:sz w:val="21"/>
          <w:szCs w:val="21"/>
          <w:lang w:eastAsia="zh-CN"/>
        </w:rPr>
        <w:t>中策职校</w:t>
      </w:r>
      <w:r>
        <w:rPr>
          <w:rFonts w:hint="eastAsia" w:asciiTheme="minorEastAsia" w:hAnsiTheme="minorEastAsia" w:eastAsiaTheme="minorEastAsia" w:cstheme="minorEastAsia"/>
          <w:kern w:val="0"/>
          <w:sz w:val="21"/>
          <w:szCs w:val="21"/>
        </w:rPr>
        <w:t>目前已</w:t>
      </w:r>
      <w:r>
        <w:rPr>
          <w:rFonts w:hint="eastAsia" w:asciiTheme="minorEastAsia" w:hAnsiTheme="minorEastAsia" w:eastAsiaTheme="minorEastAsia" w:cstheme="minorEastAsia"/>
          <w:kern w:val="0"/>
          <w:sz w:val="21"/>
          <w:szCs w:val="21"/>
          <w:lang w:eastAsia="zh-CN"/>
        </w:rPr>
        <w:t>参与</w:t>
      </w:r>
      <w:r>
        <w:rPr>
          <w:rFonts w:hint="eastAsia" w:asciiTheme="minorEastAsia" w:hAnsiTheme="minorEastAsia" w:eastAsiaTheme="minorEastAsia" w:cstheme="minorEastAsia"/>
          <w:kern w:val="0"/>
          <w:sz w:val="21"/>
          <w:szCs w:val="21"/>
        </w:rPr>
        <w:t>工业机器人</w:t>
      </w:r>
      <w:r>
        <w:rPr>
          <w:rFonts w:hint="eastAsia" w:asciiTheme="minorEastAsia" w:hAnsiTheme="minorEastAsia" w:eastAsiaTheme="minorEastAsia" w:cstheme="minorEastAsia"/>
          <w:kern w:val="0"/>
          <w:sz w:val="21"/>
          <w:szCs w:val="21"/>
          <w:lang w:eastAsia="zh-CN"/>
        </w:rPr>
        <w:t>应用</w:t>
      </w: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kern w:val="0"/>
          <w:sz w:val="21"/>
          <w:szCs w:val="21"/>
          <w:lang w:val="en-US" w:eastAsia="zh-CN"/>
        </w:rPr>
        <w:t>5G基站建设、</w:t>
      </w:r>
      <w:r>
        <w:rPr>
          <w:rFonts w:hint="eastAsia" w:asciiTheme="minorEastAsia" w:hAnsiTheme="minorEastAsia" w:eastAsiaTheme="minorEastAsia" w:cstheme="minorEastAsia"/>
          <w:kern w:val="0"/>
          <w:sz w:val="21"/>
          <w:szCs w:val="21"/>
          <w:lang w:eastAsia="zh-CN"/>
        </w:rPr>
        <w:t>污水处理</w:t>
      </w: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kern w:val="0"/>
          <w:sz w:val="21"/>
          <w:szCs w:val="21"/>
          <w:lang w:eastAsia="zh-CN"/>
        </w:rPr>
        <w:t>邮轮运管</w:t>
      </w: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kern w:val="0"/>
          <w:sz w:val="21"/>
          <w:szCs w:val="21"/>
          <w:lang w:eastAsia="zh-CN"/>
        </w:rPr>
        <w:t>运动营养</w:t>
      </w:r>
      <w:r>
        <w:rPr>
          <w:rFonts w:hint="eastAsia" w:asciiTheme="minorEastAsia" w:hAnsiTheme="minorEastAsia" w:eastAsiaTheme="minorEastAsia" w:cstheme="minorEastAsia"/>
          <w:kern w:val="0"/>
          <w:sz w:val="21"/>
          <w:szCs w:val="21"/>
        </w:rPr>
        <w:t>等</w:t>
      </w:r>
      <w:r>
        <w:rPr>
          <w:rFonts w:hint="eastAsia" w:asciiTheme="minorEastAsia" w:hAnsiTheme="minorEastAsia" w:eastAsiaTheme="minorEastAsia" w:cstheme="minorEastAsia"/>
          <w:kern w:val="0"/>
          <w:sz w:val="21"/>
          <w:szCs w:val="21"/>
          <w:lang w:val="en-US" w:eastAsia="zh-CN"/>
        </w:rPr>
        <w:t>11</w:t>
      </w:r>
      <w:r>
        <w:rPr>
          <w:rFonts w:hint="eastAsia" w:asciiTheme="minorEastAsia" w:hAnsiTheme="minorEastAsia" w:eastAsiaTheme="minorEastAsia" w:cstheme="minorEastAsia"/>
          <w:kern w:val="0"/>
          <w:sz w:val="21"/>
          <w:szCs w:val="21"/>
        </w:rPr>
        <w:t>个行业证书认证。</w:t>
      </w:r>
    </w:p>
    <w:p>
      <w:pPr>
        <w:keepNext/>
        <w:keepLines/>
        <w:widowControl w:val="0"/>
        <w:wordWrap/>
        <w:adjustRightInd/>
        <w:snapToGrid/>
        <w:spacing w:before="157" w:beforeLines="50" w:afterLines="0" w:line="360" w:lineRule="auto"/>
        <w:ind w:left="0" w:leftChars="0" w:right="0" w:firstLine="421" w:firstLineChars="200"/>
        <w:jc w:val="both"/>
        <w:textAlignment w:val="auto"/>
        <w:outlineLvl w:val="1"/>
        <w:rPr>
          <w:rFonts w:hint="eastAsia" w:ascii="楷体_GB2312" w:hAnsi="楷体_GB2312" w:eastAsia="楷体_GB2312" w:cs="楷体_GB2312"/>
          <w:kern w:val="0"/>
          <w:sz w:val="21"/>
          <w:szCs w:val="21"/>
          <w:lang w:val="en-US" w:eastAsia="zh-CN" w:bidi="ar-SA"/>
        </w:rPr>
      </w:pPr>
      <w:r>
        <w:rPr>
          <w:rFonts w:hint="eastAsia" w:ascii="楷体_GB2312" w:hAnsi="楷体_GB2312" w:eastAsia="楷体_GB2312" w:cs="楷体_GB2312"/>
          <w:b/>
          <w:sz w:val="21"/>
          <w:szCs w:val="21"/>
        </w:rPr>
        <w:t>【案例4-2】杭州</w:t>
      </w:r>
      <w:r>
        <w:rPr>
          <w:rFonts w:hint="eastAsia" w:ascii="楷体_GB2312" w:hAnsi="楷体_GB2312" w:eastAsia="楷体_GB2312" w:cs="楷体_GB2312"/>
          <w:b/>
          <w:sz w:val="21"/>
          <w:szCs w:val="21"/>
          <w:lang w:eastAsia="zh-CN"/>
        </w:rPr>
        <w:t>市中策职业学校全面推进“</w:t>
      </w:r>
      <w:r>
        <w:rPr>
          <w:rFonts w:hint="eastAsia" w:ascii="楷体_GB2312" w:hAnsi="楷体_GB2312" w:eastAsia="楷体_GB2312" w:cs="楷体_GB2312"/>
          <w:b/>
          <w:sz w:val="21"/>
          <w:szCs w:val="21"/>
          <w:lang w:val="en-US" w:eastAsia="zh-CN"/>
        </w:rPr>
        <w:t>1+X</w:t>
      </w:r>
      <w:r>
        <w:rPr>
          <w:rFonts w:hint="eastAsia" w:ascii="楷体_GB2312" w:hAnsi="楷体_GB2312" w:eastAsia="楷体_GB2312" w:cs="楷体_GB2312"/>
          <w:b/>
          <w:sz w:val="21"/>
          <w:szCs w:val="21"/>
          <w:lang w:eastAsia="zh-CN"/>
        </w:rPr>
        <w:t>”证书试点工作</w:t>
      </w:r>
    </w:p>
    <w:p>
      <w:pPr>
        <w:spacing w:beforeLines="0" w:afterLines="0" w:line="36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杭州市中策职业学校</w:t>
      </w:r>
      <w:r>
        <w:rPr>
          <w:rFonts w:hint="eastAsia" w:ascii="仿宋_GB2312" w:hAnsi="仿宋_GB2312" w:eastAsia="仿宋_GB2312" w:cs="仿宋_GB2312"/>
          <w:sz w:val="21"/>
          <w:szCs w:val="21"/>
        </w:rPr>
        <w:t>将1+X证书试点工作与专业建设紧密结合，以“专业集群全覆盖、应试尽试”的魄力，将1+X证书试点工作融入专业发展中，扎实开展教育教学改革。学校有中餐烹饪、电气运行与控制等9个专业参与1+X证书试点工作，涉及污水处理(初级中级)等11个证书项目。一是升级传统专业，推进人才培养与课程体系的转型升级，在电气专业中试点无人机驾驶方向，在计算机专业中试点5G方向，在环境专业中试点污水处理方向，在会计专业中试点业财一体与财税信息化方向，在中餐、西餐烹饪专业中试点运动营养健康方向，在高星级饭店运营与管理专业中试点邮轮方向；二是与</w:t>
      </w:r>
      <w:r>
        <w:rPr>
          <w:rFonts w:hint="eastAsia" w:ascii="仿宋_GB2312" w:hAnsi="仿宋_GB2312" w:eastAsia="仿宋_GB2312" w:cs="仿宋_GB2312"/>
          <w:sz w:val="21"/>
          <w:szCs w:val="21"/>
          <w:lang w:eastAsia="zh-CN"/>
        </w:rPr>
        <w:t>开设</w:t>
      </w:r>
      <w:r>
        <w:rPr>
          <w:rFonts w:hint="eastAsia" w:ascii="仿宋_GB2312" w:hAnsi="仿宋_GB2312" w:eastAsia="仿宋_GB2312" w:cs="仿宋_GB2312"/>
          <w:sz w:val="21"/>
          <w:szCs w:val="21"/>
        </w:rPr>
        <w:t>新专业</w:t>
      </w:r>
      <w:r>
        <w:rPr>
          <w:rFonts w:hint="eastAsia" w:ascii="仿宋_GB2312" w:hAnsi="仿宋_GB2312" w:eastAsia="仿宋_GB2312" w:cs="仿宋_GB2312"/>
          <w:sz w:val="21"/>
          <w:szCs w:val="21"/>
          <w:lang w:eastAsia="zh-CN"/>
        </w:rPr>
        <w:t>进行同步</w:t>
      </w:r>
      <w:r>
        <w:rPr>
          <w:rFonts w:hint="eastAsia" w:ascii="仿宋_GB2312" w:hAnsi="仿宋_GB2312" w:eastAsia="仿宋_GB2312" w:cs="仿宋_GB2312"/>
          <w:sz w:val="21"/>
          <w:szCs w:val="21"/>
        </w:rPr>
        <w:t>构架，进一步推进工业机器人技术应用、中西面点</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无人机操控与维护</w:t>
      </w:r>
      <w:r>
        <w:rPr>
          <w:rFonts w:hint="eastAsia" w:ascii="仿宋_GB2312" w:hAnsi="仿宋_GB2312" w:eastAsia="仿宋_GB2312" w:cs="仿宋_GB2312"/>
          <w:sz w:val="21"/>
          <w:szCs w:val="21"/>
          <w:lang w:eastAsia="zh-CN"/>
        </w:rPr>
        <w:t>等</w:t>
      </w:r>
      <w:r>
        <w:rPr>
          <w:rFonts w:hint="eastAsia" w:ascii="仿宋_GB2312" w:hAnsi="仿宋_GB2312" w:eastAsia="仿宋_GB2312" w:cs="仿宋_GB2312"/>
          <w:sz w:val="21"/>
          <w:szCs w:val="21"/>
        </w:rPr>
        <w:t>新专业建设。</w:t>
      </w:r>
    </w:p>
    <w:bookmarkEnd w:id="96"/>
    <w:bookmarkEnd w:id="97"/>
    <w:p>
      <w:pPr>
        <w:adjustRightInd/>
        <w:snapToGrid/>
        <w:spacing w:before="157" w:beforeLines="50" w:afterLines="0" w:line="360" w:lineRule="auto"/>
        <w:ind w:firstLine="421" w:firstLineChars="200"/>
        <w:rPr>
          <w:rFonts w:hint="eastAsia" w:eastAsia="宋体" w:cs="仿宋_GB2312" w:asciiTheme="minorEastAsia" w:hAnsiTheme="minorEastAsia"/>
          <w:kern w:val="0"/>
          <w:sz w:val="21"/>
          <w:szCs w:val="21"/>
          <w:lang w:eastAsia="zh-CN"/>
        </w:rPr>
      </w:pPr>
      <w:bookmarkStart w:id="98" w:name="_Toc29480860"/>
      <w:bookmarkStart w:id="99" w:name="_Toc29540408"/>
      <w:r>
        <w:rPr>
          <w:rFonts w:hint="eastAsia" w:asciiTheme="minorEastAsia" w:hAnsiTheme="minorEastAsia" w:eastAsiaTheme="minorEastAsia" w:cstheme="minorEastAsia"/>
          <w:b/>
          <w:bCs/>
          <w:sz w:val="21"/>
          <w:szCs w:val="21"/>
        </w:rPr>
        <w:t>区域政策突破壁垒，构建校企合作共赢机制</w:t>
      </w:r>
      <w:bookmarkEnd w:id="98"/>
      <w:bookmarkEnd w:id="99"/>
      <w:r>
        <w:rPr>
          <w:rFonts w:hint="eastAsia" w:asciiTheme="minorEastAsia" w:hAnsiTheme="minorEastAsia" w:eastAsiaTheme="minorEastAsia" w:cstheme="minorEastAsia"/>
          <w:b/>
          <w:bCs/>
          <w:sz w:val="21"/>
          <w:szCs w:val="21"/>
          <w:lang w:eastAsia="zh-CN"/>
        </w:rPr>
        <w:t>。</w:t>
      </w:r>
      <w:r>
        <w:rPr>
          <w:rFonts w:hint="eastAsia" w:cs="仿宋_GB2312" w:asciiTheme="minorEastAsia" w:hAnsiTheme="minorEastAsia" w:eastAsiaTheme="minorEastAsia"/>
          <w:kern w:val="0"/>
          <w:sz w:val="21"/>
          <w:szCs w:val="21"/>
        </w:rPr>
        <w:t>我市各地各校立足于区域和学校实际，积极探索产教融合、校企合作新路径，不断改革校企合作制度，努力破解校企合作的制度性壁垒，推进校企合作共赢机制的建立。</w:t>
      </w:r>
      <w:r>
        <w:rPr>
          <w:rFonts w:hint="eastAsia" w:cs="仿宋_GB2312" w:asciiTheme="minorEastAsia" w:hAnsiTheme="minorEastAsia" w:eastAsiaTheme="minorEastAsia"/>
          <w:kern w:val="0"/>
          <w:sz w:val="21"/>
          <w:szCs w:val="21"/>
          <w:lang w:val="en-US" w:eastAsia="zh-CN"/>
        </w:rPr>
        <w:t>2020</w:t>
      </w:r>
      <w:r>
        <w:rPr>
          <w:rFonts w:hint="eastAsia" w:cs="仿宋_GB2312" w:asciiTheme="minorEastAsia" w:hAnsiTheme="minorEastAsia" w:eastAsiaTheme="minorEastAsia"/>
          <w:kern w:val="0"/>
          <w:sz w:val="21"/>
          <w:szCs w:val="21"/>
        </w:rPr>
        <w:t>年，杭州中职学校对接区域经济发展特点与产业升级需求，通过“引企入校”建立研发基地，成立学校企业行业联盟，共同制定行业标准，推动企业通过校企合作等方式构建规范化的技术课程、实习实训和技能评价标准体系，协同建设质量保证体系，为企业提供高素质员工及提供员工培训等方式服务区域经济发展。</w:t>
      </w:r>
      <w:r>
        <w:rPr>
          <w:rFonts w:hint="eastAsia" w:asciiTheme="minorEastAsia" w:hAnsiTheme="minorEastAsia" w:eastAsiaTheme="minorEastAsia" w:cstheme="minorEastAsia"/>
          <w:sz w:val="21"/>
          <w:szCs w:val="21"/>
        </w:rPr>
        <w:t>西湖职高旅游产业高技能人才培养基地、中策职校智能设备运行和控制项目</w:t>
      </w:r>
      <w:r>
        <w:rPr>
          <w:rFonts w:hint="eastAsia" w:asciiTheme="minorEastAsia" w:hAnsiTheme="minorEastAsia" w:eastAsiaTheme="minorEastAsia" w:cstheme="minorEastAsia"/>
          <w:sz w:val="21"/>
          <w:szCs w:val="21"/>
          <w:lang w:eastAsia="zh-CN"/>
        </w:rPr>
        <w:t>成功入选</w:t>
      </w:r>
      <w:r>
        <w:rPr>
          <w:rFonts w:hint="eastAsia" w:asciiTheme="minorEastAsia" w:hAnsiTheme="minorEastAsia" w:eastAsiaTheme="minorEastAsia" w:cstheme="minorEastAsia"/>
          <w:sz w:val="21"/>
          <w:szCs w:val="21"/>
        </w:rPr>
        <w:t>浙江省产教融合“五个一批”工程项目</w:t>
      </w:r>
      <w:r>
        <w:rPr>
          <w:rFonts w:hint="eastAsia" w:asciiTheme="minorEastAsia" w:hAnsiTheme="minorEastAsia" w:eastAsiaTheme="minorEastAsia" w:cstheme="minorEastAsia"/>
          <w:sz w:val="21"/>
          <w:szCs w:val="21"/>
          <w:lang w:eastAsia="zh-CN"/>
        </w:rPr>
        <w:t>。</w:t>
      </w:r>
    </w:p>
    <w:p>
      <w:pPr>
        <w:spacing w:before="157" w:beforeLines="50" w:afterLines="0" w:line="360" w:lineRule="auto"/>
        <w:ind w:firstLine="421" w:firstLineChars="200"/>
        <w:rPr>
          <w:rFonts w:hint="eastAsia" w:ascii="楷体_GB2312" w:hAnsi="楷体_GB2312" w:eastAsia="楷体_GB2312" w:cs="楷体_GB2312"/>
          <w:b/>
          <w:sz w:val="21"/>
          <w:szCs w:val="21"/>
        </w:rPr>
      </w:pPr>
      <w:r>
        <w:rPr>
          <w:rFonts w:hint="eastAsia" w:ascii="楷体_GB2312" w:hAnsi="楷体_GB2312" w:eastAsia="楷体_GB2312" w:cs="楷体_GB2312"/>
          <w:b/>
          <w:sz w:val="21"/>
          <w:szCs w:val="21"/>
        </w:rPr>
        <w:t>【案例4-</w:t>
      </w:r>
      <w:r>
        <w:rPr>
          <w:rFonts w:hint="eastAsia" w:ascii="楷体_GB2312" w:hAnsi="楷体_GB2312" w:eastAsia="楷体_GB2312" w:cs="楷体_GB2312"/>
          <w:b/>
          <w:sz w:val="21"/>
          <w:szCs w:val="21"/>
          <w:lang w:val="en-US" w:eastAsia="zh-CN"/>
        </w:rPr>
        <w:t>3</w:t>
      </w:r>
      <w:r>
        <w:rPr>
          <w:rFonts w:hint="eastAsia" w:ascii="楷体_GB2312" w:hAnsi="楷体_GB2312" w:eastAsia="楷体_GB2312" w:cs="楷体_GB2312"/>
          <w:b/>
          <w:sz w:val="21"/>
          <w:szCs w:val="21"/>
        </w:rPr>
        <w:t>】</w:t>
      </w:r>
      <w:r>
        <w:rPr>
          <w:rFonts w:hint="eastAsia" w:ascii="楷体_GB2312" w:hAnsi="楷体_GB2312" w:eastAsia="楷体_GB2312" w:cs="楷体_GB2312"/>
          <w:b/>
          <w:sz w:val="21"/>
          <w:szCs w:val="21"/>
          <w:lang w:eastAsia="zh-CN"/>
        </w:rPr>
        <w:t>杭州市</w:t>
      </w:r>
      <w:r>
        <w:rPr>
          <w:rFonts w:hint="eastAsia" w:ascii="楷体_GB2312" w:hAnsi="楷体_GB2312" w:eastAsia="楷体_GB2312" w:cs="楷体_GB2312"/>
          <w:b/>
          <w:sz w:val="21"/>
          <w:szCs w:val="21"/>
        </w:rPr>
        <w:t>西湖</w:t>
      </w:r>
      <w:r>
        <w:rPr>
          <w:rFonts w:hint="eastAsia" w:ascii="楷体_GB2312" w:hAnsi="楷体_GB2312" w:eastAsia="楷体_GB2312" w:cs="楷体_GB2312"/>
          <w:b/>
          <w:sz w:val="21"/>
          <w:szCs w:val="21"/>
          <w:lang w:eastAsia="zh-CN"/>
        </w:rPr>
        <w:t>职业高级中学</w:t>
      </w:r>
      <w:r>
        <w:rPr>
          <w:rFonts w:hint="eastAsia" w:ascii="楷体_GB2312" w:hAnsi="楷体_GB2312" w:eastAsia="楷体_GB2312" w:cs="楷体_GB2312"/>
          <w:b/>
          <w:sz w:val="21"/>
          <w:szCs w:val="21"/>
        </w:rPr>
        <w:t>携手企业共建人才基地</w:t>
      </w:r>
    </w:p>
    <w:p>
      <w:pPr>
        <w:spacing w:before="0" w:beforeLines="0" w:after="0" w:afterLines="0" w:line="360" w:lineRule="auto"/>
        <w:ind w:firstLine="420" w:firstLineChars="200"/>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sz w:val="21"/>
          <w:szCs w:val="21"/>
        </w:rPr>
        <w:t>杭州市西湖职业高级中学与杭州嘉麦食品有限公司、杭州西湖文化旅游投资集团有限公司开展战略合作，引企入校。结合“全域旅游、集群发展、智慧旅游”的产业发展新趋势，从产业供给出发，围绕旅游产业结构六要素——吃（旅游餐饮）、住（酒店住宿）、行（交通）、游（景观旅游）、购（旅游商品）、娱（休闲文化）转型升级对人才需求的新要求，发挥学校旅游、烹饪、电子商务等品牌专业的优势，建成涵盖跨企业餐饮人才培养基地、酒店（民宿）运营管理人才培养基地、旅游产品设计与推广人才培养基地、旅游土特产开发与推广人才培养基地以及与文化产业相结合的文创产业与体验基地的省旅游产业高技能人才培养基地。通过基地的“4+1”协同运作、校企学徒培养、基地轮岗实训等模式，实现旅游产业高技能复合性人才的“全域育人”和“全程培养”，为进一步实现旅游强省、推动浙江省旅游业迈向更高的水平输送旅游业高技能复合型人才。</w:t>
      </w:r>
    </w:p>
    <w:p>
      <w:pPr>
        <w:pStyle w:val="3"/>
        <w:spacing w:before="157" w:beforeLines="50" w:after="0" w:afterLines="0" w:line="360" w:lineRule="auto"/>
        <w:ind w:left="0" w:right="0" w:firstLine="450" w:firstLineChars="150"/>
        <w:rPr>
          <w:rFonts w:hint="eastAsia" w:ascii="黑体" w:hAnsi="黑体" w:eastAsia="黑体" w:cs="黑体"/>
          <w:b w:val="0"/>
          <w:bCs w:val="0"/>
          <w:sz w:val="30"/>
          <w:szCs w:val="30"/>
        </w:rPr>
      </w:pPr>
      <w:bookmarkStart w:id="100" w:name="_bookmark31"/>
      <w:bookmarkEnd w:id="100"/>
      <w:bookmarkStart w:id="101" w:name="_Toc29540409"/>
      <w:bookmarkStart w:id="102" w:name="_Toc28351874"/>
      <w:bookmarkStart w:id="103" w:name="_Toc2030503309_WPSOffice_Level2"/>
      <w:bookmarkStart w:id="104" w:name="_Toc29480861"/>
      <w:bookmarkStart w:id="105" w:name="_Toc1382680507_WPSOffice_Level2"/>
      <w:r>
        <w:rPr>
          <w:rFonts w:hint="eastAsia" w:ascii="黑体" w:hAnsi="黑体" w:eastAsia="黑体" w:cs="黑体"/>
          <w:b w:val="0"/>
          <w:bCs w:val="0"/>
          <w:sz w:val="30"/>
          <w:szCs w:val="30"/>
        </w:rPr>
        <w:t>4.2 学生实习情况</w:t>
      </w:r>
      <w:bookmarkEnd w:id="101"/>
      <w:bookmarkEnd w:id="102"/>
      <w:bookmarkEnd w:id="103"/>
      <w:bookmarkEnd w:id="104"/>
      <w:bookmarkEnd w:id="105"/>
    </w:p>
    <w:p>
      <w:pPr>
        <w:adjustRightInd/>
        <w:snapToGrid/>
        <w:spacing w:beforeLines="0" w:afterLines="0" w:line="360" w:lineRule="auto"/>
        <w:ind w:firstLine="420" w:firstLineChars="200"/>
        <w:rPr>
          <w:rFonts w:hint="eastAsia" w:cs="仿宋_GB2312" w:asciiTheme="minorEastAsia" w:hAnsiTheme="minorEastAsia" w:eastAsiaTheme="minorEastAsia"/>
          <w:kern w:val="0"/>
          <w:sz w:val="21"/>
          <w:szCs w:val="21"/>
        </w:rPr>
      </w:pPr>
      <w:r>
        <w:rPr>
          <w:rFonts w:hint="eastAsia" w:cs="仿宋_GB2312" w:asciiTheme="minorEastAsia" w:hAnsiTheme="minorEastAsia" w:eastAsiaTheme="minorEastAsia"/>
          <w:kern w:val="0"/>
          <w:sz w:val="21"/>
          <w:szCs w:val="21"/>
        </w:rPr>
        <w:t xml:space="preserve">截至 </w:t>
      </w:r>
      <w:r>
        <w:rPr>
          <w:rFonts w:hint="eastAsia" w:cs="仿宋_GB2312" w:asciiTheme="minorEastAsia" w:hAnsiTheme="minorEastAsia" w:eastAsiaTheme="minorEastAsia"/>
          <w:kern w:val="0"/>
          <w:sz w:val="21"/>
          <w:szCs w:val="21"/>
          <w:lang w:val="en-US" w:eastAsia="zh-CN"/>
        </w:rPr>
        <w:t>2020</w:t>
      </w:r>
      <w:r>
        <w:rPr>
          <w:rFonts w:hint="eastAsia" w:cs="仿宋_GB2312" w:asciiTheme="minorEastAsia" w:hAnsiTheme="minorEastAsia" w:eastAsiaTheme="minorEastAsia"/>
          <w:kern w:val="0"/>
          <w:sz w:val="21"/>
          <w:szCs w:val="21"/>
        </w:rPr>
        <w:t xml:space="preserve"> 年底，我市中职学校在外实习学生</w:t>
      </w:r>
      <w:r>
        <w:rPr>
          <w:rFonts w:hint="eastAsia" w:cs="仿宋_GB2312" w:asciiTheme="minorEastAsia" w:hAnsiTheme="minorEastAsia" w:eastAsiaTheme="minorEastAsia"/>
          <w:kern w:val="0"/>
          <w:sz w:val="21"/>
          <w:szCs w:val="21"/>
          <w:lang w:val="en-US" w:eastAsia="zh-CN"/>
        </w:rPr>
        <w:t>6543</w:t>
      </w:r>
      <w:r>
        <w:rPr>
          <w:rFonts w:hint="eastAsia" w:cs="仿宋_GB2312" w:asciiTheme="minorEastAsia" w:hAnsiTheme="minorEastAsia" w:eastAsiaTheme="minorEastAsia"/>
          <w:kern w:val="0"/>
          <w:sz w:val="21"/>
          <w:szCs w:val="21"/>
        </w:rPr>
        <w:t>人，实习单位</w:t>
      </w:r>
      <w:r>
        <w:rPr>
          <w:rFonts w:hint="eastAsia" w:cs="仿宋_GB2312" w:asciiTheme="minorEastAsia" w:hAnsiTheme="minorEastAsia" w:eastAsiaTheme="minorEastAsia"/>
          <w:kern w:val="0"/>
          <w:sz w:val="21"/>
          <w:szCs w:val="21"/>
          <w:lang w:val="en-US" w:eastAsia="zh-CN"/>
        </w:rPr>
        <w:t>1570</w:t>
      </w:r>
      <w:r>
        <w:rPr>
          <w:rFonts w:hint="eastAsia" w:cs="仿宋_GB2312" w:asciiTheme="minorEastAsia" w:hAnsiTheme="minorEastAsia" w:eastAsiaTheme="minorEastAsia"/>
          <w:kern w:val="0"/>
          <w:sz w:val="21"/>
          <w:szCs w:val="21"/>
        </w:rPr>
        <w:t>家。市本级财政以及萧山区、余杭区、桐庐县等地财政对实习学生还给予每月</w:t>
      </w:r>
      <w:r>
        <w:rPr>
          <w:rFonts w:cs="仿宋_GB2312" w:asciiTheme="minorEastAsia" w:hAnsiTheme="minorEastAsia" w:eastAsiaTheme="minorEastAsia"/>
          <w:kern w:val="0"/>
          <w:sz w:val="21"/>
          <w:szCs w:val="21"/>
        </w:rPr>
        <w:t>300</w:t>
      </w:r>
      <w:r>
        <w:rPr>
          <w:rFonts w:hint="eastAsia" w:cs="仿宋_GB2312" w:asciiTheme="minorEastAsia" w:hAnsiTheme="minorEastAsia" w:eastAsiaTheme="minorEastAsia"/>
          <w:kern w:val="0"/>
          <w:sz w:val="21"/>
          <w:szCs w:val="21"/>
        </w:rPr>
        <w:t>元不等的经费补助。</w:t>
      </w:r>
      <w:bookmarkStart w:id="106" w:name="_Toc29480862"/>
      <w:bookmarkStart w:id="107" w:name="_Toc29540410"/>
      <w:bookmarkStart w:id="108" w:name="_Toc28351875"/>
    </w:p>
    <w:p>
      <w:pPr>
        <w:adjustRightInd/>
        <w:snapToGrid/>
        <w:spacing w:beforeLines="0" w:afterLines="0" w:line="360" w:lineRule="auto"/>
        <w:ind w:firstLine="421"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sz w:val="21"/>
          <w:szCs w:val="21"/>
        </w:rPr>
        <w:t>精选实习企业，提升实习质量</w:t>
      </w:r>
      <w:bookmarkEnd w:id="106"/>
      <w:bookmarkEnd w:id="107"/>
      <w:bookmarkEnd w:id="108"/>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b w:val="0"/>
          <w:bCs w:val="0"/>
          <w:kern w:val="0"/>
          <w:sz w:val="21"/>
          <w:szCs w:val="21"/>
        </w:rPr>
        <w:t>20</w:t>
      </w:r>
      <w:r>
        <w:rPr>
          <w:rFonts w:hint="eastAsia" w:asciiTheme="minorEastAsia" w:hAnsiTheme="minorEastAsia" w:eastAsiaTheme="minorEastAsia" w:cstheme="minorEastAsia"/>
          <w:b w:val="0"/>
          <w:bCs w:val="0"/>
          <w:kern w:val="0"/>
          <w:sz w:val="21"/>
          <w:szCs w:val="21"/>
          <w:lang w:val="en-US" w:eastAsia="zh-CN"/>
        </w:rPr>
        <w:t>20</w:t>
      </w:r>
      <w:r>
        <w:rPr>
          <w:rFonts w:hint="eastAsia" w:asciiTheme="minorEastAsia" w:hAnsiTheme="minorEastAsia" w:eastAsiaTheme="minorEastAsia" w:cstheme="minorEastAsia"/>
          <w:b w:val="0"/>
          <w:bCs w:val="0"/>
          <w:kern w:val="0"/>
          <w:sz w:val="21"/>
          <w:szCs w:val="21"/>
        </w:rPr>
        <w:t>年，“高质量”成为我市中职学生实习的新要求。各中职学校在学生实习管理工作中努力做好精选实习企业，把好质量关，主要通过组织校园招聘会、就业推介会等形式，实现企业与学生的双向选择，学生在众多企业中择优选择实习单位。据不完全统计，全市中职学校合作企业遴选比例约为48%，呈现学生实习供不应求的现象。</w:t>
      </w:r>
    </w:p>
    <w:p>
      <w:pPr>
        <w:spacing w:before="157" w:beforeLines="50" w:afterLines="0" w:line="360" w:lineRule="auto"/>
        <w:ind w:firstLine="421" w:firstLineChars="200"/>
        <w:rPr>
          <w:rFonts w:hint="eastAsia" w:ascii="楷体_GB2312" w:hAnsi="楷体_GB2312" w:eastAsia="楷体_GB2312" w:cs="楷体_GB2312"/>
          <w:b/>
          <w:sz w:val="21"/>
          <w:szCs w:val="21"/>
        </w:rPr>
      </w:pPr>
      <w:r>
        <w:rPr>
          <w:rFonts w:hint="eastAsia" w:ascii="楷体_GB2312" w:hAnsi="楷体_GB2312" w:eastAsia="楷体_GB2312" w:cs="楷体_GB2312"/>
          <w:b/>
          <w:sz w:val="21"/>
          <w:szCs w:val="21"/>
        </w:rPr>
        <w:t>【案例4-</w:t>
      </w:r>
      <w:r>
        <w:rPr>
          <w:rFonts w:hint="eastAsia" w:ascii="楷体_GB2312" w:hAnsi="楷体_GB2312" w:eastAsia="楷体_GB2312" w:cs="楷体_GB2312"/>
          <w:b/>
          <w:sz w:val="21"/>
          <w:szCs w:val="21"/>
          <w:lang w:val="en-US" w:eastAsia="zh-CN"/>
        </w:rPr>
        <w:t>4</w:t>
      </w:r>
      <w:r>
        <w:rPr>
          <w:rFonts w:hint="eastAsia" w:ascii="楷体_GB2312" w:hAnsi="楷体_GB2312" w:eastAsia="楷体_GB2312" w:cs="楷体_GB2312"/>
          <w:b/>
          <w:sz w:val="21"/>
          <w:szCs w:val="21"/>
        </w:rPr>
        <w:t>】20</w:t>
      </w:r>
      <w:r>
        <w:rPr>
          <w:rFonts w:hint="eastAsia" w:ascii="楷体_GB2312" w:hAnsi="楷体_GB2312" w:eastAsia="楷体_GB2312" w:cs="楷体_GB2312"/>
          <w:b/>
          <w:sz w:val="21"/>
          <w:szCs w:val="21"/>
          <w:lang w:val="en-US" w:eastAsia="zh-CN"/>
        </w:rPr>
        <w:t>20</w:t>
      </w:r>
      <w:r>
        <w:rPr>
          <w:rFonts w:hint="eastAsia" w:ascii="楷体_GB2312" w:hAnsi="楷体_GB2312" w:eastAsia="楷体_GB2312" w:cs="楷体_GB2312"/>
          <w:b/>
          <w:sz w:val="21"/>
          <w:szCs w:val="21"/>
        </w:rPr>
        <w:t>年中职</w:t>
      </w:r>
      <w:r>
        <w:rPr>
          <w:rFonts w:hint="eastAsia" w:ascii="楷体_GB2312" w:hAnsi="楷体_GB2312" w:eastAsia="楷体_GB2312" w:cs="楷体_GB2312"/>
          <w:b/>
          <w:sz w:val="21"/>
          <w:szCs w:val="21"/>
          <w:lang w:eastAsia="zh-CN"/>
        </w:rPr>
        <w:t>学校</w:t>
      </w:r>
      <w:r>
        <w:rPr>
          <w:rFonts w:hint="eastAsia" w:ascii="楷体_GB2312" w:hAnsi="楷体_GB2312" w:eastAsia="楷体_GB2312" w:cs="楷体_GB2312"/>
          <w:b/>
          <w:sz w:val="21"/>
          <w:szCs w:val="21"/>
        </w:rPr>
        <w:t>实习招聘会呈现“供不应求”</w:t>
      </w:r>
    </w:p>
    <w:p>
      <w:pPr>
        <w:spacing w:beforeLines="0" w:afterLines="0" w:line="36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年，杭州市交通</w:t>
      </w:r>
      <w:r>
        <w:rPr>
          <w:rFonts w:hint="eastAsia" w:ascii="仿宋_GB2312" w:hAnsi="仿宋_GB2312" w:eastAsia="仿宋_GB2312" w:cs="仿宋_GB2312"/>
          <w:sz w:val="21"/>
          <w:szCs w:val="21"/>
          <w:lang w:eastAsia="zh-CN"/>
        </w:rPr>
        <w:t>职业高级中学</w:t>
      </w:r>
      <w:r>
        <w:rPr>
          <w:rFonts w:hint="eastAsia" w:ascii="仿宋_GB2312" w:hAnsi="仿宋_GB2312" w:eastAsia="仿宋_GB2312" w:cs="仿宋_GB2312"/>
          <w:sz w:val="21"/>
          <w:szCs w:val="21"/>
        </w:rPr>
        <w:t>召开实习就业招聘会，共有70多家企业参加，1</w:t>
      </w:r>
      <w:r>
        <w:rPr>
          <w:rFonts w:hint="eastAsia" w:ascii="仿宋_GB2312" w:hAnsi="仿宋_GB2312" w:eastAsia="仿宋_GB2312" w:cs="仿宋_GB2312"/>
          <w:sz w:val="21"/>
          <w:szCs w:val="21"/>
          <w:lang w:val="en-US" w:eastAsia="zh-CN"/>
        </w:rPr>
        <w:t>32</w:t>
      </w:r>
      <w:r>
        <w:rPr>
          <w:rFonts w:hint="eastAsia" w:ascii="仿宋_GB2312" w:hAnsi="仿宋_GB2312" w:eastAsia="仿宋_GB2312" w:cs="仿宋_GB2312"/>
          <w:sz w:val="21"/>
          <w:szCs w:val="21"/>
          <w:lang w:eastAsia="zh-CN"/>
        </w:rPr>
        <w:t>位</w:t>
      </w:r>
      <w:r>
        <w:rPr>
          <w:rFonts w:hint="eastAsia" w:ascii="仿宋_GB2312" w:hAnsi="仿宋_GB2312" w:eastAsia="仿宋_GB2312" w:cs="仿宋_GB2312"/>
          <w:sz w:val="21"/>
          <w:szCs w:val="21"/>
        </w:rPr>
        <w:t>学生被3</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家企</w:t>
      </w:r>
      <w:r>
        <w:rPr>
          <w:rFonts w:hint="eastAsia" w:ascii="仿宋_GB2312" w:hAnsi="仿宋_GB2312" w:eastAsia="仿宋_GB2312" w:cs="仿宋_GB2312"/>
          <w:sz w:val="21"/>
          <w:szCs w:val="21"/>
          <w:lang w:eastAsia="zh-CN"/>
        </w:rPr>
        <w:t>业</w:t>
      </w:r>
      <w:r>
        <w:rPr>
          <w:rFonts w:hint="eastAsia" w:ascii="仿宋_GB2312" w:hAnsi="仿宋_GB2312" w:eastAsia="仿宋_GB2312" w:cs="仿宋_GB2312"/>
          <w:sz w:val="21"/>
          <w:szCs w:val="21"/>
        </w:rPr>
        <w:t xml:space="preserve">录用并参与顶岗实习年的实践任务。杭州市旅游职业学校校园招聘会上，从 </w:t>
      </w:r>
      <w:r>
        <w:rPr>
          <w:rFonts w:hint="eastAsia" w:ascii="仿宋_GB2312" w:hAnsi="仿宋_GB2312" w:eastAsia="仿宋_GB2312" w:cs="仿宋_GB2312"/>
          <w:sz w:val="21"/>
          <w:szCs w:val="21"/>
          <w:lang w:val="en-US" w:eastAsia="zh-CN"/>
        </w:rPr>
        <w:t>63</w:t>
      </w:r>
      <w:r>
        <w:rPr>
          <w:rFonts w:hint="eastAsia" w:ascii="仿宋_GB2312" w:hAnsi="仿宋_GB2312" w:eastAsia="仿宋_GB2312" w:cs="仿宋_GB2312"/>
          <w:sz w:val="21"/>
          <w:szCs w:val="21"/>
        </w:rPr>
        <w:t>家合作企业中选择 3</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家优质企业为学校1</w:t>
      </w:r>
      <w:r>
        <w:rPr>
          <w:rFonts w:hint="eastAsia" w:ascii="仿宋_GB2312" w:hAnsi="仿宋_GB2312" w:eastAsia="仿宋_GB2312" w:cs="仿宋_GB2312"/>
          <w:sz w:val="21"/>
          <w:szCs w:val="21"/>
          <w:lang w:val="en-US" w:eastAsia="zh-CN"/>
        </w:rPr>
        <w:t>8</w:t>
      </w:r>
      <w:r>
        <w:rPr>
          <w:rFonts w:hint="eastAsia" w:ascii="仿宋_GB2312" w:hAnsi="仿宋_GB2312" w:eastAsia="仿宋_GB2312" w:cs="仿宋_GB2312"/>
          <w:sz w:val="21"/>
          <w:szCs w:val="21"/>
        </w:rPr>
        <w:t>级实习生提供</w:t>
      </w:r>
      <w:r>
        <w:rPr>
          <w:rFonts w:hint="eastAsia" w:ascii="仿宋_GB2312" w:hAnsi="仿宋_GB2312" w:eastAsia="仿宋_GB2312" w:cs="仿宋_GB2312"/>
          <w:sz w:val="21"/>
          <w:szCs w:val="21"/>
          <w:lang w:eastAsia="zh-CN"/>
        </w:rPr>
        <w:t>了</w:t>
      </w:r>
      <w:r>
        <w:rPr>
          <w:rFonts w:hint="eastAsia" w:ascii="仿宋_GB2312" w:hAnsi="仿宋_GB2312" w:eastAsia="仿宋_GB2312" w:cs="仿宋_GB2312"/>
          <w:sz w:val="21"/>
          <w:szCs w:val="21"/>
          <w:lang w:val="en-US" w:eastAsia="zh-CN"/>
        </w:rPr>
        <w:t>350个</w:t>
      </w:r>
      <w:r>
        <w:rPr>
          <w:rFonts w:hint="eastAsia" w:ascii="仿宋_GB2312" w:hAnsi="仿宋_GB2312" w:eastAsia="仿宋_GB2312" w:cs="仿宋_GB2312"/>
          <w:sz w:val="21"/>
          <w:szCs w:val="21"/>
        </w:rPr>
        <w:t>优质岗位</w:t>
      </w:r>
      <w:r>
        <w:rPr>
          <w:rFonts w:hint="eastAsia" w:ascii="仿宋_GB2312" w:hAnsi="仿宋_GB2312" w:eastAsia="仿宋_GB2312" w:cs="仿宋_GB2312"/>
          <w:sz w:val="21"/>
          <w:szCs w:val="21"/>
          <w:lang w:eastAsia="zh-CN"/>
        </w:rPr>
        <w:t>，比上一年度增加了</w:t>
      </w:r>
      <w:r>
        <w:rPr>
          <w:rFonts w:hint="eastAsia" w:ascii="仿宋_GB2312" w:hAnsi="仿宋_GB2312" w:eastAsia="仿宋_GB2312" w:cs="仿宋_GB2312"/>
          <w:sz w:val="21"/>
          <w:szCs w:val="21"/>
          <w:lang w:val="en-US" w:eastAsia="zh-CN"/>
        </w:rPr>
        <w:t>40个</w:t>
      </w:r>
      <w:r>
        <w:rPr>
          <w:rFonts w:hint="eastAsia" w:ascii="仿宋_GB2312" w:hAnsi="仿宋_GB2312" w:eastAsia="仿宋_GB2312" w:cs="仿宋_GB2312"/>
          <w:sz w:val="21"/>
          <w:szCs w:val="21"/>
        </w:rPr>
        <w:t>，为实习生选择优质岗位提供了很大的空间，确保了学生的高质量</w:t>
      </w:r>
      <w:r>
        <w:rPr>
          <w:rFonts w:hint="eastAsia" w:ascii="仿宋_GB2312" w:hAnsi="仿宋_GB2312" w:eastAsia="仿宋_GB2312" w:cs="仿宋_GB2312"/>
          <w:sz w:val="21"/>
          <w:szCs w:val="21"/>
          <w:lang w:eastAsia="zh-CN"/>
        </w:rPr>
        <w:t>实习</w:t>
      </w:r>
      <w:r>
        <w:rPr>
          <w:rFonts w:hint="eastAsia" w:ascii="仿宋_GB2312" w:hAnsi="仿宋_GB2312" w:eastAsia="仿宋_GB2312" w:cs="仿宋_GB2312"/>
          <w:sz w:val="21"/>
          <w:szCs w:val="21"/>
        </w:rPr>
        <w:t>。</w:t>
      </w:r>
    </w:p>
    <w:p>
      <w:pPr>
        <w:adjustRightInd/>
        <w:snapToGrid/>
        <w:spacing w:before="157" w:beforeLines="50" w:after="0" w:afterLines="0" w:line="360" w:lineRule="auto"/>
        <w:ind w:firstLine="421"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sz w:val="21"/>
          <w:szCs w:val="21"/>
          <w:lang w:eastAsia="zh-CN"/>
        </w:rPr>
        <w:t>开</w:t>
      </w:r>
      <w:r>
        <w:rPr>
          <w:rFonts w:hint="eastAsia" w:asciiTheme="minorEastAsia" w:hAnsiTheme="minorEastAsia" w:eastAsiaTheme="minorEastAsia" w:cstheme="minorEastAsia"/>
          <w:b/>
          <w:bCs/>
          <w:sz w:val="21"/>
          <w:szCs w:val="21"/>
        </w:rPr>
        <w:t>展学徒培养，落实对口实习</w:t>
      </w: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b w:val="0"/>
          <w:bCs w:val="0"/>
          <w:kern w:val="0"/>
          <w:sz w:val="21"/>
          <w:szCs w:val="21"/>
        </w:rPr>
        <w:t>2019年，我市继续推进现代学徒制试点工作，在学生实习中建立“强对口”实习机制。依托现代学徒制试点，开展订单培养，将学生实习纳入人才培养的整体设计中，实现学生培养与实习精准对接，切实提高人才培养质量。依托中高职一体化育人机制，将学生实习纳入长期培养规划，合理分配到学习的各个阶段，增强实习的过程性与针对性。依托职业教育集团化办学，学校与企业建立长期合作协议，共同组建校内外实习实训基地，提升</w:t>
      </w:r>
      <w:r>
        <w:rPr>
          <w:rFonts w:hint="eastAsia" w:asciiTheme="minorEastAsia" w:hAnsiTheme="minorEastAsia" w:eastAsiaTheme="minorEastAsia" w:cstheme="minorEastAsia"/>
          <w:b w:val="0"/>
          <w:bCs w:val="0"/>
          <w:kern w:val="0"/>
          <w:sz w:val="21"/>
          <w:szCs w:val="21"/>
          <w:lang w:eastAsia="zh-CN"/>
        </w:rPr>
        <w:t>学生</w:t>
      </w:r>
      <w:r>
        <w:rPr>
          <w:rFonts w:hint="eastAsia" w:asciiTheme="minorEastAsia" w:hAnsiTheme="minorEastAsia" w:eastAsiaTheme="minorEastAsia" w:cstheme="minorEastAsia"/>
          <w:b w:val="0"/>
          <w:bCs w:val="0"/>
          <w:kern w:val="0"/>
          <w:sz w:val="21"/>
          <w:szCs w:val="21"/>
        </w:rPr>
        <w:t>实习的专业对口率。</w:t>
      </w:r>
    </w:p>
    <w:p>
      <w:pPr>
        <w:spacing w:before="157" w:beforeLines="50" w:afterLines="0" w:line="360" w:lineRule="auto"/>
        <w:ind w:firstLine="421" w:firstLineChars="200"/>
        <w:rPr>
          <w:rFonts w:hint="eastAsia" w:ascii="楷体_GB2312" w:hAnsi="楷体_GB2312" w:eastAsia="楷体_GB2312" w:cs="楷体_GB2312"/>
          <w:b/>
          <w:sz w:val="21"/>
          <w:szCs w:val="21"/>
        </w:rPr>
      </w:pPr>
      <w:r>
        <w:rPr>
          <w:rFonts w:hint="eastAsia" w:ascii="楷体_GB2312" w:hAnsi="楷体_GB2312" w:eastAsia="楷体_GB2312" w:cs="楷体_GB2312"/>
          <w:b/>
          <w:sz w:val="21"/>
          <w:szCs w:val="21"/>
        </w:rPr>
        <w:t>【案例4-</w:t>
      </w:r>
      <w:r>
        <w:rPr>
          <w:rFonts w:hint="eastAsia" w:ascii="楷体_GB2312" w:hAnsi="楷体_GB2312" w:eastAsia="楷体_GB2312" w:cs="楷体_GB2312"/>
          <w:b/>
          <w:sz w:val="21"/>
          <w:szCs w:val="21"/>
          <w:lang w:val="en-US" w:eastAsia="zh-CN"/>
        </w:rPr>
        <w:t>5</w:t>
      </w:r>
      <w:r>
        <w:rPr>
          <w:rFonts w:hint="eastAsia" w:ascii="楷体_GB2312" w:hAnsi="楷体_GB2312" w:eastAsia="楷体_GB2312" w:cs="楷体_GB2312"/>
          <w:b/>
          <w:sz w:val="21"/>
          <w:szCs w:val="21"/>
        </w:rPr>
        <w:t>】</w:t>
      </w:r>
      <w:r>
        <w:rPr>
          <w:rFonts w:hint="eastAsia" w:ascii="楷体_GB2312" w:hAnsi="楷体_GB2312" w:eastAsia="楷体_GB2312" w:cs="楷体_GB2312"/>
          <w:b/>
          <w:sz w:val="21"/>
          <w:szCs w:val="21"/>
          <w:lang w:eastAsia="zh-CN"/>
        </w:rPr>
        <w:t>杭州市</w:t>
      </w:r>
      <w:r>
        <w:rPr>
          <w:rFonts w:hint="eastAsia" w:ascii="楷体_GB2312" w:hAnsi="楷体_GB2312" w:eastAsia="楷体_GB2312" w:cs="楷体_GB2312"/>
          <w:b/>
          <w:sz w:val="21"/>
          <w:szCs w:val="21"/>
        </w:rPr>
        <w:t>电子</w:t>
      </w:r>
      <w:r>
        <w:rPr>
          <w:rFonts w:hint="eastAsia" w:ascii="楷体_GB2312" w:hAnsi="楷体_GB2312" w:eastAsia="楷体_GB2312" w:cs="楷体_GB2312"/>
          <w:b/>
          <w:sz w:val="21"/>
          <w:szCs w:val="21"/>
          <w:lang w:eastAsia="zh-CN"/>
        </w:rPr>
        <w:t>信息职业学校</w:t>
      </w:r>
      <w:r>
        <w:rPr>
          <w:rFonts w:hint="eastAsia" w:ascii="楷体_GB2312" w:hAnsi="楷体_GB2312" w:eastAsia="楷体_GB2312" w:cs="楷体_GB2312"/>
          <w:b/>
          <w:sz w:val="21"/>
          <w:szCs w:val="21"/>
        </w:rPr>
        <w:t>强化“对口订单”培养</w:t>
      </w:r>
    </w:p>
    <w:p>
      <w:pPr>
        <w:adjustRightInd/>
        <w:snapToGrid/>
        <w:spacing w:beforeLines="0" w:after="0" w:afterLines="0" w:line="360" w:lineRule="auto"/>
        <w:ind w:firstLine="420" w:firstLineChars="2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杭州市电子信息职业学校依托产业办好专业，引导企业深度参与专业建设，通过构筑“</w:t>
      </w:r>
      <w:r>
        <w:rPr>
          <w:rFonts w:hint="eastAsia" w:ascii="仿宋_GB2312" w:hAnsi="仿宋_GB2312" w:eastAsia="仿宋_GB2312" w:cs="仿宋_GB2312"/>
          <w:sz w:val="21"/>
          <w:szCs w:val="21"/>
          <w:lang w:eastAsia="zh-CN"/>
        </w:rPr>
        <w:t>工学结合、订单培养、引企入校”</w:t>
      </w:r>
      <w:r>
        <w:rPr>
          <w:rFonts w:hint="eastAsia" w:ascii="仿宋_GB2312" w:hAnsi="仿宋_GB2312" w:eastAsia="仿宋_GB2312" w:cs="仿宋_GB2312"/>
          <w:sz w:val="21"/>
          <w:szCs w:val="21"/>
        </w:rPr>
        <w:t>三段式</w:t>
      </w:r>
      <w:r>
        <w:rPr>
          <w:rFonts w:hint="eastAsia" w:ascii="仿宋_GB2312" w:hAnsi="仿宋_GB2312" w:eastAsia="仿宋_GB2312" w:cs="仿宋_GB2312"/>
          <w:sz w:val="21"/>
          <w:szCs w:val="21"/>
          <w:lang w:eastAsia="zh-CN"/>
        </w:rPr>
        <w:t>和“顶岗实习、大师引领、校园招聘、企业宣讲”</w:t>
      </w:r>
      <w:r>
        <w:rPr>
          <w:rFonts w:hint="eastAsia" w:ascii="仿宋_GB2312" w:hAnsi="仿宋_GB2312" w:eastAsia="仿宋_GB2312" w:cs="仿宋_GB2312"/>
          <w:sz w:val="21"/>
          <w:szCs w:val="21"/>
        </w:rPr>
        <w:t>融合教学模式，形成了校企“共建、共管、互动”机制，构建起“中高职衔接”背景下的现代学徒制模式。借助高职院校校企合作平台，实现了招生即招工、上课即上岗。引入杭州猫盒有限公司进驻学校，企业安排专业技能指导教师在校建设实训室，共同开发校本教材，并安排学生跟岗实践，提升学生职业能力。</w:t>
      </w:r>
      <w:bookmarkStart w:id="109" w:name="_Toc29540412"/>
      <w:bookmarkStart w:id="110" w:name="_Toc29480864"/>
      <w:bookmarkStart w:id="111" w:name="_Toc28351877"/>
    </w:p>
    <w:p>
      <w:pPr>
        <w:adjustRightInd/>
        <w:snapToGrid/>
        <w:spacing w:before="157" w:beforeLines="50" w:after="0" w:afterLines="0" w:line="360" w:lineRule="auto"/>
        <w:ind w:firstLine="421"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sz w:val="21"/>
          <w:szCs w:val="21"/>
        </w:rPr>
        <w:t>加强过程管理，维护学生权益</w:t>
      </w:r>
      <w:bookmarkEnd w:id="109"/>
      <w:bookmarkEnd w:id="110"/>
      <w:bookmarkEnd w:id="111"/>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b w:val="0"/>
          <w:bCs w:val="0"/>
          <w:kern w:val="0"/>
          <w:sz w:val="21"/>
          <w:szCs w:val="21"/>
        </w:rPr>
        <w:t>我市严格执行《教育部等五部门关于印发〈职业学校学生实习管理规定〉的通知》和《关于进一步加强我市中等职业学校学生实习管理工作的指导意见》，明确校长为第一责任人，设立了专门实习工作机构，配备管理人员，制定相配套的实习工作管理制度。落实岗前安全教育，切实把安全问题落细落小落实。严格落实实践性教学、顶岗实习的时间要求，确保学生顶岗实习的岗位与其所学专业面向的岗位群基本一致。落实实习责任保险制度，各校和实习单位根据国家有关规定，为实习学生投保实习责任保险。落实对实习单位的安全管理要求，坚决杜绝“六不得”。支持各学校建立学生实习的大数据监管体系，每天对顶岗实习学生签到、实习状况进行大数据监管，每月对专职实习管理教师进行工作考核，保障实习指导和管理工作的实时性、有效性。</w:t>
      </w:r>
    </w:p>
    <w:p>
      <w:pPr>
        <w:spacing w:before="157" w:beforeLines="50" w:afterLines="0" w:line="360" w:lineRule="auto"/>
        <w:ind w:firstLine="421" w:firstLineChars="200"/>
        <w:rPr>
          <w:rFonts w:hint="eastAsia" w:ascii="楷体_GB2312" w:hAnsi="楷体_GB2312" w:eastAsia="楷体_GB2312" w:cs="楷体_GB2312"/>
          <w:b/>
          <w:sz w:val="21"/>
          <w:szCs w:val="21"/>
        </w:rPr>
      </w:pPr>
      <w:bookmarkStart w:id="112" w:name="_bookmark32"/>
      <w:bookmarkEnd w:id="112"/>
      <w:r>
        <w:rPr>
          <w:rFonts w:hint="eastAsia" w:ascii="楷体_GB2312" w:hAnsi="楷体_GB2312" w:eastAsia="楷体_GB2312" w:cs="楷体_GB2312"/>
          <w:b/>
          <w:sz w:val="21"/>
          <w:szCs w:val="21"/>
        </w:rPr>
        <w:t>【案例4-</w:t>
      </w:r>
      <w:r>
        <w:rPr>
          <w:rFonts w:hint="eastAsia" w:ascii="楷体_GB2312" w:hAnsi="楷体_GB2312" w:eastAsia="楷体_GB2312" w:cs="楷体_GB2312"/>
          <w:b/>
          <w:sz w:val="21"/>
          <w:szCs w:val="21"/>
          <w:lang w:val="en-US" w:eastAsia="zh-CN"/>
        </w:rPr>
        <w:t>6</w:t>
      </w:r>
      <w:r>
        <w:rPr>
          <w:rFonts w:hint="eastAsia" w:ascii="楷体_GB2312" w:hAnsi="楷体_GB2312" w:eastAsia="楷体_GB2312" w:cs="楷体_GB2312"/>
          <w:b/>
          <w:sz w:val="21"/>
          <w:szCs w:val="21"/>
        </w:rPr>
        <w:t>】</w:t>
      </w:r>
      <w:r>
        <w:rPr>
          <w:rFonts w:hint="eastAsia" w:ascii="楷体_GB2312" w:hAnsi="楷体_GB2312" w:eastAsia="楷体_GB2312" w:cs="楷体_GB2312"/>
          <w:b/>
          <w:sz w:val="21"/>
          <w:szCs w:val="21"/>
          <w:lang w:eastAsia="zh-CN"/>
        </w:rPr>
        <w:t>杭州市</w:t>
      </w:r>
      <w:r>
        <w:rPr>
          <w:rFonts w:hint="eastAsia" w:ascii="楷体_GB2312" w:hAnsi="楷体_GB2312" w:eastAsia="楷体_GB2312" w:cs="楷体_GB2312"/>
          <w:b/>
          <w:sz w:val="21"/>
          <w:szCs w:val="21"/>
        </w:rPr>
        <w:t>交通</w:t>
      </w:r>
      <w:r>
        <w:rPr>
          <w:rFonts w:hint="eastAsia" w:ascii="楷体_GB2312" w:hAnsi="楷体_GB2312" w:eastAsia="楷体_GB2312" w:cs="楷体_GB2312"/>
          <w:b/>
          <w:sz w:val="21"/>
          <w:szCs w:val="21"/>
          <w:lang w:eastAsia="zh-CN"/>
        </w:rPr>
        <w:t>职业高级中学</w:t>
      </w:r>
      <w:r>
        <w:rPr>
          <w:rFonts w:hint="eastAsia" w:ascii="楷体_GB2312" w:hAnsi="楷体_GB2312" w:eastAsia="楷体_GB2312" w:cs="楷体_GB2312"/>
          <w:b/>
          <w:sz w:val="21"/>
          <w:szCs w:val="21"/>
        </w:rPr>
        <w:t>抓好</w:t>
      </w:r>
      <w:r>
        <w:rPr>
          <w:rFonts w:hint="eastAsia" w:ascii="楷体_GB2312" w:hAnsi="楷体_GB2312" w:eastAsia="楷体_GB2312" w:cs="楷体_GB2312"/>
          <w:b/>
          <w:sz w:val="21"/>
          <w:szCs w:val="21"/>
          <w:lang w:eastAsia="zh-CN"/>
        </w:rPr>
        <w:t>实习管理</w:t>
      </w:r>
      <w:r>
        <w:rPr>
          <w:rFonts w:hint="eastAsia" w:ascii="楷体_GB2312" w:hAnsi="楷体_GB2312" w:eastAsia="楷体_GB2312" w:cs="楷体_GB2312"/>
          <w:b/>
          <w:sz w:val="21"/>
          <w:szCs w:val="21"/>
        </w:rPr>
        <w:t>三个“二”</w:t>
      </w:r>
    </w:p>
    <w:p>
      <w:pPr>
        <w:spacing w:beforeLines="0" w:afterLines="0" w:line="36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杭州市交通</w:t>
      </w:r>
      <w:r>
        <w:rPr>
          <w:rFonts w:hint="eastAsia" w:ascii="仿宋_GB2312" w:hAnsi="仿宋_GB2312" w:eastAsia="仿宋_GB2312" w:cs="仿宋_GB2312"/>
          <w:sz w:val="21"/>
          <w:szCs w:val="21"/>
          <w:lang w:eastAsia="zh-CN"/>
        </w:rPr>
        <w:t>职业高级中学</w:t>
      </w:r>
      <w:r>
        <w:rPr>
          <w:rFonts w:hint="eastAsia" w:ascii="仿宋_GB2312" w:hAnsi="仿宋_GB2312" w:eastAsia="仿宋_GB2312" w:cs="仿宋_GB2312"/>
          <w:sz w:val="21"/>
          <w:szCs w:val="21"/>
        </w:rPr>
        <w:t>将学生实习时段分成三大块：进厂前、实践期、考核推荐。每一块要抓实两件事。进企业前抓“两训”。学生做好岗前培训，介绍企业情况，了解企业管理制度，掌握安全实习要求；班主任则召开新老教师实习交接会，熟悉实习管理特点，了解管理程序、应急事件处理办法以及与学生师傅沟通要点等。实习期抓“两返”：学生每月返校日和教师每周寻访反馈。实习不是将学生丢给企业了事，必须让学生和其家长明确，学校始终是学生的主要管理者、教育者、监护者。因此，强调每月高三学生“返校日”，精心设计返校日各项活动；例如安全教育、法制教育、各实习点情况交流、实习偶发事件通报、实习阶段小结、实习报告撰写、等级考试辅导等等。教师每周寻访实习点必须有一定次数，按时上缴反馈单，反馈学生实习情况，反馈企业要求，发现可能出现的问题，及时采取预防措施。毕业推荐抓“两考”。主要是参加技能等级考核和企业在学生实习完毕后参加的生产实习综合考评，提高考核含金量，创造学生留用实习企业和推荐其他企业的条件。</w:t>
      </w:r>
    </w:p>
    <w:p>
      <w:pPr>
        <w:pStyle w:val="3"/>
        <w:spacing w:before="157" w:beforeLines="50" w:after="0" w:afterLines="0" w:line="360" w:lineRule="auto"/>
        <w:ind w:left="0" w:right="0" w:firstLine="450" w:firstLineChars="150"/>
        <w:rPr>
          <w:rFonts w:hint="eastAsia" w:ascii="黑体" w:hAnsi="黑体" w:eastAsia="黑体" w:cs="黑体"/>
          <w:b w:val="0"/>
          <w:bCs w:val="0"/>
          <w:sz w:val="30"/>
          <w:szCs w:val="30"/>
        </w:rPr>
      </w:pPr>
      <w:bookmarkStart w:id="113" w:name="_bookmark35"/>
      <w:bookmarkEnd w:id="113"/>
      <w:bookmarkStart w:id="114" w:name="_Toc1983900202_WPSOffice_Level2"/>
      <w:bookmarkStart w:id="115" w:name="_Toc29540413"/>
      <w:bookmarkStart w:id="116" w:name="_Toc28351878"/>
      <w:bookmarkStart w:id="117" w:name="_Toc29480865"/>
      <w:bookmarkStart w:id="118" w:name="_Toc2016078606_WPSOffice_Level2"/>
      <w:r>
        <w:rPr>
          <w:rFonts w:hint="eastAsia" w:ascii="黑体" w:hAnsi="黑体" w:eastAsia="黑体" w:cs="黑体"/>
          <w:b w:val="0"/>
          <w:bCs w:val="0"/>
          <w:sz w:val="30"/>
          <w:szCs w:val="30"/>
        </w:rPr>
        <w:t>4.3 集团化办学</w:t>
      </w:r>
      <w:bookmarkEnd w:id="114"/>
      <w:bookmarkEnd w:id="115"/>
      <w:bookmarkEnd w:id="116"/>
      <w:bookmarkEnd w:id="117"/>
      <w:r>
        <w:rPr>
          <w:rFonts w:hint="eastAsia" w:ascii="黑体" w:hAnsi="黑体" w:eastAsia="黑体" w:cs="黑体"/>
          <w:b w:val="0"/>
          <w:bCs w:val="0"/>
          <w:sz w:val="30"/>
          <w:szCs w:val="30"/>
          <w:lang w:eastAsia="zh-CN"/>
        </w:rPr>
        <w:t>情况</w:t>
      </w:r>
      <w:bookmarkEnd w:id="118"/>
    </w:p>
    <w:p>
      <w:pPr>
        <w:adjustRightInd/>
        <w:snapToGrid/>
        <w:spacing w:beforeLines="0" w:afterLines="0" w:line="360" w:lineRule="auto"/>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20</w:t>
      </w:r>
      <w:r>
        <w:rPr>
          <w:rFonts w:hint="eastAsia" w:asciiTheme="minorEastAsia" w:hAnsiTheme="minorEastAsia" w:eastAsiaTheme="minorEastAsia" w:cstheme="minorEastAsia"/>
          <w:kern w:val="0"/>
          <w:sz w:val="21"/>
          <w:szCs w:val="21"/>
          <w:lang w:val="en-US" w:eastAsia="zh-CN"/>
        </w:rPr>
        <w:t>20</w:t>
      </w:r>
      <w:r>
        <w:rPr>
          <w:rFonts w:hint="eastAsia" w:asciiTheme="minorEastAsia" w:hAnsiTheme="minorEastAsia" w:eastAsiaTheme="minorEastAsia" w:cstheme="minorEastAsia"/>
          <w:kern w:val="0"/>
          <w:sz w:val="21"/>
          <w:szCs w:val="21"/>
        </w:rPr>
        <w:t>年，杭州市依托已建成的100家市级校外实习基地、22个行业性职业教育集团、19个专业指导委员会、55个先进制造业和现代服务业实训基地，在全市范围内全面开展集团化办学，深入推进产教融合、校企合作，积极构建与行业、企业、高等院校一体化育人机制。</w:t>
      </w:r>
    </w:p>
    <w:p>
      <w:pPr>
        <w:pStyle w:val="4"/>
        <w:adjustRightInd/>
        <w:snapToGrid/>
        <w:spacing w:before="0" w:beforeLines="0" w:after="0" w:afterLines="0" w:line="360" w:lineRule="auto"/>
        <w:ind w:firstLine="421" w:firstLineChars="200"/>
        <w:rPr>
          <w:rFonts w:hint="eastAsia" w:asciiTheme="minorEastAsia" w:hAnsiTheme="minorEastAsia" w:eastAsiaTheme="minorEastAsia" w:cstheme="minorEastAsia"/>
          <w:b w:val="0"/>
          <w:bCs w:val="0"/>
          <w:kern w:val="0"/>
          <w:sz w:val="21"/>
          <w:szCs w:val="21"/>
        </w:rPr>
      </w:pPr>
      <w:bookmarkStart w:id="119" w:name="_bookmark36"/>
      <w:bookmarkEnd w:id="119"/>
      <w:bookmarkStart w:id="120" w:name="_Toc28351879"/>
      <w:bookmarkStart w:id="121" w:name="_Toc29540414"/>
      <w:bookmarkStart w:id="122" w:name="_Toc29480866"/>
      <w:r>
        <w:rPr>
          <w:rFonts w:hint="eastAsia" w:asciiTheme="minorEastAsia" w:hAnsiTheme="minorEastAsia" w:eastAsiaTheme="minorEastAsia" w:cstheme="minorEastAsia"/>
          <w:sz w:val="21"/>
          <w:szCs w:val="21"/>
        </w:rPr>
        <w:t>深入开展集团化办学，推进校企协同育人</w:t>
      </w:r>
      <w:bookmarkEnd w:id="120"/>
      <w:bookmarkEnd w:id="121"/>
      <w:bookmarkEnd w:id="122"/>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b w:val="0"/>
          <w:bCs w:val="0"/>
          <w:kern w:val="0"/>
          <w:sz w:val="21"/>
          <w:szCs w:val="21"/>
        </w:rPr>
        <w:t>以省市中职教育质量提升行动项目建设为抓手，通过组建职业教育集团、专业指导委员会等形式，将学校、行业企业等市场主体和人才培养的各个环节有机联结，形成政校企行合作的良好局面，发挥企业主体作用，达到校企协同育人的目的。积极探索国际化办学，吸引海外企业、国外高等院校参与职业教育，拓宽办学渠道，丰富职业教育集团成员结构。全市已有中职学校牵头成立的职教集团22个、其中紧密型职教集团13个、市级示范性职业教育集团10个、省级示范性职业教育集团2个。</w:t>
      </w:r>
    </w:p>
    <w:p>
      <w:pPr>
        <w:spacing w:before="157" w:beforeLines="50" w:afterLines="0" w:line="360" w:lineRule="auto"/>
        <w:ind w:firstLine="421" w:firstLineChars="200"/>
        <w:rPr>
          <w:rFonts w:hint="eastAsia" w:ascii="楷体_GB2312" w:hAnsi="楷体_GB2312" w:eastAsia="楷体_GB2312" w:cs="楷体_GB2312"/>
          <w:b/>
          <w:sz w:val="21"/>
          <w:szCs w:val="21"/>
          <w:lang w:eastAsia="zh-CN"/>
        </w:rPr>
      </w:pPr>
      <w:r>
        <w:rPr>
          <w:rFonts w:hint="eastAsia" w:ascii="楷体_GB2312" w:hAnsi="楷体_GB2312" w:eastAsia="楷体_GB2312" w:cs="楷体_GB2312"/>
          <w:b/>
          <w:sz w:val="21"/>
          <w:szCs w:val="21"/>
        </w:rPr>
        <w:t>【案例4-</w:t>
      </w:r>
      <w:r>
        <w:rPr>
          <w:rFonts w:hint="eastAsia" w:ascii="楷体_GB2312" w:hAnsi="楷体_GB2312" w:eastAsia="楷体_GB2312" w:cs="楷体_GB2312"/>
          <w:b/>
          <w:sz w:val="21"/>
          <w:szCs w:val="21"/>
          <w:lang w:val="en-US" w:eastAsia="zh-CN"/>
        </w:rPr>
        <w:t>7</w:t>
      </w:r>
      <w:r>
        <w:rPr>
          <w:rFonts w:hint="eastAsia" w:ascii="楷体_GB2312" w:hAnsi="楷体_GB2312" w:eastAsia="楷体_GB2312" w:cs="楷体_GB2312"/>
          <w:b/>
          <w:sz w:val="21"/>
          <w:szCs w:val="21"/>
        </w:rPr>
        <w:t>】杭州市</w:t>
      </w:r>
      <w:r>
        <w:rPr>
          <w:rFonts w:hint="eastAsia" w:ascii="楷体_GB2312" w:hAnsi="楷体_GB2312" w:eastAsia="楷体_GB2312" w:cs="楷体_GB2312"/>
          <w:b/>
          <w:sz w:val="21"/>
          <w:szCs w:val="21"/>
          <w:lang w:eastAsia="zh-CN"/>
        </w:rPr>
        <w:t>旅游职业学校继续深化集团化办学</w:t>
      </w:r>
    </w:p>
    <w:p>
      <w:pPr>
        <w:adjustRightInd/>
        <w:snapToGrid/>
        <w:spacing w:before="0" w:beforeLines="0" w:after="0" w:afterLines="0" w:line="360" w:lineRule="auto"/>
        <w:ind w:firstLine="420" w:firstLineChars="200"/>
        <w:rPr>
          <w:rFonts w:hint="eastAsia" w:ascii="仿宋_GB2312" w:hAnsi="仿宋_GB2312" w:eastAsia="仿宋_GB2312" w:cs="仿宋_GB2312"/>
          <w:color w:val="auto"/>
          <w:sz w:val="21"/>
          <w:szCs w:val="21"/>
        </w:rPr>
      </w:pPr>
      <w:bookmarkStart w:id="123" w:name="_bookmark37"/>
      <w:bookmarkEnd w:id="123"/>
      <w:bookmarkStart w:id="124" w:name="_Toc29480867"/>
      <w:bookmarkStart w:id="125" w:name="_Toc29540415"/>
      <w:r>
        <w:rPr>
          <w:rStyle w:val="72"/>
          <w:rFonts w:hint="eastAsia" w:ascii="仿宋_GB2312" w:hAnsi="仿宋_GB2312" w:eastAsia="仿宋_GB2312" w:cs="仿宋_GB2312"/>
          <w:color w:val="auto"/>
          <w:sz w:val="21"/>
          <w:szCs w:val="21"/>
        </w:rPr>
        <w:t>2020年</w:t>
      </w:r>
      <w:r>
        <w:rPr>
          <w:rStyle w:val="72"/>
          <w:rFonts w:hint="eastAsia" w:ascii="仿宋_GB2312" w:hAnsi="仿宋_GB2312" w:eastAsia="仿宋_GB2312" w:cs="仿宋_GB2312"/>
          <w:color w:val="auto"/>
          <w:sz w:val="21"/>
          <w:szCs w:val="21"/>
          <w:lang w:eastAsia="zh-CN"/>
        </w:rPr>
        <w:t>杭州市旅游职业学校</w:t>
      </w:r>
      <w:r>
        <w:rPr>
          <w:rStyle w:val="72"/>
          <w:rFonts w:hint="eastAsia" w:ascii="仿宋_GB2312" w:hAnsi="仿宋_GB2312" w:eastAsia="仿宋_GB2312" w:cs="仿宋_GB2312"/>
          <w:color w:val="auto"/>
          <w:sz w:val="21"/>
          <w:szCs w:val="21"/>
        </w:rPr>
        <w:t>继续深化集团化办学，新增杭州市西湖职业高级中学</w:t>
      </w:r>
      <w:r>
        <w:rPr>
          <w:rStyle w:val="72"/>
          <w:rFonts w:hint="eastAsia" w:ascii="仿宋_GB2312" w:hAnsi="仿宋_GB2312" w:eastAsia="仿宋_GB2312" w:cs="仿宋_GB2312"/>
          <w:color w:val="auto"/>
          <w:sz w:val="21"/>
          <w:szCs w:val="21"/>
          <w:lang w:eastAsia="zh-CN"/>
        </w:rPr>
        <w:t>和</w:t>
      </w:r>
      <w:r>
        <w:rPr>
          <w:rStyle w:val="72"/>
          <w:rFonts w:hint="eastAsia" w:ascii="仿宋_GB2312" w:hAnsi="仿宋_GB2312" w:eastAsia="仿宋_GB2312" w:cs="仿宋_GB2312"/>
          <w:color w:val="auto"/>
          <w:sz w:val="21"/>
          <w:szCs w:val="21"/>
        </w:rPr>
        <w:t>杭州湖畔居茶楼</w:t>
      </w:r>
      <w:r>
        <w:rPr>
          <w:rStyle w:val="72"/>
          <w:rFonts w:hint="eastAsia" w:ascii="仿宋_GB2312" w:hAnsi="仿宋_GB2312" w:eastAsia="仿宋_GB2312" w:cs="仿宋_GB2312"/>
          <w:color w:val="auto"/>
          <w:sz w:val="21"/>
          <w:szCs w:val="21"/>
          <w:lang w:eastAsia="zh-CN"/>
        </w:rPr>
        <w:t>为成员单位</w:t>
      </w:r>
      <w:r>
        <w:rPr>
          <w:rStyle w:val="72"/>
          <w:rFonts w:hint="eastAsia" w:ascii="仿宋_GB2312" w:hAnsi="仿宋_GB2312" w:eastAsia="仿宋_GB2312" w:cs="仿宋_GB2312"/>
          <w:color w:val="auto"/>
          <w:sz w:val="21"/>
          <w:szCs w:val="21"/>
        </w:rPr>
        <w:t>。联合浙江旅游职业技术学院、杭州科技</w:t>
      </w:r>
      <w:r>
        <w:rPr>
          <w:rStyle w:val="72"/>
          <w:rFonts w:hint="eastAsia" w:ascii="仿宋_GB2312" w:hAnsi="仿宋_GB2312" w:eastAsia="仿宋_GB2312" w:cs="仿宋_GB2312"/>
          <w:color w:val="auto"/>
          <w:sz w:val="21"/>
          <w:szCs w:val="21"/>
          <w:lang w:eastAsia="zh-CN"/>
        </w:rPr>
        <w:t>职业</w:t>
      </w:r>
      <w:r>
        <w:rPr>
          <w:rStyle w:val="72"/>
          <w:rFonts w:hint="eastAsia" w:ascii="仿宋_GB2312" w:hAnsi="仿宋_GB2312" w:eastAsia="仿宋_GB2312" w:cs="仿宋_GB2312"/>
          <w:color w:val="auto"/>
          <w:sz w:val="21"/>
          <w:szCs w:val="21"/>
        </w:rPr>
        <w:t>技术学院、杭州职业技术学院</w:t>
      </w:r>
      <w:r>
        <w:rPr>
          <w:rStyle w:val="72"/>
          <w:rFonts w:hint="eastAsia" w:ascii="仿宋_GB2312" w:hAnsi="仿宋_GB2312" w:eastAsia="仿宋_GB2312" w:cs="仿宋_GB2312"/>
          <w:color w:val="auto"/>
          <w:sz w:val="21"/>
          <w:szCs w:val="21"/>
          <w:lang w:val="en-US" w:eastAsia="zh-CN"/>
        </w:rPr>
        <w:t>3所</w:t>
      </w:r>
      <w:r>
        <w:rPr>
          <w:rStyle w:val="72"/>
          <w:rFonts w:hint="eastAsia" w:ascii="仿宋_GB2312" w:hAnsi="仿宋_GB2312" w:eastAsia="仿宋_GB2312" w:cs="仿宋_GB2312"/>
          <w:color w:val="auto"/>
          <w:sz w:val="21"/>
          <w:szCs w:val="21"/>
        </w:rPr>
        <w:t>高职院校，7所中职学校及20多家企事业单位进行集团化办学，深入校企融合，促进职业教育发展。</w:t>
      </w:r>
      <w:r>
        <w:rPr>
          <w:rFonts w:hint="eastAsia" w:ascii="仿宋_GB2312" w:hAnsi="仿宋_GB2312" w:eastAsia="仿宋_GB2312" w:cs="仿宋_GB2312"/>
          <w:color w:val="auto"/>
          <w:sz w:val="21"/>
          <w:szCs w:val="21"/>
        </w:rPr>
        <w:t>基于集团特点，构建广域多维社会服务体系。一是以标准输出为载体辐射教育集团，与本科、高职院校共同开展全域旅游人才培养，推进教育集团发展。二是以成果转化为手段推动技术研发，协同开展垂直绿化等多项技术研发与攻坚，推进香薰产品、铁皮石斛、星级民宿、中小学研学等标准体系研发，服务集团企业发展。三是构建以教育帮扶为路径推动扶贫攻坚，做好新疆内职班等141名学生培养，有23名教师前往新疆阿克苏、贵州黔东南、云南沧源等挂职、支教工作。四是以育训融合为契机推动社会培训，对失地农民等开展相应培训，提升社会服务能力。</w:t>
      </w:r>
    </w:p>
    <w:bookmarkEnd w:id="124"/>
    <w:bookmarkEnd w:id="125"/>
    <w:p>
      <w:pPr>
        <w:widowControl/>
        <w:wordWrap/>
        <w:adjustRightInd/>
        <w:snapToGrid/>
        <w:spacing w:before="157" w:beforeLines="50" w:afterLines="0" w:line="360" w:lineRule="auto"/>
        <w:ind w:left="0" w:leftChars="0" w:right="0" w:firstLine="421" w:firstLineChars="200"/>
        <w:jc w:val="both"/>
        <w:textAlignment w:val="auto"/>
        <w:outlineLvl w:val="9"/>
        <w:rPr>
          <w:rFonts w:hint="eastAsia" w:ascii="楷体" w:hAnsi="楷体" w:eastAsia="楷体" w:cs="楷体"/>
          <w:sz w:val="24"/>
          <w:szCs w:val="24"/>
          <w:lang w:val="zh-CN" w:eastAsia="zh-CN"/>
        </w:rPr>
      </w:pPr>
      <w:bookmarkStart w:id="126" w:name="_bookmark38"/>
      <w:bookmarkEnd w:id="126"/>
      <w:bookmarkStart w:id="127" w:name="_Toc29540416"/>
      <w:bookmarkStart w:id="128" w:name="_Toc29480868"/>
      <w:r>
        <w:rPr>
          <w:rFonts w:hint="eastAsia" w:asciiTheme="minorEastAsia" w:hAnsiTheme="minorEastAsia" w:eastAsiaTheme="minorEastAsia" w:cstheme="minorEastAsia"/>
          <w:b/>
          <w:bCs/>
          <w:sz w:val="21"/>
          <w:szCs w:val="21"/>
        </w:rPr>
        <w:t>融入长三角一体化，提高服务区域发展能力</w:t>
      </w:r>
      <w:bookmarkEnd w:id="127"/>
      <w:bookmarkEnd w:id="128"/>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b w:val="0"/>
          <w:bCs w:val="0"/>
          <w:kern w:val="0"/>
          <w:sz w:val="21"/>
          <w:szCs w:val="21"/>
        </w:rPr>
        <w:t>深度融入长三角一体化发展国家战略，积极推动职业教育交流与合作，进一步深化长三角区域职教合作，服务加快长三角地区经济发展和一体化进程，促进区域内教育链、人才链与产业链、创新链有机衔接。全市共有长三角上海电子信息职教集团成员单位4所、长三角江苏软件职教集团成员单位 3 所，长三角浙江智能制造职教集团6所，长三角安徽国际商务职教集团成员单位2所。</w:t>
      </w:r>
      <w:r>
        <w:rPr>
          <w:rFonts w:hint="eastAsia" w:asciiTheme="minorEastAsia" w:hAnsiTheme="minorEastAsia" w:eastAsiaTheme="minorEastAsia" w:cstheme="minorEastAsia"/>
          <w:b w:val="0"/>
          <w:bCs w:val="0"/>
          <w:color w:val="auto"/>
          <w:sz w:val="21"/>
          <w:szCs w:val="21"/>
        </w:rPr>
        <w:t>20</w:t>
      </w:r>
      <w:r>
        <w:rPr>
          <w:rFonts w:hint="eastAsia" w:asciiTheme="minorEastAsia" w:hAnsiTheme="minorEastAsia" w:eastAsiaTheme="minorEastAsia" w:cstheme="minorEastAsia"/>
          <w:b w:val="0"/>
          <w:bCs w:val="0"/>
          <w:color w:val="auto"/>
          <w:sz w:val="21"/>
          <w:szCs w:val="21"/>
          <w:lang w:val="en-US" w:eastAsia="zh-CN"/>
        </w:rPr>
        <w:t>20</w:t>
      </w:r>
      <w:r>
        <w:rPr>
          <w:rFonts w:hint="eastAsia" w:asciiTheme="minorEastAsia" w:hAnsiTheme="minorEastAsia" w:eastAsiaTheme="minorEastAsia" w:cstheme="minorEastAsia"/>
          <w:b w:val="0"/>
          <w:bCs w:val="0"/>
          <w:color w:val="auto"/>
          <w:sz w:val="21"/>
          <w:szCs w:val="21"/>
        </w:rPr>
        <w:t>年</w:t>
      </w:r>
      <w:r>
        <w:rPr>
          <w:rFonts w:hint="eastAsia" w:asciiTheme="minorEastAsia" w:hAnsiTheme="minorEastAsia" w:eastAsiaTheme="minorEastAsia" w:cstheme="minorEastAsia"/>
          <w:b w:val="0"/>
          <w:bCs w:val="0"/>
          <w:color w:val="auto"/>
          <w:sz w:val="21"/>
          <w:szCs w:val="21"/>
          <w:lang w:val="en-US" w:eastAsia="zh-CN"/>
        </w:rPr>
        <w:t>7</w:t>
      </w:r>
      <w:r>
        <w:rPr>
          <w:rFonts w:hint="eastAsia" w:asciiTheme="minorEastAsia" w:hAnsiTheme="minorEastAsia" w:eastAsiaTheme="minorEastAsia" w:cstheme="minorEastAsia"/>
          <w:b w:val="0"/>
          <w:bCs w:val="0"/>
          <w:color w:val="auto"/>
          <w:sz w:val="21"/>
          <w:szCs w:val="21"/>
        </w:rPr>
        <w:t>月，长三角电子信息职业教育集团</w:t>
      </w:r>
      <w:r>
        <w:rPr>
          <w:rFonts w:hint="eastAsia" w:asciiTheme="minorEastAsia" w:hAnsiTheme="minorEastAsia" w:eastAsiaTheme="minorEastAsia" w:cstheme="minorEastAsia"/>
          <w:b w:val="0"/>
          <w:bCs w:val="0"/>
          <w:color w:val="auto"/>
          <w:sz w:val="21"/>
          <w:szCs w:val="21"/>
          <w:lang w:val="en-US" w:eastAsia="zh-CN"/>
        </w:rPr>
        <w:t>组织开展</w:t>
      </w:r>
      <w:r>
        <w:rPr>
          <w:rFonts w:hint="eastAsia" w:asciiTheme="minorEastAsia" w:hAnsiTheme="minorEastAsia" w:eastAsiaTheme="minorEastAsia" w:cstheme="minorEastAsia"/>
          <w:b w:val="0"/>
          <w:bCs w:val="0"/>
          <w:i w:val="0"/>
          <w:caps w:val="0"/>
          <w:color w:val="auto"/>
          <w:spacing w:val="0"/>
          <w:sz w:val="21"/>
          <w:szCs w:val="21"/>
          <w:shd w:val="clear" w:color="auto" w:fill="FFFFFF"/>
        </w:rPr>
        <w:t>“2020世界青年技能日”</w:t>
      </w:r>
      <w:r>
        <w:rPr>
          <w:rFonts w:hint="eastAsia" w:asciiTheme="minorEastAsia" w:hAnsiTheme="minorEastAsia" w:eastAsiaTheme="minorEastAsia" w:cstheme="minorEastAsia"/>
          <w:b w:val="0"/>
          <w:bCs w:val="0"/>
          <w:i w:val="0"/>
          <w:caps w:val="0"/>
          <w:color w:val="auto"/>
          <w:spacing w:val="0"/>
          <w:sz w:val="21"/>
          <w:szCs w:val="21"/>
          <w:shd w:val="clear" w:color="auto" w:fill="FFFFFF"/>
          <w:lang w:val="en-US" w:eastAsia="zh-CN"/>
        </w:rPr>
        <w:t>线上主题活动，杭州市电子信息职业学校作为理事单位参与活动</w:t>
      </w:r>
      <w:r>
        <w:rPr>
          <w:rFonts w:hint="eastAsia" w:asciiTheme="minorEastAsia" w:hAnsiTheme="minorEastAsia" w:eastAsiaTheme="minorEastAsia" w:cstheme="minorEastAsia"/>
          <w:b w:val="0"/>
          <w:bCs w:val="0"/>
          <w:color w:val="auto"/>
          <w:sz w:val="21"/>
          <w:szCs w:val="21"/>
          <w:lang w:val="en-US" w:eastAsia="zh-CN"/>
        </w:rPr>
        <w:t>。2020年10月，组织中策职校、旅游职校、电子职校和交通职高参加在丽水举行的长三角区域一体化产教融合发展论坛，</w:t>
      </w:r>
      <w:r>
        <w:rPr>
          <w:rFonts w:hint="eastAsia" w:asciiTheme="minorEastAsia" w:hAnsiTheme="minorEastAsia" w:eastAsiaTheme="minorEastAsia" w:cstheme="minorEastAsia"/>
          <w:sz w:val="21"/>
          <w:szCs w:val="21"/>
        </w:rPr>
        <w:t>共谋</w:t>
      </w:r>
      <w:r>
        <w:rPr>
          <w:rFonts w:hint="eastAsia" w:asciiTheme="minorEastAsia" w:hAnsiTheme="minorEastAsia" w:eastAsiaTheme="minorEastAsia" w:cstheme="minorEastAsia"/>
          <w:sz w:val="21"/>
          <w:szCs w:val="21"/>
          <w:lang w:val="en-US" w:eastAsia="zh-CN"/>
        </w:rPr>
        <w:t>长三角区域</w:t>
      </w:r>
      <w:r>
        <w:rPr>
          <w:rFonts w:hint="eastAsia" w:asciiTheme="minorEastAsia" w:hAnsiTheme="minorEastAsia" w:eastAsiaTheme="minorEastAsia" w:cstheme="minorEastAsia"/>
          <w:sz w:val="21"/>
          <w:szCs w:val="21"/>
        </w:rPr>
        <w:t>职教发展，推动产教融合。 </w:t>
      </w:r>
    </w:p>
    <w:bookmarkEnd w:id="84"/>
    <w:p>
      <w:pPr>
        <w:pStyle w:val="2"/>
        <w:adjustRightInd/>
        <w:snapToGrid/>
        <w:spacing w:before="313" w:beforeLines="100" w:after="157" w:afterLines="50" w:afterAutospacing="0" w:line="360" w:lineRule="auto"/>
        <w:ind w:firstLine="360" w:firstLineChars="100"/>
        <w:jc w:val="left"/>
        <w:rPr>
          <w:rFonts w:hint="eastAsia" w:ascii="黑体" w:hAnsi="黑体" w:eastAsia="黑体" w:cs="黑体"/>
          <w:b w:val="0"/>
          <w:bCs w:val="0"/>
          <w:color w:val="auto"/>
          <w:sz w:val="36"/>
          <w:szCs w:val="36"/>
        </w:rPr>
      </w:pPr>
      <w:bookmarkStart w:id="129" w:name="_Toc1556878421_WPSOffice_Level1"/>
      <w:bookmarkStart w:id="130" w:name="_Toc34559996"/>
      <w:bookmarkStart w:id="131" w:name="_Toc942022431_WPSOffice_Level1"/>
      <w:bookmarkStart w:id="132" w:name="_Toc1549671020_WPSOffice_Level1"/>
      <w:bookmarkStart w:id="133" w:name="_Toc32840373"/>
      <w:r>
        <w:rPr>
          <w:rFonts w:hint="eastAsia" w:ascii="黑体" w:hAnsi="黑体" w:eastAsia="黑体" w:cs="黑体"/>
          <w:b w:val="0"/>
          <w:bCs w:val="0"/>
          <w:color w:val="auto"/>
          <w:sz w:val="36"/>
          <w:szCs w:val="36"/>
        </w:rPr>
        <w:t>5</w:t>
      </w:r>
      <w:r>
        <w:rPr>
          <w:rFonts w:hint="eastAsia" w:ascii="黑体" w:hAnsi="黑体" w:eastAsia="黑体" w:cs="黑体"/>
          <w:b w:val="0"/>
          <w:bCs w:val="0"/>
          <w:color w:val="auto"/>
          <w:sz w:val="36"/>
          <w:szCs w:val="36"/>
          <w:lang w:eastAsia="zh-CN"/>
        </w:rPr>
        <w:t>.</w:t>
      </w:r>
      <w:r>
        <w:rPr>
          <w:rFonts w:hint="eastAsia" w:ascii="黑体" w:hAnsi="黑体" w:eastAsia="黑体" w:cs="黑体"/>
          <w:b w:val="0"/>
          <w:bCs w:val="0"/>
          <w:color w:val="auto"/>
          <w:sz w:val="36"/>
          <w:szCs w:val="36"/>
        </w:rPr>
        <w:t>社会贡献</w:t>
      </w:r>
      <w:bookmarkEnd w:id="129"/>
      <w:bookmarkEnd w:id="130"/>
      <w:bookmarkEnd w:id="131"/>
      <w:bookmarkEnd w:id="132"/>
      <w:bookmarkEnd w:id="133"/>
    </w:p>
    <w:p>
      <w:pPr>
        <w:adjustRightInd/>
        <w:snapToGrid/>
        <w:spacing w:beforeLines="0" w:afterLines="0" w:line="360" w:lineRule="auto"/>
        <w:ind w:firstLine="420" w:firstLineChars="200"/>
        <w:rPr>
          <w:rFonts w:cs="仿宋_GB2312" w:asciiTheme="minorEastAsia" w:hAnsiTheme="minorEastAsia" w:eastAsiaTheme="minorEastAsia"/>
          <w:kern w:val="0"/>
          <w:sz w:val="21"/>
          <w:szCs w:val="21"/>
        </w:rPr>
      </w:pPr>
      <w:bookmarkStart w:id="134" w:name="br2_3"/>
      <w:bookmarkEnd w:id="134"/>
      <w:bookmarkStart w:id="135" w:name="_Toc34559997"/>
      <w:bookmarkStart w:id="136" w:name="_Toc32840374"/>
      <w:r>
        <w:rPr>
          <w:rFonts w:hint="eastAsia" w:cs="仿宋_GB2312" w:asciiTheme="minorEastAsia" w:hAnsiTheme="minorEastAsia" w:eastAsiaTheme="minorEastAsia"/>
          <w:kern w:val="0"/>
          <w:sz w:val="21"/>
          <w:szCs w:val="21"/>
        </w:rPr>
        <w:t>杭州市职业教育以培养德智体美劳全面发展的社会主义建设者和接班人为目标，充分满足区域经济社会发展对于高技能人才和高素质劳动者的需求。坚持促进就业、改善民生、服务社会，全市基本公共教育服务体系建设百姓满意度稳步提升，社会贡献度高。</w:t>
      </w:r>
    </w:p>
    <w:p>
      <w:pPr>
        <w:pStyle w:val="3"/>
        <w:spacing w:before="157" w:beforeLines="50" w:after="0" w:afterLines="0" w:line="360" w:lineRule="auto"/>
        <w:ind w:left="0" w:right="0" w:firstLine="450" w:firstLineChars="150"/>
        <w:rPr>
          <w:rFonts w:hint="eastAsia" w:ascii="黑体" w:hAnsi="黑体" w:eastAsia="黑体" w:cs="黑体"/>
          <w:b w:val="0"/>
          <w:bCs w:val="0"/>
          <w:sz w:val="30"/>
          <w:szCs w:val="30"/>
        </w:rPr>
      </w:pPr>
      <w:bookmarkStart w:id="137" w:name="_Toc67"/>
      <w:bookmarkStart w:id="138" w:name="_Toc1882474271_WPSOffice_Level2"/>
      <w:bookmarkStart w:id="139" w:name="_Toc29480870"/>
      <w:bookmarkStart w:id="140" w:name="_Toc29540418"/>
      <w:bookmarkStart w:id="141" w:name="_Toc1577992939_WPSOffice_Level2"/>
      <w:r>
        <w:rPr>
          <w:rFonts w:hint="eastAsia" w:ascii="黑体" w:hAnsi="黑体" w:eastAsia="黑体" w:cs="黑体"/>
          <w:b w:val="0"/>
          <w:bCs w:val="0"/>
          <w:sz w:val="30"/>
          <w:szCs w:val="30"/>
        </w:rPr>
        <w:t xml:space="preserve">5.1 </w:t>
      </w:r>
      <w:bookmarkEnd w:id="137"/>
      <w:bookmarkEnd w:id="138"/>
      <w:bookmarkEnd w:id="139"/>
      <w:bookmarkEnd w:id="140"/>
      <w:r>
        <w:rPr>
          <w:rFonts w:hint="eastAsia" w:ascii="黑体" w:hAnsi="黑体" w:eastAsia="黑体" w:cs="黑体"/>
          <w:b w:val="0"/>
          <w:bCs w:val="0"/>
          <w:sz w:val="30"/>
          <w:szCs w:val="30"/>
          <w:lang w:eastAsia="zh-CN"/>
        </w:rPr>
        <w:t>技术技能人才培养</w:t>
      </w:r>
      <w:bookmarkEnd w:id="141"/>
      <w:r>
        <w:rPr>
          <w:rFonts w:hint="eastAsia" w:ascii="黑体" w:hAnsi="黑体" w:eastAsia="黑体" w:cs="黑体"/>
          <w:b w:val="0"/>
          <w:bCs w:val="0"/>
          <w:sz w:val="30"/>
          <w:szCs w:val="30"/>
        </w:rPr>
        <w:t xml:space="preserve"> </w:t>
      </w:r>
    </w:p>
    <w:p>
      <w:pPr>
        <w:adjustRightInd/>
        <w:snapToGrid/>
        <w:spacing w:beforeLines="0" w:afterLines="0" w:line="360" w:lineRule="auto"/>
        <w:ind w:firstLine="421" w:firstLineChars="200"/>
        <w:rPr>
          <w:rFonts w:cs="仿宋_GB2312" w:asciiTheme="minorEastAsia" w:hAnsiTheme="minorEastAsia" w:eastAsiaTheme="minorEastAsia"/>
          <w:kern w:val="0"/>
          <w:sz w:val="21"/>
          <w:szCs w:val="21"/>
        </w:rPr>
      </w:pPr>
      <w:r>
        <w:rPr>
          <w:rFonts w:hint="eastAsia" w:asciiTheme="minorEastAsia" w:hAnsiTheme="minorEastAsia" w:eastAsiaTheme="minorEastAsia" w:cstheme="minorEastAsia"/>
          <w:b/>
          <w:bCs/>
          <w:sz w:val="21"/>
          <w:szCs w:val="21"/>
        </w:rPr>
        <w:t>提供人才支撑，服务经济发展</w:t>
      </w: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color w:val="auto"/>
          <w:kern w:val="0"/>
          <w:sz w:val="21"/>
          <w:szCs w:val="21"/>
        </w:rPr>
        <w:t>主</w:t>
      </w:r>
      <w:r>
        <w:rPr>
          <w:rFonts w:hint="eastAsia" w:cs="仿宋_GB2312" w:asciiTheme="minorEastAsia" w:hAnsiTheme="minorEastAsia" w:eastAsiaTheme="minorEastAsia"/>
          <w:color w:val="auto"/>
          <w:kern w:val="0"/>
          <w:sz w:val="21"/>
          <w:szCs w:val="21"/>
        </w:rPr>
        <w:t>动对接产业，加强供给侧改革，为区域经济发展提供有力的人才支撑。目前，杭州市中等职业学校已经成为全市各类、各层次骨干企业技术技能人才的重要来源。</w:t>
      </w:r>
      <w:r>
        <w:rPr>
          <w:rFonts w:cs="仿宋_GB2312" w:asciiTheme="minorEastAsia" w:hAnsiTheme="minorEastAsia" w:eastAsiaTheme="minorEastAsia"/>
          <w:color w:val="auto"/>
          <w:kern w:val="0"/>
          <w:sz w:val="21"/>
          <w:szCs w:val="21"/>
        </w:rPr>
        <w:t>从近两年全市各专业在校生占比与从业人数占比差距上看，除建筑业、制造业、住宿和餐饮业三大类外，其余的类别差距均在</w:t>
      </w:r>
      <w:r>
        <w:rPr>
          <w:rFonts w:hint="eastAsia" w:cs="仿宋_GB2312" w:asciiTheme="minorEastAsia" w:hAnsiTheme="minorEastAsia" w:eastAsiaTheme="minorEastAsia"/>
          <w:color w:val="auto"/>
          <w:kern w:val="0"/>
          <w:sz w:val="21"/>
          <w:szCs w:val="21"/>
          <w:lang w:val="en-US" w:eastAsia="zh-CN"/>
        </w:rPr>
        <w:t>8</w:t>
      </w:r>
      <w:r>
        <w:rPr>
          <w:rFonts w:cs="仿宋_GB2312" w:asciiTheme="minorEastAsia" w:hAnsiTheme="minorEastAsia" w:eastAsiaTheme="minorEastAsia"/>
          <w:color w:val="auto"/>
          <w:kern w:val="0"/>
          <w:sz w:val="21"/>
          <w:szCs w:val="21"/>
        </w:rPr>
        <w:t>个百分点以内，充分说明我市各专业较好地满足了杭州区域经济发展的人才需求。</w:t>
      </w:r>
      <w:r>
        <w:rPr>
          <w:rFonts w:hint="eastAsia" w:cs="仿宋_GB2312" w:asciiTheme="minorEastAsia" w:hAnsiTheme="minorEastAsia" w:eastAsiaTheme="minorEastAsia"/>
          <w:color w:val="auto"/>
          <w:kern w:val="0"/>
          <w:sz w:val="21"/>
          <w:szCs w:val="21"/>
        </w:rPr>
        <w:t>（表</w:t>
      </w:r>
      <w:r>
        <w:rPr>
          <w:rFonts w:hint="eastAsia" w:cs="仿宋_GB2312" w:asciiTheme="minorEastAsia" w:hAnsiTheme="minorEastAsia" w:eastAsiaTheme="minorEastAsia"/>
          <w:color w:val="auto"/>
          <w:kern w:val="0"/>
          <w:sz w:val="21"/>
          <w:szCs w:val="21"/>
          <w:lang w:val="en-US" w:eastAsia="zh-CN"/>
        </w:rPr>
        <w:t>11</w:t>
      </w:r>
      <w:r>
        <w:rPr>
          <w:rFonts w:hint="eastAsia" w:cs="仿宋_GB2312" w:asciiTheme="minorEastAsia" w:hAnsiTheme="minorEastAsia" w:eastAsiaTheme="minorEastAsia"/>
          <w:color w:val="auto"/>
          <w:kern w:val="0"/>
          <w:sz w:val="21"/>
          <w:szCs w:val="21"/>
        </w:rPr>
        <w:t>）</w:t>
      </w:r>
    </w:p>
    <w:p>
      <w:pPr>
        <w:spacing w:beforeLines="0" w:afterLines="0" w:line="360" w:lineRule="auto"/>
        <w:jc w:val="center"/>
        <w:rPr>
          <w:rFonts w:asciiTheme="majorEastAsia" w:hAnsiTheme="majorEastAsia" w:eastAsiaTheme="majorEastAsia"/>
          <w:b/>
          <w:color w:val="000000"/>
          <w:kern w:val="0"/>
          <w:sz w:val="21"/>
          <w:szCs w:val="21"/>
        </w:rPr>
      </w:pPr>
      <w:r>
        <w:rPr>
          <w:rFonts w:hint="eastAsia" w:asciiTheme="majorEastAsia" w:hAnsiTheme="majorEastAsia" w:eastAsiaTheme="majorEastAsia"/>
          <w:b/>
          <w:color w:val="000000"/>
          <w:kern w:val="0"/>
          <w:sz w:val="21"/>
          <w:szCs w:val="21"/>
        </w:rPr>
        <w:t>表</w:t>
      </w:r>
      <w:r>
        <w:rPr>
          <w:rFonts w:hint="eastAsia" w:asciiTheme="majorEastAsia" w:hAnsiTheme="majorEastAsia" w:eastAsiaTheme="majorEastAsia"/>
          <w:b/>
          <w:color w:val="000000"/>
          <w:kern w:val="0"/>
          <w:sz w:val="21"/>
          <w:szCs w:val="21"/>
          <w:lang w:val="en-US" w:eastAsia="zh-CN"/>
        </w:rPr>
        <w:t>11</w:t>
      </w:r>
      <w:r>
        <w:rPr>
          <w:rFonts w:hint="eastAsia" w:asciiTheme="majorEastAsia" w:hAnsiTheme="majorEastAsia" w:eastAsiaTheme="majorEastAsia"/>
          <w:b/>
          <w:color w:val="000000"/>
          <w:kern w:val="0"/>
          <w:sz w:val="21"/>
          <w:szCs w:val="21"/>
        </w:rPr>
        <w:t xml:space="preserve"> 20</w:t>
      </w:r>
      <w:r>
        <w:rPr>
          <w:rFonts w:hint="eastAsia" w:asciiTheme="majorEastAsia" w:hAnsiTheme="majorEastAsia" w:eastAsiaTheme="majorEastAsia"/>
          <w:b/>
          <w:color w:val="000000"/>
          <w:kern w:val="0"/>
          <w:sz w:val="21"/>
          <w:szCs w:val="21"/>
          <w:lang w:val="en-US" w:eastAsia="zh-CN"/>
        </w:rPr>
        <w:t>20</w:t>
      </w:r>
      <w:r>
        <w:rPr>
          <w:rFonts w:hint="eastAsia" w:asciiTheme="majorEastAsia" w:hAnsiTheme="majorEastAsia" w:eastAsiaTheme="majorEastAsia"/>
          <w:b/>
          <w:color w:val="000000"/>
          <w:kern w:val="0"/>
          <w:sz w:val="21"/>
          <w:szCs w:val="21"/>
        </w:rPr>
        <w:t>年杭州市中等职业教育部分专业与行业对比情况表</w:t>
      </w:r>
    </w:p>
    <w:tbl>
      <w:tblPr>
        <w:tblStyle w:val="23"/>
        <w:tblW w:w="8187" w:type="dxa"/>
        <w:jc w:val="center"/>
        <w:tblLayout w:type="autofit"/>
        <w:tblCellMar>
          <w:top w:w="0" w:type="dxa"/>
          <w:left w:w="108" w:type="dxa"/>
          <w:bottom w:w="0" w:type="dxa"/>
          <w:right w:w="108" w:type="dxa"/>
        </w:tblCellMar>
      </w:tblPr>
      <w:tblGrid>
        <w:gridCol w:w="2174"/>
        <w:gridCol w:w="1102"/>
        <w:gridCol w:w="2693"/>
        <w:gridCol w:w="1009"/>
        <w:gridCol w:w="1209"/>
      </w:tblGrid>
      <w:tr>
        <w:tblPrEx>
          <w:tblCellMar>
            <w:top w:w="0" w:type="dxa"/>
            <w:left w:w="108" w:type="dxa"/>
            <w:bottom w:w="0" w:type="dxa"/>
            <w:right w:w="108" w:type="dxa"/>
          </w:tblCellMar>
        </w:tblPrEx>
        <w:trPr>
          <w:trHeight w:val="285" w:hRule="atLeast"/>
          <w:jc w:val="center"/>
        </w:trPr>
        <w:tc>
          <w:tcPr>
            <w:tcW w:w="327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beforeLines="0" w:afterLines="0" w:line="32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中职教育</w:t>
            </w:r>
          </w:p>
        </w:tc>
        <w:tc>
          <w:tcPr>
            <w:tcW w:w="3702" w:type="dxa"/>
            <w:gridSpan w:val="2"/>
            <w:tcBorders>
              <w:top w:val="single" w:color="auto" w:sz="4" w:space="0"/>
              <w:left w:val="nil"/>
              <w:bottom w:val="single" w:color="auto" w:sz="4" w:space="0"/>
              <w:right w:val="single" w:color="auto" w:sz="4" w:space="0"/>
            </w:tcBorders>
            <w:shd w:val="clear" w:color="000000" w:fill="FFFFFF"/>
            <w:vAlign w:val="center"/>
          </w:tcPr>
          <w:p>
            <w:pPr>
              <w:spacing w:beforeLines="0" w:afterLines="0" w:line="32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对比行业</w:t>
            </w:r>
          </w:p>
        </w:tc>
        <w:tc>
          <w:tcPr>
            <w:tcW w:w="120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spacing w:beforeLines="0" w:afterLines="0" w:line="32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两者差距</w:t>
            </w:r>
          </w:p>
        </w:tc>
      </w:tr>
      <w:tr>
        <w:tblPrEx>
          <w:tblCellMar>
            <w:top w:w="0" w:type="dxa"/>
            <w:left w:w="108" w:type="dxa"/>
            <w:bottom w:w="0" w:type="dxa"/>
            <w:right w:w="108" w:type="dxa"/>
          </w:tblCellMar>
        </w:tblPrEx>
        <w:trPr>
          <w:trHeight w:val="285" w:hRule="atLeast"/>
          <w:jc w:val="center"/>
        </w:trPr>
        <w:tc>
          <w:tcPr>
            <w:tcW w:w="2174" w:type="dxa"/>
            <w:tcBorders>
              <w:top w:val="nil"/>
              <w:left w:val="single" w:color="auto" w:sz="4" w:space="0"/>
              <w:bottom w:val="single" w:color="auto" w:sz="4" w:space="0"/>
              <w:right w:val="single" w:color="auto" w:sz="4" w:space="0"/>
            </w:tcBorders>
            <w:shd w:val="clear" w:color="000000" w:fill="FFFFFF"/>
            <w:vAlign w:val="center"/>
          </w:tcPr>
          <w:p>
            <w:pPr>
              <w:spacing w:beforeLines="0" w:afterLines="0" w:line="32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sz w:val="21"/>
                <w:szCs w:val="21"/>
              </w:rPr>
              <w:t>专业类别</w:t>
            </w:r>
          </w:p>
        </w:tc>
        <w:tc>
          <w:tcPr>
            <w:tcW w:w="1102" w:type="dxa"/>
            <w:tcBorders>
              <w:top w:val="single" w:color="auto" w:sz="4" w:space="0"/>
              <w:left w:val="nil"/>
              <w:bottom w:val="single" w:color="auto" w:sz="4" w:space="0"/>
              <w:right w:val="single" w:color="auto" w:sz="4" w:space="0"/>
            </w:tcBorders>
            <w:shd w:val="clear" w:color="000000" w:fill="FFFFFF"/>
            <w:vAlign w:val="center"/>
          </w:tcPr>
          <w:p>
            <w:pPr>
              <w:spacing w:beforeLines="0" w:afterLines="0" w:line="32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sz w:val="21"/>
                <w:szCs w:val="21"/>
              </w:rPr>
              <w:t>在校学生人数占比</w:t>
            </w:r>
          </w:p>
        </w:tc>
        <w:tc>
          <w:tcPr>
            <w:tcW w:w="2693" w:type="dxa"/>
            <w:tcBorders>
              <w:top w:val="nil"/>
              <w:left w:val="single" w:color="auto" w:sz="4" w:space="0"/>
              <w:bottom w:val="single" w:color="auto" w:sz="4" w:space="0"/>
              <w:right w:val="single" w:color="auto" w:sz="4" w:space="0"/>
            </w:tcBorders>
            <w:shd w:val="clear" w:color="000000" w:fill="FFFFFF"/>
            <w:vAlign w:val="center"/>
          </w:tcPr>
          <w:p>
            <w:pPr>
              <w:spacing w:beforeLines="0" w:afterLines="0" w:line="32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sz w:val="21"/>
                <w:szCs w:val="21"/>
              </w:rPr>
              <w:t>行业类别</w:t>
            </w:r>
          </w:p>
        </w:tc>
        <w:tc>
          <w:tcPr>
            <w:tcW w:w="1009" w:type="dxa"/>
            <w:tcBorders>
              <w:top w:val="nil"/>
              <w:left w:val="single" w:color="auto" w:sz="4" w:space="0"/>
              <w:bottom w:val="single" w:color="auto" w:sz="4" w:space="0"/>
              <w:right w:val="single" w:color="auto" w:sz="4" w:space="0"/>
            </w:tcBorders>
            <w:shd w:val="clear" w:color="000000" w:fill="FFFFFF"/>
            <w:vAlign w:val="center"/>
          </w:tcPr>
          <w:p>
            <w:pPr>
              <w:spacing w:beforeLines="0" w:afterLines="0" w:line="32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sz w:val="21"/>
                <w:szCs w:val="21"/>
              </w:rPr>
              <w:t>从业人数占比</w:t>
            </w:r>
          </w:p>
        </w:tc>
        <w:tc>
          <w:tcPr>
            <w:tcW w:w="1209" w:type="dxa"/>
            <w:vMerge w:val="continue"/>
            <w:tcBorders>
              <w:top w:val="nil"/>
              <w:left w:val="single" w:color="auto" w:sz="4" w:space="0"/>
              <w:bottom w:val="single" w:color="auto" w:sz="4" w:space="0"/>
              <w:right w:val="single" w:color="auto" w:sz="4" w:space="0"/>
            </w:tcBorders>
            <w:vAlign w:val="center"/>
          </w:tcPr>
          <w:p>
            <w:pPr>
              <w:widowControl/>
              <w:spacing w:beforeLines="0" w:afterLines="0" w:line="320" w:lineRule="exact"/>
              <w:jc w:val="left"/>
              <w:rPr>
                <w:rFonts w:hint="eastAsia" w:ascii="仿宋_GB2312" w:hAnsi="仿宋_GB2312" w:eastAsia="仿宋_GB2312" w:cs="仿宋_GB2312"/>
                <w:color w:val="000000"/>
                <w:kern w:val="0"/>
                <w:sz w:val="21"/>
                <w:szCs w:val="21"/>
              </w:rPr>
            </w:pPr>
          </w:p>
        </w:tc>
      </w:tr>
      <w:tr>
        <w:tblPrEx>
          <w:tblCellMar>
            <w:top w:w="0" w:type="dxa"/>
            <w:left w:w="108" w:type="dxa"/>
            <w:bottom w:w="0" w:type="dxa"/>
            <w:right w:w="108" w:type="dxa"/>
          </w:tblCellMar>
        </w:tblPrEx>
        <w:trPr>
          <w:trHeight w:val="285" w:hRule="atLeast"/>
          <w:jc w:val="center"/>
        </w:trPr>
        <w:tc>
          <w:tcPr>
            <w:tcW w:w="2174" w:type="dxa"/>
            <w:tcBorders>
              <w:top w:val="nil"/>
              <w:left w:val="single" w:color="auto" w:sz="4" w:space="0"/>
              <w:bottom w:val="single" w:color="auto" w:sz="4" w:space="0"/>
              <w:right w:val="single" w:color="auto" w:sz="4" w:space="0"/>
            </w:tcBorders>
            <w:shd w:val="clear" w:color="000000" w:fill="FFFFFF"/>
            <w:vAlign w:val="center"/>
          </w:tcPr>
          <w:p>
            <w:pPr>
              <w:widowControl/>
              <w:spacing w:beforeLines="0" w:afterLines="0" w:line="32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农林牧渔类</w:t>
            </w:r>
          </w:p>
        </w:tc>
        <w:tc>
          <w:tcPr>
            <w:tcW w:w="11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Lines="0" w:afterLines="0" w:line="320" w:lineRule="exact"/>
              <w:jc w:val="center"/>
              <w:textAlignment w:val="bottom"/>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i w:val="0"/>
                <w:color w:val="000000"/>
                <w:kern w:val="0"/>
                <w:sz w:val="21"/>
                <w:szCs w:val="21"/>
                <w:u w:val="none"/>
                <w:lang w:val="en-US" w:eastAsia="zh-CN" w:bidi="ar"/>
              </w:rPr>
              <w:t>3.13%</w:t>
            </w:r>
          </w:p>
        </w:tc>
        <w:tc>
          <w:tcPr>
            <w:tcW w:w="2693" w:type="dxa"/>
            <w:tcBorders>
              <w:top w:val="nil"/>
              <w:left w:val="nil"/>
              <w:bottom w:val="single" w:color="auto" w:sz="4" w:space="0"/>
              <w:right w:val="single" w:color="auto" w:sz="4" w:space="0"/>
            </w:tcBorders>
            <w:shd w:val="clear" w:color="000000" w:fill="FFFFFF"/>
            <w:vAlign w:val="center"/>
          </w:tcPr>
          <w:p>
            <w:pPr>
              <w:widowControl/>
              <w:spacing w:beforeLines="0" w:afterLines="0" w:line="32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农、林、牧、渔业</w:t>
            </w:r>
          </w:p>
        </w:tc>
        <w:tc>
          <w:tcPr>
            <w:tcW w:w="10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Lines="0" w:afterLines="0" w:line="320" w:lineRule="exact"/>
              <w:jc w:val="center"/>
              <w:textAlignment w:val="bottom"/>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i w:val="0"/>
                <w:color w:val="000000"/>
                <w:kern w:val="0"/>
                <w:sz w:val="21"/>
                <w:szCs w:val="21"/>
                <w:u w:val="none"/>
                <w:lang w:val="en-US" w:eastAsia="zh-CN" w:bidi="ar"/>
              </w:rPr>
              <w:t>0.02%</w:t>
            </w:r>
          </w:p>
        </w:tc>
        <w:tc>
          <w:tcPr>
            <w:tcW w:w="1209" w:type="dxa"/>
            <w:tcBorders>
              <w:top w:val="nil"/>
              <w:left w:val="nil"/>
              <w:bottom w:val="single" w:color="auto" w:sz="4" w:space="0"/>
              <w:right w:val="single" w:color="auto" w:sz="4" w:space="0"/>
            </w:tcBorders>
            <w:shd w:val="clear" w:color="000000" w:fill="FFFFFF"/>
            <w:vAlign w:val="center"/>
          </w:tcPr>
          <w:p>
            <w:pPr>
              <w:widowControl/>
              <w:spacing w:beforeLines="0" w:afterLines="0" w:line="320" w:lineRule="exact"/>
              <w:jc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3.11%</w:t>
            </w:r>
          </w:p>
        </w:tc>
      </w:tr>
      <w:tr>
        <w:tblPrEx>
          <w:tblCellMar>
            <w:top w:w="0" w:type="dxa"/>
            <w:left w:w="108" w:type="dxa"/>
            <w:bottom w:w="0" w:type="dxa"/>
            <w:right w:w="108" w:type="dxa"/>
          </w:tblCellMar>
        </w:tblPrEx>
        <w:trPr>
          <w:trHeight w:val="285" w:hRule="atLeast"/>
          <w:jc w:val="center"/>
        </w:trPr>
        <w:tc>
          <w:tcPr>
            <w:tcW w:w="2174" w:type="dxa"/>
            <w:tcBorders>
              <w:top w:val="nil"/>
              <w:left w:val="single" w:color="auto" w:sz="4" w:space="0"/>
              <w:bottom w:val="single" w:color="auto" w:sz="4" w:space="0"/>
              <w:right w:val="single" w:color="auto" w:sz="4" w:space="0"/>
            </w:tcBorders>
            <w:shd w:val="clear" w:color="000000" w:fill="FFFFFF"/>
            <w:vAlign w:val="center"/>
          </w:tcPr>
          <w:p>
            <w:pPr>
              <w:widowControl/>
              <w:spacing w:beforeLines="0" w:afterLines="0" w:line="32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资源环境类</w:t>
            </w:r>
          </w:p>
        </w:tc>
        <w:tc>
          <w:tcPr>
            <w:tcW w:w="11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Lines="0" w:afterLines="0" w:line="320" w:lineRule="exact"/>
              <w:jc w:val="center"/>
              <w:textAlignment w:val="bottom"/>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i w:val="0"/>
                <w:color w:val="000000"/>
                <w:kern w:val="0"/>
                <w:sz w:val="21"/>
                <w:szCs w:val="21"/>
                <w:u w:val="none"/>
                <w:lang w:val="en-US" w:eastAsia="zh-CN" w:bidi="ar"/>
              </w:rPr>
              <w:t>0.95%</w:t>
            </w:r>
          </w:p>
        </w:tc>
        <w:tc>
          <w:tcPr>
            <w:tcW w:w="2693" w:type="dxa"/>
            <w:tcBorders>
              <w:top w:val="nil"/>
              <w:left w:val="nil"/>
              <w:bottom w:val="single" w:color="auto" w:sz="4" w:space="0"/>
              <w:right w:val="single" w:color="auto" w:sz="4" w:space="0"/>
            </w:tcBorders>
            <w:shd w:val="clear" w:color="000000" w:fill="FFFFFF"/>
            <w:vAlign w:val="center"/>
          </w:tcPr>
          <w:p>
            <w:pPr>
              <w:widowControl/>
              <w:spacing w:beforeLines="0" w:afterLines="0" w:line="32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采矿业</w:t>
            </w:r>
          </w:p>
        </w:tc>
        <w:tc>
          <w:tcPr>
            <w:tcW w:w="10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Lines="0" w:afterLines="0" w:line="320" w:lineRule="exact"/>
              <w:jc w:val="center"/>
              <w:textAlignment w:val="bottom"/>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i w:val="0"/>
                <w:color w:val="000000"/>
                <w:kern w:val="0"/>
                <w:sz w:val="21"/>
                <w:szCs w:val="21"/>
                <w:u w:val="none"/>
                <w:lang w:val="en-US" w:eastAsia="zh-CN" w:bidi="ar"/>
              </w:rPr>
              <w:t>0.05%</w:t>
            </w:r>
          </w:p>
        </w:tc>
        <w:tc>
          <w:tcPr>
            <w:tcW w:w="1209" w:type="dxa"/>
            <w:tcBorders>
              <w:top w:val="nil"/>
              <w:left w:val="nil"/>
              <w:bottom w:val="single" w:color="auto" w:sz="4" w:space="0"/>
              <w:right w:val="single" w:color="auto" w:sz="4" w:space="0"/>
            </w:tcBorders>
            <w:shd w:val="clear" w:color="000000" w:fill="FFFFFF"/>
            <w:vAlign w:val="center"/>
          </w:tcPr>
          <w:p>
            <w:pPr>
              <w:widowControl/>
              <w:spacing w:beforeLines="0" w:afterLines="0" w:line="320" w:lineRule="exact"/>
              <w:jc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0.90%</w:t>
            </w:r>
          </w:p>
        </w:tc>
      </w:tr>
      <w:tr>
        <w:tblPrEx>
          <w:tblCellMar>
            <w:top w:w="0" w:type="dxa"/>
            <w:left w:w="108" w:type="dxa"/>
            <w:bottom w:w="0" w:type="dxa"/>
            <w:right w:w="108" w:type="dxa"/>
          </w:tblCellMar>
        </w:tblPrEx>
        <w:trPr>
          <w:trHeight w:val="510" w:hRule="atLeast"/>
          <w:jc w:val="center"/>
        </w:trPr>
        <w:tc>
          <w:tcPr>
            <w:tcW w:w="2174" w:type="dxa"/>
            <w:tcBorders>
              <w:top w:val="nil"/>
              <w:left w:val="single" w:color="auto" w:sz="4" w:space="0"/>
              <w:bottom w:val="single" w:color="auto" w:sz="4" w:space="0"/>
              <w:right w:val="single" w:color="auto" w:sz="4" w:space="0"/>
            </w:tcBorders>
            <w:shd w:val="clear" w:color="000000" w:fill="FFFFFF"/>
            <w:vAlign w:val="center"/>
          </w:tcPr>
          <w:p>
            <w:pPr>
              <w:widowControl/>
              <w:spacing w:beforeLines="0" w:afterLines="0" w:line="32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能源与新能源类</w:t>
            </w:r>
          </w:p>
        </w:tc>
        <w:tc>
          <w:tcPr>
            <w:tcW w:w="11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Lines="0" w:afterLines="0" w:line="320" w:lineRule="exact"/>
              <w:jc w:val="center"/>
              <w:textAlignment w:val="bottom"/>
              <w:rPr>
                <w:rFonts w:hint="eastAsia" w:ascii="仿宋_GB2312" w:hAnsi="仿宋_GB2312" w:eastAsia="仿宋_GB2312" w:cs="仿宋_GB2312"/>
                <w:kern w:val="0"/>
                <w:sz w:val="21"/>
                <w:szCs w:val="21"/>
              </w:rPr>
            </w:pPr>
            <w:r>
              <w:rPr>
                <w:rFonts w:hint="eastAsia" w:ascii="仿宋_GB2312" w:hAnsi="仿宋_GB2312" w:eastAsia="仿宋_GB2312" w:cs="仿宋_GB2312"/>
                <w:i w:val="0"/>
                <w:color w:val="000000"/>
                <w:kern w:val="0"/>
                <w:sz w:val="21"/>
                <w:szCs w:val="21"/>
                <w:u w:val="none"/>
                <w:lang w:val="en-US" w:eastAsia="zh-CN" w:bidi="ar"/>
              </w:rPr>
              <w:t>0.00%</w:t>
            </w:r>
          </w:p>
        </w:tc>
        <w:tc>
          <w:tcPr>
            <w:tcW w:w="2693" w:type="dxa"/>
            <w:tcBorders>
              <w:top w:val="nil"/>
              <w:left w:val="nil"/>
              <w:bottom w:val="single" w:color="auto" w:sz="4" w:space="0"/>
              <w:right w:val="single" w:color="auto" w:sz="4" w:space="0"/>
            </w:tcBorders>
            <w:shd w:val="clear" w:color="000000" w:fill="FFFFFF"/>
            <w:vAlign w:val="center"/>
          </w:tcPr>
          <w:p>
            <w:pPr>
              <w:widowControl/>
              <w:spacing w:beforeLines="0" w:afterLines="0" w:line="32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电力、热力、燃气及水生产和供应业</w:t>
            </w:r>
          </w:p>
        </w:tc>
        <w:tc>
          <w:tcPr>
            <w:tcW w:w="10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Lines="0" w:afterLines="0" w:line="320" w:lineRule="exact"/>
              <w:jc w:val="center"/>
              <w:textAlignment w:val="bottom"/>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i w:val="0"/>
                <w:color w:val="000000"/>
                <w:kern w:val="0"/>
                <w:sz w:val="21"/>
                <w:szCs w:val="21"/>
                <w:u w:val="none"/>
                <w:lang w:val="en-US" w:eastAsia="zh-CN" w:bidi="ar"/>
              </w:rPr>
              <w:t>0.39%</w:t>
            </w:r>
          </w:p>
        </w:tc>
        <w:tc>
          <w:tcPr>
            <w:tcW w:w="1209" w:type="dxa"/>
            <w:tcBorders>
              <w:top w:val="nil"/>
              <w:left w:val="nil"/>
              <w:bottom w:val="single" w:color="auto" w:sz="4" w:space="0"/>
              <w:right w:val="single" w:color="auto" w:sz="4" w:space="0"/>
            </w:tcBorders>
            <w:shd w:val="clear" w:color="000000" w:fill="FFFFFF"/>
            <w:vAlign w:val="center"/>
          </w:tcPr>
          <w:p>
            <w:pPr>
              <w:widowControl/>
              <w:spacing w:beforeLines="0" w:afterLines="0" w:line="320" w:lineRule="exact"/>
              <w:jc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-0.39%</w:t>
            </w:r>
          </w:p>
        </w:tc>
      </w:tr>
      <w:tr>
        <w:tblPrEx>
          <w:tblCellMar>
            <w:top w:w="0" w:type="dxa"/>
            <w:left w:w="108" w:type="dxa"/>
            <w:bottom w:w="0" w:type="dxa"/>
            <w:right w:w="108" w:type="dxa"/>
          </w:tblCellMar>
        </w:tblPrEx>
        <w:trPr>
          <w:trHeight w:val="285" w:hRule="atLeast"/>
          <w:jc w:val="center"/>
        </w:trPr>
        <w:tc>
          <w:tcPr>
            <w:tcW w:w="2174" w:type="dxa"/>
            <w:tcBorders>
              <w:top w:val="nil"/>
              <w:left w:val="single" w:color="auto" w:sz="4" w:space="0"/>
              <w:bottom w:val="single" w:color="auto" w:sz="4" w:space="0"/>
              <w:right w:val="single" w:color="auto" w:sz="4" w:space="0"/>
            </w:tcBorders>
            <w:shd w:val="clear" w:color="000000" w:fill="FFFFFF"/>
            <w:vAlign w:val="center"/>
          </w:tcPr>
          <w:p>
            <w:pPr>
              <w:widowControl/>
              <w:spacing w:beforeLines="0" w:afterLines="0" w:line="32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土木水利类</w:t>
            </w:r>
          </w:p>
        </w:tc>
        <w:tc>
          <w:tcPr>
            <w:tcW w:w="11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Lines="0" w:afterLines="0" w:line="320" w:lineRule="exact"/>
              <w:jc w:val="center"/>
              <w:textAlignment w:val="bottom"/>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i w:val="0"/>
                <w:color w:val="000000"/>
                <w:kern w:val="0"/>
                <w:sz w:val="21"/>
                <w:szCs w:val="21"/>
                <w:u w:val="none"/>
                <w:lang w:val="en-US" w:eastAsia="zh-CN" w:bidi="ar"/>
              </w:rPr>
              <w:t>4.55%</w:t>
            </w:r>
          </w:p>
        </w:tc>
        <w:tc>
          <w:tcPr>
            <w:tcW w:w="2693" w:type="dxa"/>
            <w:tcBorders>
              <w:top w:val="nil"/>
              <w:left w:val="nil"/>
              <w:bottom w:val="single" w:color="auto" w:sz="4" w:space="0"/>
              <w:right w:val="single" w:color="auto" w:sz="4" w:space="0"/>
            </w:tcBorders>
            <w:shd w:val="clear" w:color="000000" w:fill="FFFFFF"/>
            <w:vAlign w:val="center"/>
          </w:tcPr>
          <w:p>
            <w:pPr>
              <w:widowControl/>
              <w:spacing w:beforeLines="0" w:afterLines="0" w:line="32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建筑业</w:t>
            </w:r>
          </w:p>
        </w:tc>
        <w:tc>
          <w:tcPr>
            <w:tcW w:w="10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Lines="0" w:afterLines="0" w:line="320" w:lineRule="exact"/>
              <w:jc w:val="center"/>
              <w:textAlignment w:val="bottom"/>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i w:val="0"/>
                <w:color w:val="000000"/>
                <w:kern w:val="0"/>
                <w:sz w:val="21"/>
                <w:szCs w:val="21"/>
                <w:u w:val="none"/>
                <w:lang w:val="en-US" w:eastAsia="zh-CN" w:bidi="ar"/>
              </w:rPr>
              <w:t>31.99%</w:t>
            </w:r>
          </w:p>
        </w:tc>
        <w:tc>
          <w:tcPr>
            <w:tcW w:w="1209" w:type="dxa"/>
            <w:tcBorders>
              <w:top w:val="nil"/>
              <w:left w:val="nil"/>
              <w:bottom w:val="single" w:color="auto" w:sz="4" w:space="0"/>
              <w:right w:val="single" w:color="auto" w:sz="4" w:space="0"/>
            </w:tcBorders>
            <w:shd w:val="clear" w:color="000000" w:fill="FFFFFF"/>
            <w:vAlign w:val="center"/>
          </w:tcPr>
          <w:p>
            <w:pPr>
              <w:widowControl/>
              <w:spacing w:beforeLines="0" w:afterLines="0" w:line="320" w:lineRule="exact"/>
              <w:jc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-27.44%</w:t>
            </w:r>
          </w:p>
        </w:tc>
      </w:tr>
      <w:tr>
        <w:tblPrEx>
          <w:tblCellMar>
            <w:top w:w="0" w:type="dxa"/>
            <w:left w:w="108" w:type="dxa"/>
            <w:bottom w:w="0" w:type="dxa"/>
            <w:right w:w="108" w:type="dxa"/>
          </w:tblCellMar>
        </w:tblPrEx>
        <w:trPr>
          <w:trHeight w:val="285" w:hRule="atLeast"/>
          <w:jc w:val="center"/>
        </w:trPr>
        <w:tc>
          <w:tcPr>
            <w:tcW w:w="2174" w:type="dxa"/>
            <w:tcBorders>
              <w:top w:val="nil"/>
              <w:left w:val="single" w:color="auto" w:sz="4" w:space="0"/>
              <w:bottom w:val="single" w:color="auto" w:sz="4" w:space="0"/>
              <w:right w:val="single" w:color="auto" w:sz="4" w:space="0"/>
            </w:tcBorders>
            <w:shd w:val="clear" w:color="000000" w:fill="FFFFFF"/>
            <w:vAlign w:val="center"/>
          </w:tcPr>
          <w:p>
            <w:pPr>
              <w:widowControl/>
              <w:spacing w:beforeLines="0" w:afterLines="0" w:line="32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加工制造类</w:t>
            </w:r>
          </w:p>
        </w:tc>
        <w:tc>
          <w:tcPr>
            <w:tcW w:w="11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Lines="0" w:afterLines="0" w:line="320" w:lineRule="exact"/>
              <w:jc w:val="center"/>
              <w:textAlignment w:val="bottom"/>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i w:val="0"/>
                <w:color w:val="000000"/>
                <w:kern w:val="0"/>
                <w:sz w:val="21"/>
                <w:szCs w:val="21"/>
                <w:u w:val="none"/>
                <w:lang w:val="en-US" w:eastAsia="zh-CN" w:bidi="ar"/>
              </w:rPr>
              <w:t>10.70%</w:t>
            </w:r>
          </w:p>
        </w:tc>
        <w:tc>
          <w:tcPr>
            <w:tcW w:w="2693" w:type="dxa"/>
            <w:tcBorders>
              <w:top w:val="nil"/>
              <w:left w:val="nil"/>
              <w:bottom w:val="single" w:color="auto" w:sz="4" w:space="0"/>
              <w:right w:val="single" w:color="auto" w:sz="4" w:space="0"/>
            </w:tcBorders>
            <w:shd w:val="clear" w:color="000000" w:fill="FFFFFF"/>
            <w:vAlign w:val="center"/>
          </w:tcPr>
          <w:p>
            <w:pPr>
              <w:widowControl/>
              <w:spacing w:beforeLines="0" w:afterLines="0" w:line="32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制造业</w:t>
            </w:r>
          </w:p>
        </w:tc>
        <w:tc>
          <w:tcPr>
            <w:tcW w:w="10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Lines="0" w:afterLines="0" w:line="320" w:lineRule="exact"/>
              <w:jc w:val="center"/>
              <w:textAlignment w:val="bottom"/>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i w:val="0"/>
                <w:color w:val="000000"/>
                <w:kern w:val="0"/>
                <w:sz w:val="21"/>
                <w:szCs w:val="21"/>
                <w:u w:val="none"/>
                <w:lang w:val="en-US" w:eastAsia="zh-CN" w:bidi="ar"/>
              </w:rPr>
              <w:t>21.89%</w:t>
            </w:r>
          </w:p>
        </w:tc>
        <w:tc>
          <w:tcPr>
            <w:tcW w:w="1209" w:type="dxa"/>
            <w:tcBorders>
              <w:top w:val="nil"/>
              <w:left w:val="nil"/>
              <w:bottom w:val="single" w:color="auto" w:sz="4" w:space="0"/>
              <w:right w:val="single" w:color="auto" w:sz="4" w:space="0"/>
            </w:tcBorders>
            <w:shd w:val="clear" w:color="000000" w:fill="FFFFFF"/>
            <w:vAlign w:val="center"/>
          </w:tcPr>
          <w:p>
            <w:pPr>
              <w:widowControl/>
              <w:spacing w:beforeLines="0" w:afterLines="0" w:line="320" w:lineRule="exact"/>
              <w:jc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-11.19%</w:t>
            </w:r>
          </w:p>
        </w:tc>
      </w:tr>
      <w:tr>
        <w:tblPrEx>
          <w:tblCellMar>
            <w:top w:w="0" w:type="dxa"/>
            <w:left w:w="108" w:type="dxa"/>
            <w:bottom w:w="0" w:type="dxa"/>
            <w:right w:w="108" w:type="dxa"/>
          </w:tblCellMar>
        </w:tblPrEx>
        <w:trPr>
          <w:trHeight w:val="285" w:hRule="atLeast"/>
          <w:jc w:val="center"/>
        </w:trPr>
        <w:tc>
          <w:tcPr>
            <w:tcW w:w="2174" w:type="dxa"/>
            <w:tcBorders>
              <w:top w:val="nil"/>
              <w:left w:val="single" w:color="auto" w:sz="4" w:space="0"/>
              <w:bottom w:val="single" w:color="auto" w:sz="4" w:space="0"/>
              <w:right w:val="single" w:color="auto" w:sz="4" w:space="0"/>
            </w:tcBorders>
            <w:shd w:val="clear" w:color="000000" w:fill="FFFFFF"/>
            <w:vAlign w:val="center"/>
          </w:tcPr>
          <w:p>
            <w:pPr>
              <w:widowControl/>
              <w:spacing w:beforeLines="0" w:afterLines="0" w:line="32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石油化工类</w:t>
            </w:r>
          </w:p>
        </w:tc>
        <w:tc>
          <w:tcPr>
            <w:tcW w:w="11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Lines="0" w:afterLines="0" w:line="320" w:lineRule="exact"/>
              <w:jc w:val="center"/>
              <w:textAlignment w:val="bottom"/>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i w:val="0"/>
                <w:color w:val="000000"/>
                <w:kern w:val="0"/>
                <w:sz w:val="21"/>
                <w:szCs w:val="21"/>
                <w:u w:val="none"/>
                <w:lang w:val="en-US" w:eastAsia="zh-CN" w:bidi="ar"/>
              </w:rPr>
              <w:t>0.80%</w:t>
            </w:r>
          </w:p>
        </w:tc>
        <w:tc>
          <w:tcPr>
            <w:tcW w:w="2693" w:type="dxa"/>
            <w:tcBorders>
              <w:top w:val="nil"/>
              <w:left w:val="nil"/>
              <w:bottom w:val="single" w:color="auto" w:sz="4" w:space="0"/>
              <w:right w:val="single" w:color="auto" w:sz="4" w:space="0"/>
            </w:tcBorders>
            <w:shd w:val="clear" w:color="000000" w:fill="FFFFFF"/>
            <w:vAlign w:val="center"/>
          </w:tcPr>
          <w:p>
            <w:pPr>
              <w:widowControl/>
              <w:spacing w:beforeLines="0" w:afterLines="0" w:line="32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科学研究、技术服务业</w:t>
            </w:r>
          </w:p>
        </w:tc>
        <w:tc>
          <w:tcPr>
            <w:tcW w:w="10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Lines="0" w:afterLines="0" w:line="320" w:lineRule="exact"/>
              <w:jc w:val="center"/>
              <w:textAlignment w:val="bottom"/>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i w:val="0"/>
                <w:color w:val="000000"/>
                <w:kern w:val="0"/>
                <w:sz w:val="21"/>
                <w:szCs w:val="21"/>
                <w:u w:val="none"/>
                <w:lang w:val="en-US" w:eastAsia="zh-CN" w:bidi="ar"/>
              </w:rPr>
              <w:t>2.91%</w:t>
            </w:r>
          </w:p>
        </w:tc>
        <w:tc>
          <w:tcPr>
            <w:tcW w:w="1209" w:type="dxa"/>
            <w:tcBorders>
              <w:top w:val="nil"/>
              <w:left w:val="nil"/>
              <w:bottom w:val="single" w:color="auto" w:sz="4" w:space="0"/>
              <w:right w:val="single" w:color="auto" w:sz="4" w:space="0"/>
            </w:tcBorders>
            <w:shd w:val="clear" w:color="000000" w:fill="FFFFFF"/>
            <w:vAlign w:val="center"/>
          </w:tcPr>
          <w:p>
            <w:pPr>
              <w:widowControl/>
              <w:spacing w:beforeLines="0" w:afterLines="0" w:line="320" w:lineRule="exact"/>
              <w:jc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-2.11%</w:t>
            </w:r>
          </w:p>
        </w:tc>
      </w:tr>
      <w:tr>
        <w:tblPrEx>
          <w:tblCellMar>
            <w:top w:w="0" w:type="dxa"/>
            <w:left w:w="108" w:type="dxa"/>
            <w:bottom w:w="0" w:type="dxa"/>
            <w:right w:w="108" w:type="dxa"/>
          </w:tblCellMar>
        </w:tblPrEx>
        <w:trPr>
          <w:trHeight w:val="510" w:hRule="atLeast"/>
          <w:jc w:val="center"/>
        </w:trPr>
        <w:tc>
          <w:tcPr>
            <w:tcW w:w="2174" w:type="dxa"/>
            <w:tcBorders>
              <w:top w:val="nil"/>
              <w:left w:val="single" w:color="auto" w:sz="4" w:space="0"/>
              <w:bottom w:val="single" w:color="auto" w:sz="4" w:space="0"/>
              <w:right w:val="single" w:color="auto" w:sz="4" w:space="0"/>
            </w:tcBorders>
            <w:shd w:val="clear" w:color="000000" w:fill="FFFFFF"/>
            <w:vAlign w:val="center"/>
          </w:tcPr>
          <w:p>
            <w:pPr>
              <w:widowControl/>
              <w:spacing w:beforeLines="0" w:afterLines="0" w:line="32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交通运输类</w:t>
            </w:r>
          </w:p>
        </w:tc>
        <w:tc>
          <w:tcPr>
            <w:tcW w:w="11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Lines="0" w:afterLines="0" w:line="320" w:lineRule="exact"/>
              <w:jc w:val="center"/>
              <w:textAlignment w:val="bottom"/>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i w:val="0"/>
                <w:color w:val="000000"/>
                <w:kern w:val="0"/>
                <w:sz w:val="21"/>
                <w:szCs w:val="21"/>
                <w:u w:val="none"/>
                <w:lang w:val="en-US" w:eastAsia="zh-CN" w:bidi="ar"/>
              </w:rPr>
              <w:t>7.73%</w:t>
            </w:r>
          </w:p>
        </w:tc>
        <w:tc>
          <w:tcPr>
            <w:tcW w:w="2693" w:type="dxa"/>
            <w:tcBorders>
              <w:top w:val="nil"/>
              <w:left w:val="nil"/>
              <w:bottom w:val="single" w:color="auto" w:sz="4" w:space="0"/>
              <w:right w:val="single" w:color="auto" w:sz="4" w:space="0"/>
            </w:tcBorders>
            <w:shd w:val="clear" w:color="000000" w:fill="FFFFFF"/>
            <w:vAlign w:val="center"/>
          </w:tcPr>
          <w:p>
            <w:pPr>
              <w:widowControl/>
              <w:spacing w:beforeLines="0" w:afterLines="0" w:line="32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交通运输、仓储及邮政业</w:t>
            </w:r>
          </w:p>
        </w:tc>
        <w:tc>
          <w:tcPr>
            <w:tcW w:w="10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Lines="0" w:afterLines="0" w:line="320" w:lineRule="exact"/>
              <w:jc w:val="center"/>
              <w:textAlignment w:val="bottom"/>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i w:val="0"/>
                <w:color w:val="000000"/>
                <w:kern w:val="0"/>
                <w:sz w:val="21"/>
                <w:szCs w:val="21"/>
                <w:u w:val="none"/>
                <w:lang w:val="en-US" w:eastAsia="zh-CN" w:bidi="ar"/>
              </w:rPr>
              <w:t>2.98%</w:t>
            </w:r>
          </w:p>
        </w:tc>
        <w:tc>
          <w:tcPr>
            <w:tcW w:w="1209" w:type="dxa"/>
            <w:tcBorders>
              <w:top w:val="nil"/>
              <w:left w:val="nil"/>
              <w:bottom w:val="single" w:color="auto" w:sz="4" w:space="0"/>
              <w:right w:val="single" w:color="auto" w:sz="4" w:space="0"/>
            </w:tcBorders>
            <w:shd w:val="clear" w:color="000000" w:fill="FFFFFF"/>
            <w:vAlign w:val="center"/>
          </w:tcPr>
          <w:p>
            <w:pPr>
              <w:widowControl/>
              <w:spacing w:beforeLines="0" w:afterLines="0" w:line="320" w:lineRule="exact"/>
              <w:jc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4.75%</w:t>
            </w:r>
          </w:p>
        </w:tc>
      </w:tr>
      <w:tr>
        <w:tblPrEx>
          <w:tblCellMar>
            <w:top w:w="0" w:type="dxa"/>
            <w:left w:w="108" w:type="dxa"/>
            <w:bottom w:w="0" w:type="dxa"/>
            <w:right w:w="108" w:type="dxa"/>
          </w:tblCellMar>
        </w:tblPrEx>
        <w:trPr>
          <w:trHeight w:val="510" w:hRule="atLeast"/>
          <w:jc w:val="center"/>
        </w:trPr>
        <w:tc>
          <w:tcPr>
            <w:tcW w:w="2174" w:type="dxa"/>
            <w:tcBorders>
              <w:top w:val="nil"/>
              <w:left w:val="single" w:color="auto" w:sz="4" w:space="0"/>
              <w:bottom w:val="single" w:color="auto" w:sz="4" w:space="0"/>
              <w:right w:val="single" w:color="auto" w:sz="4" w:space="0"/>
            </w:tcBorders>
            <w:shd w:val="clear" w:color="000000" w:fill="FFFFFF"/>
            <w:vAlign w:val="center"/>
          </w:tcPr>
          <w:p>
            <w:pPr>
              <w:widowControl/>
              <w:spacing w:beforeLines="0" w:afterLines="0" w:line="32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信息技术类</w:t>
            </w:r>
          </w:p>
        </w:tc>
        <w:tc>
          <w:tcPr>
            <w:tcW w:w="11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Lines="0" w:afterLines="0" w:line="320" w:lineRule="exact"/>
              <w:jc w:val="center"/>
              <w:textAlignment w:val="bottom"/>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i w:val="0"/>
                <w:color w:val="000000"/>
                <w:kern w:val="0"/>
                <w:sz w:val="21"/>
                <w:szCs w:val="21"/>
                <w:u w:val="none"/>
                <w:lang w:val="en-US" w:eastAsia="zh-CN" w:bidi="ar"/>
              </w:rPr>
              <w:t>12.00%</w:t>
            </w:r>
          </w:p>
        </w:tc>
        <w:tc>
          <w:tcPr>
            <w:tcW w:w="2693" w:type="dxa"/>
            <w:tcBorders>
              <w:top w:val="nil"/>
              <w:left w:val="nil"/>
              <w:bottom w:val="single" w:color="auto" w:sz="4" w:space="0"/>
              <w:right w:val="single" w:color="auto" w:sz="4" w:space="0"/>
            </w:tcBorders>
            <w:shd w:val="clear" w:color="000000" w:fill="FFFFFF"/>
            <w:vAlign w:val="center"/>
          </w:tcPr>
          <w:p>
            <w:pPr>
              <w:widowControl/>
              <w:spacing w:beforeLines="0" w:afterLines="0" w:line="32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信息传输、软件和信息技术服务业</w:t>
            </w:r>
          </w:p>
        </w:tc>
        <w:tc>
          <w:tcPr>
            <w:tcW w:w="10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Lines="0" w:afterLines="0" w:line="320" w:lineRule="exact"/>
              <w:jc w:val="center"/>
              <w:textAlignment w:val="bottom"/>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i w:val="0"/>
                <w:color w:val="000000"/>
                <w:kern w:val="0"/>
                <w:sz w:val="21"/>
                <w:szCs w:val="21"/>
                <w:u w:val="none"/>
                <w:lang w:val="en-US" w:eastAsia="zh-CN" w:bidi="ar"/>
              </w:rPr>
              <w:t>5.71%</w:t>
            </w:r>
          </w:p>
        </w:tc>
        <w:tc>
          <w:tcPr>
            <w:tcW w:w="1209" w:type="dxa"/>
            <w:tcBorders>
              <w:top w:val="nil"/>
              <w:left w:val="nil"/>
              <w:bottom w:val="single" w:color="auto" w:sz="4" w:space="0"/>
              <w:right w:val="single" w:color="auto" w:sz="4" w:space="0"/>
            </w:tcBorders>
            <w:shd w:val="clear" w:color="000000" w:fill="FFFFFF"/>
            <w:vAlign w:val="center"/>
          </w:tcPr>
          <w:p>
            <w:pPr>
              <w:widowControl/>
              <w:spacing w:beforeLines="0" w:afterLines="0" w:line="320" w:lineRule="exact"/>
              <w:jc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6.29%</w:t>
            </w:r>
          </w:p>
        </w:tc>
      </w:tr>
      <w:tr>
        <w:tblPrEx>
          <w:tblCellMar>
            <w:top w:w="0" w:type="dxa"/>
            <w:left w:w="108" w:type="dxa"/>
            <w:bottom w:w="0" w:type="dxa"/>
            <w:right w:w="108" w:type="dxa"/>
          </w:tblCellMar>
        </w:tblPrEx>
        <w:trPr>
          <w:trHeight w:val="285" w:hRule="atLeast"/>
          <w:jc w:val="center"/>
        </w:trPr>
        <w:tc>
          <w:tcPr>
            <w:tcW w:w="2174" w:type="dxa"/>
            <w:tcBorders>
              <w:top w:val="nil"/>
              <w:left w:val="single" w:color="auto" w:sz="4" w:space="0"/>
              <w:bottom w:val="single" w:color="auto" w:sz="4" w:space="0"/>
              <w:right w:val="single" w:color="auto" w:sz="4" w:space="0"/>
            </w:tcBorders>
            <w:shd w:val="clear" w:color="000000" w:fill="FFFFFF"/>
            <w:vAlign w:val="center"/>
          </w:tcPr>
          <w:p>
            <w:pPr>
              <w:widowControl/>
              <w:spacing w:beforeLines="0" w:afterLines="0" w:line="32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医药卫生类</w:t>
            </w:r>
          </w:p>
        </w:tc>
        <w:tc>
          <w:tcPr>
            <w:tcW w:w="11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Lines="0" w:afterLines="0" w:line="320" w:lineRule="exact"/>
              <w:jc w:val="center"/>
              <w:textAlignment w:val="bottom"/>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i w:val="0"/>
                <w:color w:val="000000"/>
                <w:kern w:val="0"/>
                <w:sz w:val="21"/>
                <w:szCs w:val="21"/>
                <w:u w:val="none"/>
                <w:lang w:val="en-US" w:eastAsia="zh-CN" w:bidi="ar"/>
              </w:rPr>
              <w:t>5.14%</w:t>
            </w:r>
          </w:p>
        </w:tc>
        <w:tc>
          <w:tcPr>
            <w:tcW w:w="2693" w:type="dxa"/>
            <w:tcBorders>
              <w:top w:val="nil"/>
              <w:left w:val="nil"/>
              <w:bottom w:val="single" w:color="auto" w:sz="4" w:space="0"/>
              <w:right w:val="single" w:color="auto" w:sz="4" w:space="0"/>
            </w:tcBorders>
            <w:shd w:val="clear" w:color="000000" w:fill="FFFFFF"/>
            <w:vAlign w:val="center"/>
          </w:tcPr>
          <w:p>
            <w:pPr>
              <w:widowControl/>
              <w:spacing w:beforeLines="0" w:afterLines="0" w:line="32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卫生和社会工作</w:t>
            </w:r>
          </w:p>
        </w:tc>
        <w:tc>
          <w:tcPr>
            <w:tcW w:w="10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Lines="0" w:afterLines="0" w:line="320" w:lineRule="exact"/>
              <w:jc w:val="center"/>
              <w:textAlignment w:val="bottom"/>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i w:val="0"/>
                <w:color w:val="000000"/>
                <w:kern w:val="0"/>
                <w:sz w:val="21"/>
                <w:szCs w:val="21"/>
                <w:u w:val="none"/>
                <w:lang w:val="en-US" w:eastAsia="zh-CN" w:bidi="ar"/>
              </w:rPr>
              <w:t>3.14%</w:t>
            </w:r>
          </w:p>
        </w:tc>
        <w:tc>
          <w:tcPr>
            <w:tcW w:w="1209" w:type="dxa"/>
            <w:tcBorders>
              <w:top w:val="nil"/>
              <w:left w:val="nil"/>
              <w:bottom w:val="single" w:color="auto" w:sz="4" w:space="0"/>
              <w:right w:val="single" w:color="auto" w:sz="4" w:space="0"/>
            </w:tcBorders>
            <w:shd w:val="clear" w:color="000000" w:fill="FFFFFF"/>
            <w:vAlign w:val="center"/>
          </w:tcPr>
          <w:p>
            <w:pPr>
              <w:widowControl/>
              <w:spacing w:beforeLines="0" w:afterLines="0" w:line="320" w:lineRule="exact"/>
              <w:jc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2.00%</w:t>
            </w:r>
          </w:p>
        </w:tc>
      </w:tr>
      <w:tr>
        <w:tblPrEx>
          <w:tblCellMar>
            <w:top w:w="0" w:type="dxa"/>
            <w:left w:w="108" w:type="dxa"/>
            <w:bottom w:w="0" w:type="dxa"/>
            <w:right w:w="108" w:type="dxa"/>
          </w:tblCellMar>
        </w:tblPrEx>
        <w:trPr>
          <w:trHeight w:val="765" w:hRule="atLeast"/>
          <w:jc w:val="center"/>
        </w:trPr>
        <w:tc>
          <w:tcPr>
            <w:tcW w:w="2174" w:type="dxa"/>
            <w:tcBorders>
              <w:top w:val="nil"/>
              <w:left w:val="single" w:color="auto" w:sz="4" w:space="0"/>
              <w:bottom w:val="single" w:color="auto" w:sz="4" w:space="0"/>
              <w:right w:val="single" w:color="auto" w:sz="4" w:space="0"/>
            </w:tcBorders>
            <w:shd w:val="clear" w:color="000000" w:fill="FFFFFF"/>
            <w:vAlign w:val="center"/>
          </w:tcPr>
          <w:p>
            <w:pPr>
              <w:widowControl/>
              <w:spacing w:beforeLines="0" w:afterLines="0" w:line="32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财经商贸类</w:t>
            </w:r>
          </w:p>
        </w:tc>
        <w:tc>
          <w:tcPr>
            <w:tcW w:w="11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Lines="0" w:afterLines="0" w:line="320" w:lineRule="exact"/>
              <w:jc w:val="center"/>
              <w:textAlignment w:val="bottom"/>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i w:val="0"/>
                <w:color w:val="000000"/>
                <w:kern w:val="0"/>
                <w:sz w:val="21"/>
                <w:szCs w:val="21"/>
                <w:u w:val="none"/>
                <w:lang w:val="en-US" w:eastAsia="zh-CN" w:bidi="ar"/>
              </w:rPr>
              <w:t>23.43%</w:t>
            </w:r>
          </w:p>
        </w:tc>
        <w:tc>
          <w:tcPr>
            <w:tcW w:w="2693" w:type="dxa"/>
            <w:tcBorders>
              <w:top w:val="nil"/>
              <w:left w:val="nil"/>
              <w:bottom w:val="single" w:color="auto" w:sz="4" w:space="0"/>
              <w:right w:val="single" w:color="auto" w:sz="4" w:space="0"/>
            </w:tcBorders>
            <w:shd w:val="clear" w:color="000000" w:fill="FFFFFF"/>
            <w:vAlign w:val="center"/>
          </w:tcPr>
          <w:p>
            <w:pPr>
              <w:widowControl/>
              <w:spacing w:beforeLines="0" w:afterLines="0" w:line="32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批发和零售业、金融业、房地产业、租赁与商务服务业</w:t>
            </w:r>
          </w:p>
        </w:tc>
        <w:tc>
          <w:tcPr>
            <w:tcW w:w="10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Lines="0" w:afterLines="0" w:line="320" w:lineRule="exact"/>
              <w:jc w:val="center"/>
              <w:textAlignment w:val="bottom"/>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i w:val="0"/>
                <w:color w:val="000000"/>
                <w:kern w:val="0"/>
                <w:sz w:val="21"/>
                <w:szCs w:val="21"/>
                <w:u w:val="none"/>
                <w:lang w:val="en-US" w:eastAsia="zh-CN" w:bidi="ar"/>
              </w:rPr>
              <w:t>17.89%</w:t>
            </w:r>
          </w:p>
        </w:tc>
        <w:tc>
          <w:tcPr>
            <w:tcW w:w="1209" w:type="dxa"/>
            <w:tcBorders>
              <w:top w:val="nil"/>
              <w:left w:val="nil"/>
              <w:bottom w:val="single" w:color="auto" w:sz="4" w:space="0"/>
              <w:right w:val="single" w:color="auto" w:sz="4" w:space="0"/>
            </w:tcBorders>
            <w:shd w:val="clear" w:color="000000" w:fill="FFFFFF"/>
            <w:vAlign w:val="center"/>
          </w:tcPr>
          <w:p>
            <w:pPr>
              <w:widowControl/>
              <w:spacing w:beforeLines="0" w:afterLines="0" w:line="320" w:lineRule="exact"/>
              <w:jc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5.54%</w:t>
            </w:r>
          </w:p>
        </w:tc>
      </w:tr>
      <w:tr>
        <w:tblPrEx>
          <w:tblCellMar>
            <w:top w:w="0" w:type="dxa"/>
            <w:left w:w="108" w:type="dxa"/>
            <w:bottom w:w="0" w:type="dxa"/>
            <w:right w:w="108" w:type="dxa"/>
          </w:tblCellMar>
        </w:tblPrEx>
        <w:trPr>
          <w:trHeight w:val="285" w:hRule="atLeast"/>
          <w:jc w:val="center"/>
        </w:trPr>
        <w:tc>
          <w:tcPr>
            <w:tcW w:w="2174" w:type="dxa"/>
            <w:tcBorders>
              <w:top w:val="nil"/>
              <w:left w:val="single" w:color="auto" w:sz="4" w:space="0"/>
              <w:bottom w:val="single" w:color="auto" w:sz="4" w:space="0"/>
              <w:right w:val="single" w:color="auto" w:sz="4" w:space="0"/>
            </w:tcBorders>
            <w:shd w:val="clear" w:color="000000" w:fill="FFFFFF"/>
            <w:vAlign w:val="center"/>
          </w:tcPr>
          <w:p>
            <w:pPr>
              <w:widowControl/>
              <w:spacing w:beforeLines="0" w:afterLines="0" w:line="32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旅游服务类</w:t>
            </w:r>
          </w:p>
        </w:tc>
        <w:tc>
          <w:tcPr>
            <w:tcW w:w="11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Lines="0" w:afterLines="0" w:line="320" w:lineRule="exact"/>
              <w:jc w:val="center"/>
              <w:textAlignment w:val="bottom"/>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i w:val="0"/>
                <w:color w:val="000000"/>
                <w:kern w:val="0"/>
                <w:sz w:val="21"/>
                <w:szCs w:val="21"/>
                <w:u w:val="none"/>
                <w:lang w:val="en-US" w:eastAsia="zh-CN" w:bidi="ar"/>
              </w:rPr>
              <w:t>12.72%</w:t>
            </w:r>
          </w:p>
        </w:tc>
        <w:tc>
          <w:tcPr>
            <w:tcW w:w="2693" w:type="dxa"/>
            <w:tcBorders>
              <w:top w:val="nil"/>
              <w:left w:val="nil"/>
              <w:bottom w:val="single" w:color="auto" w:sz="4" w:space="0"/>
              <w:right w:val="single" w:color="auto" w:sz="4" w:space="0"/>
            </w:tcBorders>
            <w:shd w:val="clear" w:color="000000" w:fill="FFFFFF"/>
            <w:vAlign w:val="center"/>
          </w:tcPr>
          <w:p>
            <w:pPr>
              <w:widowControl/>
              <w:spacing w:beforeLines="0" w:afterLines="0" w:line="32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住宿和餐饮业</w:t>
            </w:r>
          </w:p>
        </w:tc>
        <w:tc>
          <w:tcPr>
            <w:tcW w:w="10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Lines="0" w:afterLines="0" w:line="320" w:lineRule="exact"/>
              <w:jc w:val="center"/>
              <w:textAlignment w:val="bottom"/>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i w:val="0"/>
                <w:color w:val="000000"/>
                <w:kern w:val="0"/>
                <w:sz w:val="21"/>
                <w:szCs w:val="21"/>
                <w:u w:val="none"/>
                <w:lang w:val="en-US" w:eastAsia="zh-CN" w:bidi="ar"/>
              </w:rPr>
              <w:t>2.61%</w:t>
            </w:r>
          </w:p>
        </w:tc>
        <w:tc>
          <w:tcPr>
            <w:tcW w:w="1209" w:type="dxa"/>
            <w:tcBorders>
              <w:top w:val="nil"/>
              <w:left w:val="nil"/>
              <w:bottom w:val="single" w:color="auto" w:sz="4" w:space="0"/>
              <w:right w:val="single" w:color="auto" w:sz="4" w:space="0"/>
            </w:tcBorders>
            <w:shd w:val="clear" w:color="000000" w:fill="FFFFFF"/>
            <w:vAlign w:val="center"/>
          </w:tcPr>
          <w:p>
            <w:pPr>
              <w:widowControl/>
              <w:spacing w:beforeLines="0" w:afterLines="0" w:line="320" w:lineRule="exact"/>
              <w:jc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10.11%</w:t>
            </w:r>
          </w:p>
        </w:tc>
      </w:tr>
      <w:tr>
        <w:tblPrEx>
          <w:tblCellMar>
            <w:top w:w="0" w:type="dxa"/>
            <w:left w:w="108" w:type="dxa"/>
            <w:bottom w:w="0" w:type="dxa"/>
            <w:right w:w="108" w:type="dxa"/>
          </w:tblCellMar>
        </w:tblPrEx>
        <w:trPr>
          <w:trHeight w:val="570" w:hRule="atLeast"/>
          <w:jc w:val="center"/>
        </w:trPr>
        <w:tc>
          <w:tcPr>
            <w:tcW w:w="2174" w:type="dxa"/>
            <w:tcBorders>
              <w:top w:val="nil"/>
              <w:left w:val="single" w:color="auto" w:sz="4" w:space="0"/>
              <w:bottom w:val="single" w:color="auto" w:sz="4" w:space="0"/>
              <w:right w:val="single" w:color="auto" w:sz="4" w:space="0"/>
            </w:tcBorders>
            <w:shd w:val="clear" w:color="000000" w:fill="FFFFFF"/>
            <w:vAlign w:val="center"/>
          </w:tcPr>
          <w:p>
            <w:pPr>
              <w:widowControl/>
              <w:spacing w:beforeLines="0" w:afterLines="0" w:line="32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文化艺术类、体育与健身类、休闲保健类</w:t>
            </w:r>
          </w:p>
        </w:tc>
        <w:tc>
          <w:tcPr>
            <w:tcW w:w="11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Lines="0" w:afterLines="0" w:line="320" w:lineRule="exact"/>
              <w:jc w:val="center"/>
              <w:textAlignment w:val="bottom"/>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i w:val="0"/>
                <w:color w:val="000000"/>
                <w:kern w:val="0"/>
                <w:sz w:val="21"/>
                <w:szCs w:val="21"/>
                <w:u w:val="none"/>
                <w:lang w:val="en-US" w:eastAsia="zh-CN" w:bidi="ar"/>
              </w:rPr>
              <w:t>8.63%</w:t>
            </w:r>
          </w:p>
        </w:tc>
        <w:tc>
          <w:tcPr>
            <w:tcW w:w="2693" w:type="dxa"/>
            <w:tcBorders>
              <w:top w:val="nil"/>
              <w:left w:val="nil"/>
              <w:bottom w:val="single" w:color="auto" w:sz="4" w:space="0"/>
              <w:right w:val="single" w:color="auto" w:sz="4" w:space="0"/>
            </w:tcBorders>
            <w:shd w:val="clear" w:color="000000" w:fill="FFFFFF"/>
            <w:vAlign w:val="center"/>
          </w:tcPr>
          <w:p>
            <w:pPr>
              <w:widowControl/>
              <w:spacing w:beforeLines="0" w:afterLines="0" w:line="32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文化、体育与娱乐业</w:t>
            </w:r>
          </w:p>
        </w:tc>
        <w:tc>
          <w:tcPr>
            <w:tcW w:w="10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Lines="0" w:afterLines="0" w:line="320" w:lineRule="exact"/>
              <w:jc w:val="center"/>
              <w:textAlignment w:val="bottom"/>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i w:val="0"/>
                <w:color w:val="000000"/>
                <w:kern w:val="0"/>
                <w:sz w:val="21"/>
                <w:szCs w:val="21"/>
                <w:u w:val="none"/>
                <w:lang w:val="en-US" w:eastAsia="zh-CN" w:bidi="ar"/>
              </w:rPr>
              <w:t>0.64%</w:t>
            </w:r>
          </w:p>
        </w:tc>
        <w:tc>
          <w:tcPr>
            <w:tcW w:w="1209" w:type="dxa"/>
            <w:tcBorders>
              <w:top w:val="nil"/>
              <w:left w:val="nil"/>
              <w:bottom w:val="single" w:color="auto" w:sz="4" w:space="0"/>
              <w:right w:val="single" w:color="auto" w:sz="4" w:space="0"/>
            </w:tcBorders>
            <w:shd w:val="clear" w:color="000000" w:fill="FFFFFF"/>
            <w:vAlign w:val="center"/>
          </w:tcPr>
          <w:p>
            <w:pPr>
              <w:widowControl/>
              <w:spacing w:beforeLines="0" w:afterLines="0" w:line="320" w:lineRule="exact"/>
              <w:jc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7.99%</w:t>
            </w:r>
          </w:p>
        </w:tc>
      </w:tr>
      <w:tr>
        <w:tblPrEx>
          <w:tblCellMar>
            <w:top w:w="0" w:type="dxa"/>
            <w:left w:w="108" w:type="dxa"/>
            <w:bottom w:w="0" w:type="dxa"/>
            <w:right w:w="108" w:type="dxa"/>
          </w:tblCellMar>
        </w:tblPrEx>
        <w:trPr>
          <w:trHeight w:val="285" w:hRule="atLeast"/>
          <w:jc w:val="center"/>
        </w:trPr>
        <w:tc>
          <w:tcPr>
            <w:tcW w:w="2174" w:type="dxa"/>
            <w:tcBorders>
              <w:top w:val="nil"/>
              <w:left w:val="single" w:color="auto" w:sz="4" w:space="0"/>
              <w:bottom w:val="single" w:color="auto" w:sz="4" w:space="0"/>
              <w:right w:val="single" w:color="auto" w:sz="4" w:space="0"/>
            </w:tcBorders>
            <w:shd w:val="clear" w:color="000000" w:fill="FFFFFF"/>
            <w:vAlign w:val="center"/>
          </w:tcPr>
          <w:p>
            <w:pPr>
              <w:widowControl/>
              <w:spacing w:beforeLines="0" w:afterLines="0" w:line="32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教育类</w:t>
            </w:r>
          </w:p>
        </w:tc>
        <w:tc>
          <w:tcPr>
            <w:tcW w:w="11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Lines="0" w:afterLines="0" w:line="320" w:lineRule="exact"/>
              <w:jc w:val="center"/>
              <w:textAlignment w:val="bottom"/>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i w:val="0"/>
                <w:color w:val="000000"/>
                <w:kern w:val="0"/>
                <w:sz w:val="21"/>
                <w:szCs w:val="21"/>
                <w:u w:val="none"/>
                <w:lang w:val="en-US" w:eastAsia="zh-CN" w:bidi="ar"/>
              </w:rPr>
              <w:t>8.14%</w:t>
            </w:r>
          </w:p>
        </w:tc>
        <w:tc>
          <w:tcPr>
            <w:tcW w:w="2693" w:type="dxa"/>
            <w:tcBorders>
              <w:top w:val="nil"/>
              <w:left w:val="nil"/>
              <w:bottom w:val="single" w:color="auto" w:sz="4" w:space="0"/>
              <w:right w:val="single" w:color="auto" w:sz="4" w:space="0"/>
            </w:tcBorders>
            <w:shd w:val="clear" w:color="000000" w:fill="FFFFFF"/>
            <w:vAlign w:val="center"/>
          </w:tcPr>
          <w:p>
            <w:pPr>
              <w:widowControl/>
              <w:spacing w:beforeLines="0" w:afterLines="0" w:line="32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教育</w:t>
            </w:r>
          </w:p>
        </w:tc>
        <w:tc>
          <w:tcPr>
            <w:tcW w:w="10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Lines="0" w:afterLines="0" w:line="320" w:lineRule="exact"/>
              <w:jc w:val="center"/>
              <w:textAlignment w:val="bottom"/>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i w:val="0"/>
                <w:color w:val="000000"/>
                <w:kern w:val="0"/>
                <w:sz w:val="21"/>
                <w:szCs w:val="21"/>
                <w:u w:val="none"/>
                <w:lang w:val="en-US" w:eastAsia="zh-CN" w:bidi="ar"/>
              </w:rPr>
              <w:t>4.74%</w:t>
            </w:r>
          </w:p>
        </w:tc>
        <w:tc>
          <w:tcPr>
            <w:tcW w:w="1209" w:type="dxa"/>
            <w:tcBorders>
              <w:top w:val="nil"/>
              <w:left w:val="nil"/>
              <w:bottom w:val="single" w:color="auto" w:sz="4" w:space="0"/>
              <w:right w:val="single" w:color="auto" w:sz="4" w:space="0"/>
            </w:tcBorders>
            <w:shd w:val="clear" w:color="000000" w:fill="FFFFFF"/>
            <w:vAlign w:val="center"/>
          </w:tcPr>
          <w:p>
            <w:pPr>
              <w:widowControl/>
              <w:spacing w:beforeLines="0" w:afterLines="0" w:line="320" w:lineRule="exact"/>
              <w:jc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3.4%</w:t>
            </w:r>
          </w:p>
        </w:tc>
      </w:tr>
      <w:tr>
        <w:tblPrEx>
          <w:tblCellMar>
            <w:top w:w="0" w:type="dxa"/>
            <w:left w:w="108" w:type="dxa"/>
            <w:bottom w:w="0" w:type="dxa"/>
            <w:right w:w="108" w:type="dxa"/>
          </w:tblCellMar>
        </w:tblPrEx>
        <w:trPr>
          <w:trHeight w:val="1046" w:hRule="atLeast"/>
          <w:jc w:val="center"/>
        </w:trPr>
        <w:tc>
          <w:tcPr>
            <w:tcW w:w="2174" w:type="dxa"/>
            <w:tcBorders>
              <w:top w:val="nil"/>
              <w:left w:val="single" w:color="auto" w:sz="4" w:space="0"/>
              <w:bottom w:val="single" w:color="auto" w:sz="4" w:space="0"/>
              <w:right w:val="single" w:color="auto" w:sz="4" w:space="0"/>
            </w:tcBorders>
            <w:shd w:val="clear" w:color="000000" w:fill="FFFFFF"/>
            <w:vAlign w:val="center"/>
          </w:tcPr>
          <w:p>
            <w:pPr>
              <w:widowControl/>
              <w:spacing w:beforeLines="0" w:afterLines="0" w:line="32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公共管理与服务类、司法服务类</w:t>
            </w:r>
          </w:p>
        </w:tc>
        <w:tc>
          <w:tcPr>
            <w:tcW w:w="11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Lines="0" w:afterLines="0" w:line="320" w:lineRule="exact"/>
              <w:jc w:val="center"/>
              <w:textAlignment w:val="bottom"/>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i w:val="0"/>
                <w:color w:val="000000"/>
                <w:kern w:val="0"/>
                <w:sz w:val="21"/>
                <w:szCs w:val="21"/>
                <w:u w:val="none"/>
                <w:lang w:val="en-US" w:eastAsia="zh-CN" w:bidi="ar"/>
              </w:rPr>
              <w:t>2.09%</w:t>
            </w:r>
          </w:p>
        </w:tc>
        <w:tc>
          <w:tcPr>
            <w:tcW w:w="2693" w:type="dxa"/>
            <w:tcBorders>
              <w:top w:val="nil"/>
              <w:left w:val="nil"/>
              <w:bottom w:val="single" w:color="auto" w:sz="4" w:space="0"/>
              <w:right w:val="single" w:color="auto" w:sz="4" w:space="0"/>
            </w:tcBorders>
            <w:shd w:val="clear" w:color="000000" w:fill="FFFFFF"/>
            <w:vAlign w:val="center"/>
          </w:tcPr>
          <w:p>
            <w:pPr>
              <w:widowControl/>
              <w:spacing w:beforeLines="0" w:afterLines="0" w:line="32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水利、环境和公共设施管理业、居民服务、修理和其他服务业、公共管理、社会保障和社会组织</w:t>
            </w:r>
          </w:p>
        </w:tc>
        <w:tc>
          <w:tcPr>
            <w:tcW w:w="10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Lines="0" w:afterLines="0" w:line="320" w:lineRule="exact"/>
              <w:jc w:val="center"/>
              <w:textAlignment w:val="bottom"/>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i w:val="0"/>
                <w:color w:val="000000"/>
                <w:kern w:val="0"/>
                <w:sz w:val="21"/>
                <w:szCs w:val="21"/>
                <w:u w:val="none"/>
                <w:lang w:val="en-US" w:eastAsia="zh-CN" w:bidi="ar"/>
              </w:rPr>
              <w:t>5.03%</w:t>
            </w:r>
          </w:p>
        </w:tc>
        <w:tc>
          <w:tcPr>
            <w:tcW w:w="1209" w:type="dxa"/>
            <w:tcBorders>
              <w:top w:val="nil"/>
              <w:left w:val="nil"/>
              <w:bottom w:val="single" w:color="auto" w:sz="4" w:space="0"/>
              <w:right w:val="single" w:color="auto" w:sz="4" w:space="0"/>
            </w:tcBorders>
            <w:shd w:val="clear" w:color="000000" w:fill="FFFFFF"/>
            <w:vAlign w:val="center"/>
          </w:tcPr>
          <w:p>
            <w:pPr>
              <w:widowControl/>
              <w:spacing w:beforeLines="0" w:afterLines="0" w:line="320" w:lineRule="exact"/>
              <w:jc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-2.94%</w:t>
            </w:r>
          </w:p>
        </w:tc>
      </w:tr>
    </w:tbl>
    <w:p>
      <w:pPr>
        <w:adjustRightInd/>
        <w:spacing w:beforeLines="0" w:afterLines="0" w:line="360" w:lineRule="exact"/>
        <w:ind w:left="0" w:right="0" w:firstLine="420" w:firstLineChars="200"/>
        <w:rPr>
          <w:rFonts w:hint="eastAsia" w:ascii="仿宋" w:hAnsi="仿宋" w:eastAsia="仿宋"/>
          <w:sz w:val="20"/>
          <w:szCs w:val="20"/>
        </w:rPr>
      </w:pPr>
      <w:r>
        <w:rPr>
          <w:rFonts w:hint="eastAsia" w:ascii="仿宋_GB2312" w:hAnsi="仿宋_GB2312" w:eastAsia="仿宋_GB2312" w:cs="仿宋_GB2312"/>
          <w:sz w:val="21"/>
          <w:szCs w:val="21"/>
        </w:rPr>
        <w:t>数据来源：杭州市统计局公布的《20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年杭州市统计年鉴》以及杭州市教育局职业教育与成人教育处编制《</w:t>
      </w:r>
      <w:r>
        <w:rPr>
          <w:rFonts w:hint="eastAsia" w:ascii="仿宋_GB2312" w:hAnsi="仿宋_GB2312" w:eastAsia="仿宋_GB2312" w:cs="仿宋_GB2312"/>
          <w:sz w:val="21"/>
          <w:szCs w:val="21"/>
          <w:lang w:val="en-US" w:eastAsia="zh-CN"/>
        </w:rPr>
        <w:t>2020</w:t>
      </w:r>
      <w:r>
        <w:rPr>
          <w:rFonts w:hint="eastAsia" w:ascii="仿宋_GB2312" w:hAnsi="仿宋_GB2312" w:eastAsia="仿宋_GB2312" w:cs="仿宋_GB2312"/>
          <w:sz w:val="21"/>
          <w:szCs w:val="21"/>
        </w:rPr>
        <w:t>年度杭州市中等职业教育专业设置情况一览表》</w:t>
      </w:r>
    </w:p>
    <w:p>
      <w:pPr>
        <w:adjustRightInd/>
        <w:spacing w:before="157" w:beforeLines="50" w:afterLines="0" w:line="360" w:lineRule="auto"/>
        <w:ind w:left="0" w:right="0"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20</w:t>
      </w:r>
      <w:r>
        <w:rPr>
          <w:rFonts w:hint="eastAsia" w:ascii="宋体" w:hAnsi="宋体" w:eastAsia="宋体" w:cs="宋体"/>
          <w:kern w:val="0"/>
          <w:sz w:val="21"/>
          <w:szCs w:val="21"/>
          <w:lang w:val="en-US" w:eastAsia="zh-CN"/>
        </w:rPr>
        <w:t>20</w:t>
      </w:r>
      <w:r>
        <w:rPr>
          <w:rFonts w:hint="eastAsia" w:ascii="宋体" w:hAnsi="宋体" w:eastAsia="宋体" w:cs="宋体"/>
          <w:kern w:val="0"/>
          <w:sz w:val="21"/>
          <w:szCs w:val="21"/>
        </w:rPr>
        <w:t>年，全市中等职业教育毕业生就业去向与我市产业结构基本吻合。全市从事第二产业的中职毕业生占直接就业人数的</w:t>
      </w:r>
      <w:r>
        <w:rPr>
          <w:rFonts w:hint="eastAsia" w:ascii="宋体" w:hAnsi="宋体" w:eastAsia="宋体" w:cs="宋体"/>
          <w:kern w:val="0"/>
          <w:sz w:val="21"/>
          <w:szCs w:val="21"/>
          <w:lang w:val="en-US" w:eastAsia="zh-CN"/>
        </w:rPr>
        <w:t>24.27</w:t>
      </w:r>
      <w:r>
        <w:rPr>
          <w:rFonts w:hint="eastAsia" w:ascii="宋体" w:hAnsi="宋体" w:eastAsia="宋体" w:cs="宋体"/>
          <w:kern w:val="0"/>
          <w:sz w:val="21"/>
          <w:szCs w:val="21"/>
        </w:rPr>
        <w:t>%，比201</w:t>
      </w:r>
      <w:r>
        <w:rPr>
          <w:rFonts w:hint="eastAsia" w:ascii="宋体" w:hAnsi="宋体" w:eastAsia="宋体" w:cs="宋体"/>
          <w:kern w:val="0"/>
          <w:sz w:val="21"/>
          <w:szCs w:val="21"/>
          <w:lang w:val="en-US" w:eastAsia="zh-CN"/>
        </w:rPr>
        <w:t>9</w:t>
      </w:r>
      <w:r>
        <w:rPr>
          <w:rFonts w:hint="eastAsia" w:ascii="宋体" w:hAnsi="宋体" w:eastAsia="宋体" w:cs="宋体"/>
          <w:kern w:val="0"/>
          <w:sz w:val="21"/>
          <w:szCs w:val="21"/>
        </w:rPr>
        <w:t>年</w:t>
      </w:r>
      <w:r>
        <w:rPr>
          <w:rFonts w:hint="eastAsia" w:ascii="宋体" w:hAnsi="宋体" w:eastAsia="宋体" w:cs="宋体"/>
          <w:kern w:val="0"/>
          <w:sz w:val="21"/>
          <w:szCs w:val="21"/>
          <w:lang w:eastAsia="zh-CN"/>
        </w:rPr>
        <w:t>减少</w:t>
      </w:r>
      <w:r>
        <w:rPr>
          <w:rFonts w:hint="eastAsia" w:ascii="宋体" w:hAnsi="宋体" w:eastAsia="宋体" w:cs="宋体"/>
          <w:kern w:val="0"/>
          <w:sz w:val="21"/>
          <w:szCs w:val="21"/>
        </w:rPr>
        <w:t>了5.</w:t>
      </w:r>
      <w:r>
        <w:rPr>
          <w:rFonts w:hint="eastAsia" w:ascii="宋体" w:hAnsi="宋体" w:eastAsia="宋体" w:cs="宋体"/>
          <w:kern w:val="0"/>
          <w:sz w:val="21"/>
          <w:szCs w:val="21"/>
          <w:lang w:val="en-US" w:eastAsia="zh-CN"/>
        </w:rPr>
        <w:t>86</w:t>
      </w:r>
      <w:r>
        <w:rPr>
          <w:rFonts w:hint="eastAsia" w:ascii="宋体" w:hAnsi="宋体" w:eastAsia="宋体" w:cs="宋体"/>
          <w:kern w:val="0"/>
          <w:sz w:val="21"/>
          <w:szCs w:val="21"/>
        </w:rPr>
        <w:t>%，而从事第三产业的毕业生占直接就业人数的</w:t>
      </w:r>
      <w:r>
        <w:rPr>
          <w:rFonts w:hint="eastAsia" w:ascii="宋体" w:hAnsi="宋体" w:eastAsia="宋体" w:cs="宋体"/>
          <w:kern w:val="0"/>
          <w:sz w:val="21"/>
          <w:szCs w:val="21"/>
          <w:lang w:val="en-US" w:eastAsia="zh-CN"/>
        </w:rPr>
        <w:t>73.24</w:t>
      </w:r>
      <w:r>
        <w:rPr>
          <w:rFonts w:hint="eastAsia" w:ascii="宋体" w:hAnsi="宋体" w:eastAsia="宋体" w:cs="宋体"/>
          <w:kern w:val="0"/>
          <w:sz w:val="21"/>
          <w:szCs w:val="21"/>
        </w:rPr>
        <w:t>%，比201</w:t>
      </w:r>
      <w:r>
        <w:rPr>
          <w:rFonts w:hint="eastAsia" w:ascii="宋体" w:hAnsi="宋体" w:eastAsia="宋体" w:cs="宋体"/>
          <w:kern w:val="0"/>
          <w:sz w:val="21"/>
          <w:szCs w:val="21"/>
          <w:lang w:val="en-US" w:eastAsia="zh-CN"/>
        </w:rPr>
        <w:t>9</w:t>
      </w:r>
      <w:r>
        <w:rPr>
          <w:rFonts w:hint="eastAsia" w:ascii="宋体" w:hAnsi="宋体" w:eastAsia="宋体" w:cs="宋体"/>
          <w:kern w:val="0"/>
          <w:sz w:val="21"/>
          <w:szCs w:val="21"/>
        </w:rPr>
        <w:t>年</w:t>
      </w:r>
      <w:r>
        <w:rPr>
          <w:rFonts w:hint="eastAsia" w:ascii="宋体" w:hAnsi="宋体" w:eastAsia="宋体" w:cs="宋体"/>
          <w:kern w:val="0"/>
          <w:sz w:val="21"/>
          <w:szCs w:val="21"/>
          <w:lang w:eastAsia="zh-CN"/>
        </w:rPr>
        <w:t>增加</w:t>
      </w:r>
      <w:r>
        <w:rPr>
          <w:rFonts w:hint="eastAsia" w:ascii="宋体" w:hAnsi="宋体" w:eastAsia="宋体" w:cs="宋体"/>
          <w:kern w:val="0"/>
          <w:sz w:val="21"/>
          <w:szCs w:val="21"/>
        </w:rPr>
        <w:t>了</w:t>
      </w:r>
      <w:r>
        <w:rPr>
          <w:rFonts w:hint="eastAsia" w:ascii="宋体" w:hAnsi="宋体" w:eastAsia="宋体" w:cs="宋体"/>
          <w:kern w:val="0"/>
          <w:sz w:val="21"/>
          <w:szCs w:val="21"/>
          <w:lang w:val="en-US" w:eastAsia="zh-CN"/>
        </w:rPr>
        <w:t>5.78</w:t>
      </w:r>
      <w:r>
        <w:rPr>
          <w:rFonts w:hint="eastAsia" w:ascii="宋体" w:hAnsi="宋体" w:eastAsia="宋体" w:cs="宋体"/>
          <w:kern w:val="0"/>
          <w:sz w:val="21"/>
          <w:szCs w:val="21"/>
        </w:rPr>
        <w:t>%。下图显示，全市中职毕业生与生产总值产业分布情况保持一致，人才保障与产业发展匹配程度较高。</w:t>
      </w:r>
    </w:p>
    <w:p>
      <w:pPr>
        <w:spacing w:afterLines="0"/>
        <w:ind w:left="400" w:leftChars="200" w:firstLine="0" w:firstLineChars="0"/>
        <w:rPr>
          <w:rFonts w:hint="default" w:asciiTheme="minorEastAsia" w:hAnsiTheme="minorEastAsia" w:eastAsiaTheme="minorEastAsia" w:cstheme="minorEastAsia"/>
          <w:b w:val="0"/>
          <w:bCs w:val="0"/>
          <w:sz w:val="21"/>
          <w:szCs w:val="21"/>
          <w:lang w:val="en-US" w:eastAsia="zh-CN"/>
        </w:rPr>
      </w:pPr>
      <w:r>
        <w:drawing>
          <wp:inline distT="0" distB="0" distL="114300" distR="114300">
            <wp:extent cx="2497455" cy="1461135"/>
            <wp:effectExtent l="4445" t="4445" r="12700" b="20320"/>
            <wp:docPr id="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drawing>
          <wp:inline distT="0" distB="0" distL="114300" distR="114300">
            <wp:extent cx="2457450" cy="1454785"/>
            <wp:effectExtent l="4445" t="4445" r="14605" b="7620"/>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Start w:id="142" w:name="_Toc637289159_WPSOffice_Level2"/>
      <w:bookmarkStart w:id="143" w:name="_Toc29480873"/>
      <w:bookmarkStart w:id="144" w:name="_Toc29540421"/>
      <w:r>
        <w:rPr>
          <w:rFonts w:hint="eastAsia" w:asciiTheme="minorEastAsia" w:hAnsiTheme="minorEastAsia" w:eastAsiaTheme="minorEastAsia" w:cstheme="minorEastAsia"/>
          <w:b/>
          <w:bCs/>
          <w:sz w:val="21"/>
          <w:szCs w:val="21"/>
          <w:lang w:eastAsia="zh-CN"/>
        </w:rPr>
        <w:t>图</w:t>
      </w:r>
      <w:r>
        <w:rPr>
          <w:rFonts w:hint="eastAsia" w:asciiTheme="minorEastAsia" w:hAnsiTheme="minorEastAsia" w:eastAsiaTheme="minorEastAsia" w:cstheme="minorEastAsia"/>
          <w:b/>
          <w:bCs/>
          <w:sz w:val="21"/>
          <w:szCs w:val="21"/>
          <w:lang w:val="en-US" w:eastAsia="zh-CN"/>
        </w:rPr>
        <w:t xml:space="preserve">3 2020年全市中职毕业生就业分布情况  </w:t>
      </w:r>
      <w:r>
        <w:rPr>
          <w:rFonts w:hint="eastAsia" w:asciiTheme="minorEastAsia" w:hAnsiTheme="minorEastAsia" w:eastAsiaTheme="minorEastAsia" w:cstheme="minorEastAsia"/>
          <w:b/>
          <w:bCs/>
          <w:sz w:val="21"/>
          <w:szCs w:val="21"/>
          <w:lang w:eastAsia="zh-CN"/>
        </w:rPr>
        <w:t>图</w:t>
      </w:r>
      <w:r>
        <w:rPr>
          <w:rFonts w:hint="eastAsia" w:asciiTheme="minorEastAsia" w:hAnsiTheme="minorEastAsia" w:eastAsiaTheme="minorEastAsia" w:cstheme="minorEastAsia"/>
          <w:b/>
          <w:bCs/>
          <w:sz w:val="21"/>
          <w:szCs w:val="21"/>
          <w:lang w:val="en-US" w:eastAsia="zh-CN"/>
        </w:rPr>
        <w:t>4 2019年底全市各产业生产总值比例</w:t>
      </w:r>
    </w:p>
    <w:p>
      <w:pPr>
        <w:pStyle w:val="3"/>
        <w:spacing w:before="157" w:beforeLines="50" w:after="0" w:afterLines="0" w:line="360" w:lineRule="auto"/>
        <w:ind w:left="0" w:right="0" w:firstLine="450" w:firstLineChars="150"/>
        <w:rPr>
          <w:rFonts w:hint="eastAsia" w:ascii="黑体" w:hAnsi="黑体" w:eastAsia="黑体" w:cs="黑体"/>
          <w:b w:val="0"/>
          <w:bCs w:val="0"/>
          <w:sz w:val="30"/>
          <w:szCs w:val="30"/>
        </w:rPr>
      </w:pPr>
      <w:bookmarkStart w:id="145" w:name="_Toc217880459_WPSOffice_Level2"/>
      <w:r>
        <w:rPr>
          <w:rFonts w:hint="eastAsia" w:ascii="黑体" w:hAnsi="黑体" w:eastAsia="黑体" w:cs="黑体"/>
          <w:b w:val="0"/>
          <w:bCs w:val="0"/>
          <w:sz w:val="30"/>
          <w:szCs w:val="30"/>
        </w:rPr>
        <w:t>5.</w:t>
      </w:r>
      <w:r>
        <w:rPr>
          <w:rFonts w:hint="eastAsia" w:ascii="黑体" w:hAnsi="黑体" w:eastAsia="黑体" w:cs="黑体"/>
          <w:b w:val="0"/>
          <w:bCs w:val="0"/>
          <w:sz w:val="30"/>
          <w:szCs w:val="30"/>
          <w:lang w:val="en-US" w:eastAsia="zh-CN"/>
        </w:rPr>
        <w:t>2</w:t>
      </w:r>
      <w:r>
        <w:rPr>
          <w:rFonts w:hint="eastAsia" w:ascii="黑体" w:hAnsi="黑体" w:eastAsia="黑体" w:cs="黑体"/>
          <w:b w:val="0"/>
          <w:bCs w:val="0"/>
          <w:sz w:val="30"/>
          <w:szCs w:val="30"/>
        </w:rPr>
        <w:t xml:space="preserve"> 社会服务</w:t>
      </w:r>
      <w:bookmarkEnd w:id="142"/>
      <w:bookmarkEnd w:id="143"/>
      <w:bookmarkEnd w:id="144"/>
      <w:bookmarkEnd w:id="145"/>
    </w:p>
    <w:p>
      <w:pPr>
        <w:adjustRightInd/>
        <w:snapToGrid/>
        <w:spacing w:beforeLines="0" w:afterLines="0" w:line="360" w:lineRule="auto"/>
        <w:ind w:firstLine="421" w:firstLineChars="200"/>
        <w:rPr>
          <w:rFonts w:hint="eastAsia" w:ascii="宋体" w:hAnsi="宋体" w:eastAsia="宋体" w:cs="宋体"/>
          <w:color w:val="auto"/>
          <w:kern w:val="0"/>
          <w:sz w:val="21"/>
          <w:szCs w:val="21"/>
        </w:rPr>
      </w:pPr>
      <w:r>
        <w:rPr>
          <w:rFonts w:hint="eastAsia" w:ascii="宋体" w:hAnsi="宋体" w:eastAsia="宋体" w:cs="宋体"/>
          <w:b/>
          <w:bCs/>
          <w:color w:val="auto"/>
          <w:sz w:val="21"/>
          <w:szCs w:val="21"/>
        </w:rPr>
        <w:t>发挥资源优势，强化社会服务</w:t>
      </w:r>
      <w:r>
        <w:rPr>
          <w:rFonts w:hint="eastAsia" w:ascii="宋体" w:hAnsi="宋体" w:eastAsia="宋体" w:cs="宋体"/>
          <w:b/>
          <w:bCs/>
          <w:color w:val="auto"/>
          <w:sz w:val="21"/>
          <w:szCs w:val="21"/>
          <w:lang w:eastAsia="zh-CN"/>
        </w:rPr>
        <w:t>。</w:t>
      </w:r>
      <w:r>
        <w:rPr>
          <w:rFonts w:hint="eastAsia" w:ascii="宋体" w:hAnsi="宋体" w:eastAsia="宋体" w:cs="宋体"/>
          <w:color w:val="auto"/>
          <w:kern w:val="0"/>
          <w:sz w:val="21"/>
          <w:szCs w:val="21"/>
        </w:rPr>
        <w:t>落实职业学校学历教育与社会培训并举的法定职责，推动职业院校在技术技能人才紧缺领域大力开展职业培训。开展企业在职职工、退役军人、进城务工人员和</w:t>
      </w:r>
      <w:r>
        <w:rPr>
          <w:rFonts w:hint="eastAsia" w:ascii="宋体" w:hAnsi="宋体" w:cs="宋体"/>
          <w:color w:val="auto"/>
          <w:kern w:val="0"/>
          <w:sz w:val="21"/>
          <w:szCs w:val="21"/>
          <w:lang w:eastAsia="zh-CN"/>
        </w:rPr>
        <w:t>高素质</w:t>
      </w:r>
      <w:r>
        <w:rPr>
          <w:rFonts w:hint="eastAsia" w:ascii="宋体" w:hAnsi="宋体" w:eastAsia="宋体" w:cs="宋体"/>
          <w:color w:val="auto"/>
          <w:kern w:val="0"/>
          <w:sz w:val="21"/>
          <w:szCs w:val="21"/>
        </w:rPr>
        <w:t>农民非学历教育和技能培训，积极参与省农民工学历+能力双提升计划、城乡社区教育培训活动和</w:t>
      </w:r>
      <w:r>
        <w:rPr>
          <w:rFonts w:hint="eastAsia" w:ascii="宋体" w:hAnsi="宋体" w:cs="宋体"/>
          <w:color w:val="auto"/>
          <w:kern w:val="0"/>
          <w:sz w:val="21"/>
          <w:szCs w:val="21"/>
          <w:lang w:eastAsia="zh-CN"/>
        </w:rPr>
        <w:t>高素质</w:t>
      </w:r>
      <w:r>
        <w:rPr>
          <w:rFonts w:hint="eastAsia" w:ascii="宋体" w:hAnsi="宋体" w:eastAsia="宋体" w:cs="宋体"/>
          <w:color w:val="auto"/>
          <w:kern w:val="0"/>
          <w:sz w:val="21"/>
          <w:szCs w:val="21"/>
        </w:rPr>
        <w:t>农民培育等工作，不断改善劳动者素质结构，提高市民文明水平和现代生活质量。20</w:t>
      </w:r>
      <w:r>
        <w:rPr>
          <w:rFonts w:hint="eastAsia" w:ascii="宋体" w:hAnsi="宋体" w:eastAsia="宋体" w:cs="宋体"/>
          <w:color w:val="auto"/>
          <w:kern w:val="0"/>
          <w:sz w:val="21"/>
          <w:szCs w:val="21"/>
          <w:lang w:val="en-US" w:eastAsia="zh-CN"/>
        </w:rPr>
        <w:t>20</w:t>
      </w:r>
      <w:r>
        <w:rPr>
          <w:rFonts w:hint="eastAsia" w:ascii="宋体" w:hAnsi="宋体" w:eastAsia="宋体" w:cs="宋体"/>
          <w:color w:val="auto"/>
          <w:kern w:val="0"/>
          <w:sz w:val="21"/>
          <w:szCs w:val="21"/>
        </w:rPr>
        <w:t>年，我市中职学校和成人学校共开展成人非学历培训</w:t>
      </w:r>
      <w:r>
        <w:rPr>
          <w:rFonts w:hint="eastAsia" w:ascii="宋体" w:hAnsi="宋体" w:eastAsia="宋体" w:cs="宋体"/>
          <w:color w:val="auto"/>
          <w:kern w:val="0"/>
          <w:sz w:val="21"/>
          <w:szCs w:val="21"/>
          <w:lang w:val="en-US" w:eastAsia="zh-CN"/>
        </w:rPr>
        <w:t>272.55</w:t>
      </w:r>
      <w:r>
        <w:rPr>
          <w:rFonts w:hint="eastAsia" w:ascii="宋体" w:hAnsi="宋体" w:eastAsia="宋体" w:cs="宋体"/>
          <w:color w:val="auto"/>
          <w:kern w:val="0"/>
          <w:sz w:val="21"/>
          <w:szCs w:val="21"/>
        </w:rPr>
        <w:t>万人次。按培训群体特征分，新型职业农民培训</w:t>
      </w:r>
      <w:r>
        <w:rPr>
          <w:rFonts w:hint="eastAsia" w:ascii="宋体" w:hAnsi="宋体" w:eastAsia="宋体" w:cs="宋体"/>
          <w:color w:val="auto"/>
          <w:kern w:val="0"/>
          <w:sz w:val="21"/>
          <w:szCs w:val="21"/>
          <w:lang w:val="en-US" w:eastAsia="zh-CN"/>
        </w:rPr>
        <w:t>13.52</w:t>
      </w:r>
      <w:r>
        <w:rPr>
          <w:rFonts w:hint="eastAsia" w:ascii="宋体" w:hAnsi="宋体" w:eastAsia="宋体" w:cs="宋体"/>
          <w:color w:val="auto"/>
          <w:kern w:val="0"/>
          <w:sz w:val="21"/>
          <w:szCs w:val="21"/>
        </w:rPr>
        <w:t>万人次，农民工培训</w:t>
      </w:r>
      <w:r>
        <w:rPr>
          <w:rFonts w:hint="eastAsia" w:ascii="宋体" w:hAnsi="宋体" w:eastAsia="宋体" w:cs="宋体"/>
          <w:color w:val="auto"/>
          <w:kern w:val="0"/>
          <w:sz w:val="21"/>
          <w:szCs w:val="21"/>
          <w:lang w:val="en-US" w:eastAsia="zh-CN"/>
        </w:rPr>
        <w:t>15.66</w:t>
      </w:r>
      <w:r>
        <w:rPr>
          <w:rFonts w:hint="eastAsia" w:ascii="宋体" w:hAnsi="宋体" w:eastAsia="宋体" w:cs="宋体"/>
          <w:color w:val="auto"/>
          <w:kern w:val="0"/>
          <w:sz w:val="21"/>
          <w:szCs w:val="21"/>
        </w:rPr>
        <w:t>万人次，企业职工培训</w:t>
      </w:r>
      <w:r>
        <w:rPr>
          <w:rFonts w:hint="eastAsia" w:ascii="宋体" w:hAnsi="宋体" w:eastAsia="宋体" w:cs="宋体"/>
          <w:color w:val="auto"/>
          <w:kern w:val="0"/>
          <w:sz w:val="21"/>
          <w:szCs w:val="21"/>
          <w:lang w:val="en-US" w:eastAsia="zh-CN"/>
        </w:rPr>
        <w:t>34.10</w:t>
      </w:r>
      <w:r>
        <w:rPr>
          <w:rFonts w:hint="eastAsia" w:ascii="宋体" w:hAnsi="宋体" w:eastAsia="宋体" w:cs="宋体"/>
          <w:color w:val="auto"/>
          <w:kern w:val="0"/>
          <w:sz w:val="21"/>
          <w:szCs w:val="21"/>
        </w:rPr>
        <w:t>万人次，退役士兵培训0.</w:t>
      </w:r>
      <w:r>
        <w:rPr>
          <w:rFonts w:hint="eastAsia" w:ascii="宋体" w:hAnsi="宋体" w:eastAsia="宋体" w:cs="宋体"/>
          <w:color w:val="auto"/>
          <w:kern w:val="0"/>
          <w:sz w:val="21"/>
          <w:szCs w:val="21"/>
          <w:lang w:val="en-US" w:eastAsia="zh-CN"/>
        </w:rPr>
        <w:t>46</w:t>
      </w:r>
      <w:r>
        <w:rPr>
          <w:rFonts w:hint="eastAsia" w:ascii="宋体" w:hAnsi="宋体" w:eastAsia="宋体" w:cs="宋体"/>
          <w:color w:val="auto"/>
          <w:kern w:val="0"/>
          <w:sz w:val="21"/>
          <w:szCs w:val="21"/>
        </w:rPr>
        <w:t>万人次，其他培训</w:t>
      </w:r>
      <w:r>
        <w:rPr>
          <w:rFonts w:hint="eastAsia" w:ascii="宋体" w:hAnsi="宋体" w:eastAsia="宋体" w:cs="宋体"/>
          <w:color w:val="auto"/>
          <w:kern w:val="0"/>
          <w:sz w:val="21"/>
          <w:szCs w:val="21"/>
          <w:lang w:val="en-US" w:eastAsia="zh-CN"/>
        </w:rPr>
        <w:t>208.81</w:t>
      </w:r>
      <w:r>
        <w:rPr>
          <w:rFonts w:hint="eastAsia" w:ascii="宋体" w:hAnsi="宋体" w:eastAsia="宋体" w:cs="宋体"/>
          <w:color w:val="auto"/>
          <w:kern w:val="0"/>
          <w:sz w:val="21"/>
          <w:szCs w:val="21"/>
        </w:rPr>
        <w:t>万人次；按培训内容分，家政培训</w:t>
      </w:r>
      <w:r>
        <w:rPr>
          <w:rFonts w:hint="eastAsia" w:ascii="宋体" w:hAnsi="宋体" w:eastAsia="宋体" w:cs="宋体"/>
          <w:color w:val="auto"/>
          <w:kern w:val="0"/>
          <w:sz w:val="21"/>
          <w:szCs w:val="21"/>
          <w:lang w:val="en-US" w:eastAsia="zh-CN"/>
        </w:rPr>
        <w:t>5.56</w:t>
      </w:r>
      <w:r>
        <w:rPr>
          <w:rFonts w:hint="eastAsia" w:ascii="宋体" w:hAnsi="宋体" w:eastAsia="宋体" w:cs="宋体"/>
          <w:color w:val="auto"/>
          <w:kern w:val="0"/>
          <w:sz w:val="21"/>
          <w:szCs w:val="21"/>
        </w:rPr>
        <w:t>万人次，职业技能培训</w:t>
      </w:r>
      <w:r>
        <w:rPr>
          <w:rFonts w:hint="eastAsia" w:ascii="宋体" w:hAnsi="宋体" w:eastAsia="宋体" w:cs="宋体"/>
          <w:color w:val="auto"/>
          <w:kern w:val="0"/>
          <w:sz w:val="21"/>
          <w:szCs w:val="21"/>
          <w:lang w:val="en-US" w:eastAsia="zh-CN"/>
        </w:rPr>
        <w:t>19.83</w:t>
      </w:r>
      <w:r>
        <w:rPr>
          <w:rFonts w:hint="eastAsia" w:ascii="宋体" w:hAnsi="宋体" w:eastAsia="宋体" w:cs="宋体"/>
          <w:color w:val="auto"/>
          <w:kern w:val="0"/>
          <w:sz w:val="21"/>
          <w:szCs w:val="21"/>
        </w:rPr>
        <w:t>万人次；按年龄结构分，60岁以上老年人培训10</w:t>
      </w:r>
      <w:r>
        <w:rPr>
          <w:rFonts w:hint="eastAsia" w:ascii="宋体" w:hAnsi="宋体" w:eastAsia="宋体" w:cs="宋体"/>
          <w:color w:val="auto"/>
          <w:kern w:val="0"/>
          <w:sz w:val="21"/>
          <w:szCs w:val="21"/>
          <w:lang w:val="en-US" w:eastAsia="zh-CN"/>
        </w:rPr>
        <w:t>1.60</w:t>
      </w:r>
      <w:r>
        <w:rPr>
          <w:rFonts w:hint="eastAsia" w:ascii="宋体" w:hAnsi="宋体" w:eastAsia="宋体" w:cs="宋体"/>
          <w:color w:val="auto"/>
          <w:kern w:val="0"/>
          <w:sz w:val="21"/>
          <w:szCs w:val="21"/>
        </w:rPr>
        <w:t>万人次，其他</w:t>
      </w:r>
      <w:r>
        <w:rPr>
          <w:rFonts w:hint="eastAsia" w:ascii="宋体" w:hAnsi="宋体" w:eastAsia="宋体" w:cs="宋体"/>
          <w:color w:val="auto"/>
          <w:kern w:val="0"/>
          <w:sz w:val="21"/>
          <w:szCs w:val="21"/>
          <w:lang w:val="en-US" w:eastAsia="zh-CN"/>
        </w:rPr>
        <w:t>170.95</w:t>
      </w:r>
      <w:r>
        <w:rPr>
          <w:rFonts w:hint="eastAsia" w:ascii="宋体" w:hAnsi="宋体" w:eastAsia="宋体" w:cs="宋体"/>
          <w:color w:val="auto"/>
          <w:kern w:val="0"/>
          <w:sz w:val="21"/>
          <w:szCs w:val="21"/>
        </w:rPr>
        <w:t>万人次；按培训学校分，中职学校培训</w:t>
      </w:r>
      <w:r>
        <w:rPr>
          <w:rFonts w:hint="eastAsia" w:ascii="宋体" w:hAnsi="宋体" w:eastAsia="宋体" w:cs="宋体"/>
          <w:color w:val="auto"/>
          <w:kern w:val="0"/>
          <w:sz w:val="21"/>
          <w:szCs w:val="21"/>
          <w:lang w:val="en-US" w:eastAsia="zh-CN"/>
        </w:rPr>
        <w:t>10.04</w:t>
      </w:r>
      <w:r>
        <w:rPr>
          <w:rFonts w:hint="eastAsia" w:ascii="宋体" w:hAnsi="宋体" w:eastAsia="宋体" w:cs="宋体"/>
          <w:color w:val="auto"/>
          <w:kern w:val="0"/>
          <w:sz w:val="21"/>
          <w:szCs w:val="21"/>
        </w:rPr>
        <w:t>万人次，成人学校培训</w:t>
      </w:r>
      <w:r>
        <w:rPr>
          <w:rFonts w:hint="eastAsia" w:ascii="宋体" w:hAnsi="宋体" w:eastAsia="宋体" w:cs="宋体"/>
          <w:color w:val="auto"/>
          <w:kern w:val="0"/>
          <w:sz w:val="21"/>
          <w:szCs w:val="21"/>
          <w:lang w:val="en-US" w:eastAsia="zh-CN"/>
        </w:rPr>
        <w:t>262.51</w:t>
      </w:r>
      <w:r>
        <w:rPr>
          <w:rFonts w:hint="eastAsia" w:ascii="宋体" w:hAnsi="宋体" w:eastAsia="宋体" w:cs="宋体"/>
          <w:color w:val="auto"/>
          <w:kern w:val="0"/>
          <w:sz w:val="21"/>
          <w:szCs w:val="21"/>
        </w:rPr>
        <w:t>万人次。</w:t>
      </w:r>
    </w:p>
    <w:p>
      <w:pPr>
        <w:spacing w:before="157" w:beforeLines="50" w:afterLines="0" w:line="360" w:lineRule="auto"/>
        <w:ind w:firstLine="421" w:firstLineChars="200"/>
        <w:rPr>
          <w:rFonts w:hint="eastAsia" w:ascii="楷体_GB2312" w:hAnsi="楷体_GB2312" w:eastAsia="楷体_GB2312" w:cs="楷体_GB2312"/>
          <w:b/>
          <w:sz w:val="21"/>
          <w:szCs w:val="21"/>
        </w:rPr>
      </w:pPr>
      <w:r>
        <w:rPr>
          <w:rFonts w:hint="eastAsia" w:ascii="楷体_GB2312" w:hAnsi="楷体_GB2312" w:eastAsia="楷体_GB2312" w:cs="楷体_GB2312"/>
          <w:b/>
          <w:sz w:val="21"/>
          <w:szCs w:val="21"/>
        </w:rPr>
        <w:t>【案例5-</w:t>
      </w:r>
      <w:r>
        <w:rPr>
          <w:rFonts w:hint="eastAsia" w:ascii="楷体_GB2312" w:hAnsi="楷体_GB2312" w:eastAsia="楷体_GB2312" w:cs="楷体_GB2312"/>
          <w:b/>
          <w:sz w:val="21"/>
          <w:szCs w:val="21"/>
          <w:lang w:val="en-US" w:eastAsia="zh-CN"/>
        </w:rPr>
        <w:t>1</w:t>
      </w:r>
      <w:r>
        <w:rPr>
          <w:rFonts w:hint="eastAsia" w:ascii="楷体_GB2312" w:hAnsi="楷体_GB2312" w:eastAsia="楷体_GB2312" w:cs="楷体_GB2312"/>
          <w:b/>
          <w:sz w:val="21"/>
          <w:szCs w:val="21"/>
        </w:rPr>
        <w:t>】千岛湖中</w:t>
      </w:r>
      <w:r>
        <w:rPr>
          <w:rFonts w:hint="eastAsia" w:ascii="楷体_GB2312" w:hAnsi="楷体_GB2312" w:eastAsia="楷体_GB2312" w:cs="楷体_GB2312"/>
          <w:b/>
          <w:sz w:val="21"/>
          <w:szCs w:val="21"/>
          <w:lang w:eastAsia="zh-CN"/>
        </w:rPr>
        <w:t>等职业学校</w:t>
      </w:r>
      <w:r>
        <w:rPr>
          <w:rFonts w:hint="eastAsia" w:ascii="楷体_GB2312" w:hAnsi="楷体_GB2312" w:eastAsia="楷体_GB2312" w:cs="楷体_GB2312"/>
          <w:b/>
          <w:sz w:val="21"/>
          <w:szCs w:val="21"/>
        </w:rPr>
        <w:t>积极开展各类社会培训</w:t>
      </w:r>
    </w:p>
    <w:p>
      <w:pPr>
        <w:spacing w:beforeLines="0" w:afterLines="0" w:line="36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千岛湖中等职业学校作为淳安县唯一一所公办</w:t>
      </w:r>
      <w:r>
        <w:rPr>
          <w:rFonts w:hint="eastAsia" w:ascii="仿宋_GB2312" w:hAnsi="仿宋_GB2312" w:eastAsia="仿宋_GB2312" w:cs="仿宋_GB2312"/>
          <w:sz w:val="21"/>
          <w:szCs w:val="21"/>
          <w:lang w:eastAsia="zh-CN"/>
        </w:rPr>
        <w:t>中职学校</w:t>
      </w:r>
      <w:r>
        <w:rPr>
          <w:rFonts w:hint="eastAsia" w:ascii="仿宋_GB2312" w:hAnsi="仿宋_GB2312" w:eastAsia="仿宋_GB2312" w:cs="仿宋_GB2312"/>
          <w:sz w:val="21"/>
          <w:szCs w:val="21"/>
        </w:rPr>
        <w:t>，着力把学校打造成淳安县职业培训中心。学校被评为淳安县首家职业技能培训品牌机构，学校始终坚持围绕我县行业、产业发展需要，加大社会服务工作力度，主动服务经济社会发展大局。2020</w:t>
      </w:r>
      <w:r>
        <w:rPr>
          <w:rFonts w:hint="eastAsia" w:ascii="仿宋_GB2312" w:hAnsi="仿宋_GB2312" w:eastAsia="仿宋_GB2312" w:cs="仿宋_GB2312"/>
          <w:sz w:val="21"/>
          <w:szCs w:val="21"/>
          <w:lang w:eastAsia="zh-CN"/>
        </w:rPr>
        <w:t>年</w:t>
      </w:r>
      <w:r>
        <w:rPr>
          <w:rFonts w:hint="eastAsia" w:ascii="仿宋_GB2312" w:hAnsi="仿宋_GB2312" w:eastAsia="仿宋_GB2312" w:cs="仿宋_GB2312"/>
          <w:sz w:val="21"/>
          <w:szCs w:val="21"/>
        </w:rPr>
        <w:t>，全年各类培训多达百场以上，</w:t>
      </w:r>
      <w:r>
        <w:rPr>
          <w:rFonts w:hint="eastAsia" w:ascii="仿宋_GB2312" w:hAnsi="仿宋_GB2312" w:eastAsia="仿宋_GB2312" w:cs="仿宋_GB2312"/>
          <w:sz w:val="21"/>
          <w:szCs w:val="21"/>
          <w:lang w:eastAsia="zh-CN"/>
        </w:rPr>
        <w:t>完成</w:t>
      </w:r>
      <w:r>
        <w:rPr>
          <w:rFonts w:hint="eastAsia" w:ascii="仿宋_GB2312" w:hAnsi="仿宋_GB2312" w:eastAsia="仿宋_GB2312" w:cs="仿宋_GB2312"/>
          <w:sz w:val="21"/>
          <w:szCs w:val="21"/>
        </w:rPr>
        <w:t>培训6000余人</w:t>
      </w:r>
      <w:r>
        <w:rPr>
          <w:rFonts w:hint="eastAsia" w:ascii="仿宋_GB2312" w:hAnsi="仿宋_GB2312" w:eastAsia="仿宋_GB2312" w:cs="仿宋_GB2312"/>
          <w:sz w:val="21"/>
          <w:szCs w:val="21"/>
          <w:lang w:eastAsia="zh-CN"/>
        </w:rPr>
        <w:t>次</w:t>
      </w:r>
      <w:r>
        <w:rPr>
          <w:rFonts w:hint="eastAsia" w:ascii="仿宋_GB2312" w:hAnsi="仿宋_GB2312" w:eastAsia="仿宋_GB2312" w:cs="仿宋_GB2312"/>
          <w:sz w:val="21"/>
          <w:szCs w:val="21"/>
        </w:rPr>
        <w:t>。与县农办合作完成12期实用人才培训，1期高素质农民培训，全县第一个农创客培训，为振兴淳安乡村经济做出贡献；与县移民局合作完13期移民培训班1300多人次，与县住建局合作</w:t>
      </w:r>
      <w:r>
        <w:rPr>
          <w:rFonts w:hint="eastAsia" w:ascii="仿宋_GB2312" w:hAnsi="仿宋_GB2312" w:eastAsia="仿宋_GB2312" w:cs="仿宋_GB2312"/>
          <w:sz w:val="21"/>
          <w:szCs w:val="21"/>
          <w:lang w:eastAsia="zh-CN"/>
        </w:rPr>
        <w:t>为</w:t>
      </w:r>
      <w:r>
        <w:rPr>
          <w:rFonts w:hint="eastAsia" w:ascii="仿宋_GB2312" w:hAnsi="仿宋_GB2312" w:eastAsia="仿宋_GB2312" w:cs="仿宋_GB2312"/>
          <w:sz w:val="21"/>
          <w:szCs w:val="21"/>
        </w:rPr>
        <w:t>全县物业企业举办多期安全生产和技能操作培训；与安监局合作完成全县安监生产培训52期共计2000余人次，创近几年安全生产培训人数新高；与县旅委合作完成千岛湖景区讲解员培训70人次，还举办多期企业文明素质培训。此外，积极参与淳安县百业百匠·百场技能大赛的组织工作，与县工会、县人社局、县公安局、县住建局、县机关事务中心、县市场监督管理局合作，举办了保安员职业技能大赛、砌筑工职业技能竞赛、县机关食堂中式烹调技能竞赛、县叉车技术技能竞赛。</w:t>
      </w:r>
    </w:p>
    <w:p>
      <w:pPr>
        <w:keepNext/>
        <w:keepLines/>
        <w:spacing w:before="157" w:beforeLines="50" w:afterLines="0" w:line="360" w:lineRule="auto"/>
        <w:ind w:firstLine="421" w:firstLineChars="200"/>
        <w:outlineLvl w:val="1"/>
        <w:rPr>
          <w:rFonts w:hint="eastAsia" w:ascii="仿宋_GB2312" w:hAnsi="仿宋_GB2312" w:eastAsia="仿宋_GB2312" w:cs="仿宋_GB2312"/>
          <w:sz w:val="21"/>
          <w:szCs w:val="21"/>
        </w:rPr>
      </w:pPr>
      <w:r>
        <w:rPr>
          <w:rFonts w:hint="eastAsia" w:ascii="楷体_GB2312" w:hAnsi="楷体_GB2312" w:eastAsia="楷体_GB2312" w:cs="楷体_GB2312"/>
          <w:b/>
          <w:bCs/>
          <w:color w:val="auto"/>
          <w:kern w:val="44"/>
          <w:sz w:val="21"/>
          <w:szCs w:val="21"/>
          <w:lang w:val="zh-CN" w:eastAsia="zh-CN" w:bidi="ar-SA"/>
        </w:rPr>
        <w:t>【案例</w:t>
      </w:r>
      <w:r>
        <w:rPr>
          <w:rFonts w:hint="eastAsia" w:ascii="楷体_GB2312" w:hAnsi="楷体_GB2312" w:eastAsia="楷体_GB2312" w:cs="楷体_GB2312"/>
          <w:b/>
          <w:bCs/>
          <w:color w:val="auto"/>
          <w:kern w:val="44"/>
          <w:sz w:val="21"/>
          <w:szCs w:val="21"/>
          <w:lang w:val="en-US" w:eastAsia="zh-CN" w:bidi="ar-SA"/>
        </w:rPr>
        <w:t>5</w:t>
      </w:r>
      <w:r>
        <w:rPr>
          <w:rFonts w:hint="eastAsia" w:ascii="楷体_GB2312" w:hAnsi="楷体_GB2312" w:eastAsia="楷体_GB2312" w:cs="楷体_GB2312"/>
          <w:b/>
          <w:bCs/>
          <w:color w:val="auto"/>
          <w:kern w:val="44"/>
          <w:sz w:val="21"/>
          <w:szCs w:val="21"/>
          <w:lang w:val="zh-CN" w:eastAsia="zh-CN" w:bidi="ar-SA"/>
        </w:rPr>
        <w:t>-</w:t>
      </w:r>
      <w:r>
        <w:rPr>
          <w:rFonts w:hint="eastAsia" w:ascii="楷体_GB2312" w:hAnsi="楷体_GB2312" w:eastAsia="楷体_GB2312" w:cs="楷体_GB2312"/>
          <w:b/>
          <w:bCs/>
          <w:color w:val="auto"/>
          <w:kern w:val="44"/>
          <w:sz w:val="21"/>
          <w:szCs w:val="21"/>
          <w:lang w:val="en-US" w:eastAsia="zh-CN" w:bidi="ar-SA"/>
        </w:rPr>
        <w:t>2</w:t>
      </w:r>
      <w:r>
        <w:rPr>
          <w:rFonts w:hint="eastAsia" w:ascii="楷体_GB2312" w:hAnsi="楷体_GB2312" w:eastAsia="楷体_GB2312" w:cs="楷体_GB2312"/>
          <w:b/>
          <w:bCs/>
          <w:color w:val="auto"/>
          <w:kern w:val="44"/>
          <w:sz w:val="21"/>
          <w:szCs w:val="21"/>
          <w:lang w:val="zh-CN" w:eastAsia="zh-CN" w:bidi="ar-SA"/>
        </w:rPr>
        <w:t>】</w:t>
      </w:r>
      <w:r>
        <w:rPr>
          <w:rFonts w:hint="eastAsia" w:ascii="楷体_GB2312" w:hAnsi="楷体_GB2312" w:eastAsia="楷体_GB2312" w:cs="楷体_GB2312"/>
          <w:b/>
          <w:bCs/>
          <w:color w:val="auto"/>
          <w:kern w:val="44"/>
          <w:sz w:val="21"/>
          <w:szCs w:val="21"/>
          <w:lang w:val="en-US" w:eastAsia="zh-CN" w:bidi="ar-SA"/>
        </w:rPr>
        <w:t>萧山区第一中等职业学校创社会服务品牌化</w:t>
      </w:r>
    </w:p>
    <w:p>
      <w:pPr>
        <w:spacing w:beforeLines="-2147483648" w:afterLines="-2147483648" w:line="36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萧山区第一中等职业学校</w:t>
      </w:r>
      <w:r>
        <w:rPr>
          <w:rFonts w:hint="eastAsia" w:ascii="仿宋_GB2312" w:hAnsi="仿宋_GB2312" w:eastAsia="仿宋_GB2312" w:cs="仿宋_GB2312"/>
          <w:sz w:val="21"/>
          <w:szCs w:val="21"/>
        </w:rPr>
        <w:t>建有萧山区综合职业技能培训中心，拥有</w:t>
      </w:r>
      <w:r>
        <w:rPr>
          <w:rFonts w:hint="eastAsia" w:ascii="仿宋_GB2312" w:hAnsi="仿宋_GB2312" w:eastAsia="仿宋_GB2312" w:cs="仿宋_GB2312"/>
          <w:sz w:val="21"/>
          <w:szCs w:val="21"/>
          <w:lang w:val="en-US" w:eastAsia="zh-CN"/>
        </w:rPr>
        <w:t>3个</w:t>
      </w:r>
      <w:r>
        <w:rPr>
          <w:rFonts w:hint="eastAsia" w:ascii="仿宋_GB2312" w:hAnsi="仿宋_GB2312" w:eastAsia="仿宋_GB2312" w:cs="仿宋_GB2312"/>
          <w:sz w:val="21"/>
          <w:szCs w:val="21"/>
        </w:rPr>
        <w:t>萧山区高技能人才公共实训基地：汽车运用和维修实训基地、机电实训基地、3D打印实训基地，从事相关工种技能人才的培训工作。2020年累计向区域内提供社会服务5280余人次，培训人次与在校全日制学生人数比约为2:1</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其中面向社会培训和鉴定汽修技能人才，包括汽车维修工技师、汽车维修高级工</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汽车维修中级工</w:t>
      </w:r>
      <w:r>
        <w:rPr>
          <w:rFonts w:hint="eastAsia" w:ascii="仿宋_GB2312" w:hAnsi="仿宋_GB2312" w:eastAsia="仿宋_GB2312" w:cs="仿宋_GB2312"/>
          <w:sz w:val="21"/>
          <w:szCs w:val="21"/>
          <w:lang w:eastAsia="zh-CN"/>
        </w:rPr>
        <w:t>等</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共</w:t>
      </w:r>
      <w:r>
        <w:rPr>
          <w:rFonts w:hint="eastAsia" w:ascii="仿宋_GB2312" w:hAnsi="仿宋_GB2312" w:eastAsia="仿宋_GB2312" w:cs="仿宋_GB2312"/>
          <w:sz w:val="21"/>
          <w:szCs w:val="21"/>
        </w:rPr>
        <w:t>880人次。利用学校增材制造（3D打印）实训基地，成功申报“增材制造（3D打印）特色学院”为杭州市中等职业教育示范性校企合作共同体建设项目。依据区域产业发展和社会需求，积极开展不同层次的3D打印人才培养。一是3D打印高技能人才培养，面向增材制造行业企业开设高技能人才培训班，为先临三维等企业3D打印造型师（高级）</w:t>
      </w:r>
      <w:r>
        <w:rPr>
          <w:rFonts w:hint="eastAsia" w:ascii="仿宋_GB2312" w:hAnsi="仿宋_GB2312" w:eastAsia="仿宋_GB2312" w:cs="仿宋_GB2312"/>
          <w:sz w:val="21"/>
          <w:szCs w:val="21"/>
          <w:lang w:eastAsia="zh-CN"/>
        </w:rPr>
        <w:t>培训</w:t>
      </w:r>
      <w:r>
        <w:rPr>
          <w:rFonts w:hint="eastAsia" w:ascii="仿宋_GB2312" w:hAnsi="仿宋_GB2312" w:eastAsia="仿宋_GB2312" w:cs="仿宋_GB2312"/>
          <w:sz w:val="21"/>
          <w:szCs w:val="21"/>
        </w:rPr>
        <w:t>累计达500人次；二是中小学教师培训</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为提升萧山区创新实践教育的发展水平，促进萧山区3D创客教育的发展，承办萧山区3D创新实践教育教师培训，累计达300人次；三是为加强中小学生对3D打印产业的认识，</w:t>
      </w:r>
      <w:r>
        <w:rPr>
          <w:rFonts w:hint="eastAsia" w:ascii="仿宋_GB2312" w:hAnsi="仿宋_GB2312" w:eastAsia="仿宋_GB2312" w:cs="仿宋_GB2312"/>
          <w:sz w:val="21"/>
          <w:szCs w:val="21"/>
          <w:lang w:eastAsia="zh-CN"/>
        </w:rPr>
        <w:t>为</w:t>
      </w:r>
      <w:r>
        <w:rPr>
          <w:rFonts w:hint="eastAsia" w:ascii="仿宋_GB2312" w:hAnsi="仿宋_GB2312" w:eastAsia="仿宋_GB2312" w:cs="仿宋_GB2312"/>
          <w:sz w:val="21"/>
          <w:szCs w:val="21"/>
        </w:rPr>
        <w:t>中小学开展综合实践活动和职业生涯规划教育，多次接待萧山区中小学生</w:t>
      </w:r>
      <w:r>
        <w:rPr>
          <w:rFonts w:hint="eastAsia" w:ascii="仿宋_GB2312" w:hAnsi="仿宋_GB2312" w:eastAsia="仿宋_GB2312" w:cs="仿宋_GB2312"/>
          <w:sz w:val="21"/>
          <w:szCs w:val="21"/>
          <w:lang w:eastAsia="zh-CN"/>
        </w:rPr>
        <w:t>参与</w:t>
      </w:r>
      <w:r>
        <w:rPr>
          <w:rFonts w:hint="eastAsia" w:ascii="仿宋_GB2312" w:hAnsi="仿宋_GB2312" w:eastAsia="仿宋_GB2312" w:cs="仿宋_GB2312"/>
          <w:sz w:val="21"/>
          <w:szCs w:val="21"/>
        </w:rPr>
        <w:t>3D打印职业体验，累计达600人次。</w:t>
      </w:r>
    </w:p>
    <w:p>
      <w:pPr>
        <w:keepNext/>
        <w:keepLines/>
        <w:wordWrap/>
        <w:adjustRightInd/>
        <w:snapToGrid/>
        <w:spacing w:before="157" w:beforeLines="50" w:afterLines="0" w:line="360" w:lineRule="auto"/>
        <w:ind w:firstLine="421" w:firstLineChars="200"/>
        <w:textAlignment w:val="auto"/>
        <w:outlineLvl w:val="1"/>
        <w:rPr>
          <w:rFonts w:hint="eastAsia" w:ascii="楷体_GB2312" w:hAnsi="楷体_GB2312" w:eastAsia="楷体_GB2312" w:cs="楷体_GB2312"/>
          <w:b/>
          <w:bCs/>
          <w:sz w:val="21"/>
          <w:szCs w:val="21"/>
          <w:lang w:val="en-US" w:eastAsia="zh-CN"/>
        </w:rPr>
      </w:pPr>
      <w:r>
        <w:rPr>
          <w:rFonts w:hint="eastAsia" w:ascii="楷体_GB2312" w:hAnsi="楷体_GB2312" w:eastAsia="楷体_GB2312" w:cs="楷体_GB2312"/>
          <w:b/>
          <w:bCs/>
          <w:color w:val="auto"/>
          <w:kern w:val="44"/>
          <w:sz w:val="21"/>
          <w:szCs w:val="21"/>
          <w:lang w:val="zh-CN" w:eastAsia="zh-CN" w:bidi="ar-SA"/>
        </w:rPr>
        <w:t>【案例</w:t>
      </w:r>
      <w:r>
        <w:rPr>
          <w:rFonts w:hint="eastAsia" w:ascii="楷体_GB2312" w:hAnsi="楷体_GB2312" w:eastAsia="楷体_GB2312" w:cs="楷体_GB2312"/>
          <w:b/>
          <w:bCs/>
          <w:color w:val="auto"/>
          <w:kern w:val="44"/>
          <w:sz w:val="21"/>
          <w:szCs w:val="21"/>
          <w:lang w:val="en-US" w:eastAsia="zh-CN" w:bidi="ar-SA"/>
        </w:rPr>
        <w:t>5</w:t>
      </w:r>
      <w:r>
        <w:rPr>
          <w:rFonts w:hint="eastAsia" w:ascii="楷体_GB2312" w:hAnsi="楷体_GB2312" w:eastAsia="楷体_GB2312" w:cs="楷体_GB2312"/>
          <w:b/>
          <w:bCs/>
          <w:color w:val="auto"/>
          <w:kern w:val="44"/>
          <w:sz w:val="21"/>
          <w:szCs w:val="21"/>
          <w:lang w:val="zh-CN" w:eastAsia="zh-CN" w:bidi="ar-SA"/>
        </w:rPr>
        <w:t>-</w:t>
      </w:r>
      <w:r>
        <w:rPr>
          <w:rFonts w:hint="eastAsia" w:ascii="楷体_GB2312" w:hAnsi="楷体_GB2312" w:eastAsia="楷体_GB2312" w:cs="楷体_GB2312"/>
          <w:b/>
          <w:bCs/>
          <w:color w:val="auto"/>
          <w:kern w:val="44"/>
          <w:sz w:val="21"/>
          <w:szCs w:val="21"/>
          <w:lang w:val="en-US" w:eastAsia="zh-CN" w:bidi="ar-SA"/>
        </w:rPr>
        <w:t>3</w:t>
      </w:r>
      <w:r>
        <w:rPr>
          <w:rFonts w:hint="eastAsia" w:ascii="楷体_GB2312" w:hAnsi="楷体_GB2312" w:eastAsia="楷体_GB2312" w:cs="楷体_GB2312"/>
          <w:b/>
          <w:bCs/>
          <w:color w:val="auto"/>
          <w:kern w:val="44"/>
          <w:sz w:val="21"/>
          <w:szCs w:val="21"/>
          <w:lang w:val="zh-CN" w:eastAsia="zh-CN" w:bidi="ar-SA"/>
        </w:rPr>
        <w:t>】</w:t>
      </w:r>
      <w:r>
        <w:rPr>
          <w:rFonts w:hint="eastAsia" w:ascii="楷体_GB2312" w:hAnsi="楷体_GB2312" w:eastAsia="楷体_GB2312" w:cs="楷体_GB2312"/>
          <w:b/>
          <w:bCs/>
          <w:color w:val="auto"/>
          <w:kern w:val="44"/>
          <w:sz w:val="21"/>
          <w:szCs w:val="21"/>
          <w:lang w:val="en-US" w:eastAsia="zh-CN" w:bidi="ar-SA"/>
        </w:rPr>
        <w:t>杭州市人民职业学校以专业集群方式服务城市发展</w:t>
      </w:r>
    </w:p>
    <w:p>
      <w:pPr>
        <w:widowControl w:val="0"/>
        <w:wordWrap/>
        <w:spacing w:beforeLines="0" w:afterLines="0" w:line="360" w:lineRule="auto"/>
        <w:ind w:left="0" w:leftChars="0" w:right="0" w:firstLine="420" w:firstLineChars="200"/>
        <w:jc w:val="both"/>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2020（杭州）国际数字教育大会（2020iDEE）在杭州国际博览中心召开。人民学子的全方位参与，不仅学习和体验了大型会议的完整流程，而且以专业的会展素养、优秀的工作能力向116家展商展现了优良的学子风采。鼓励广大专业师生走进乡村新天地，共同参与梓桐镇历史和乡土文化的保护与宣传，使“书画小镇”的新旧元素协调共存，特色更为鲜明，社会贡献度高。2020年，学校圆满完成第49期杭州市幼儿园园长任职资格岗位培训班，第18期杭州市幼儿园园长提高班，第6期杭州市各区县市幼儿园行政管理干部培训班，第3、4、6期骨干研修班的培训。本年度共培训学员271人次。受疫情影响，园培中心灵活运用了线上与线下交互培训的形式，跨国、跨省市邀请到学前教育专业以及其他相关领域的专家，通过瞩目、腾讯会议等形式开展线上教学，同时结合线下专题讲座、学员研讨交流等形式，保质保量完成四期园长培训工作。</w:t>
      </w:r>
    </w:p>
    <w:p>
      <w:pPr>
        <w:keepNext w:val="0"/>
        <w:keepLines w:val="0"/>
        <w:wordWrap/>
        <w:adjustRightInd/>
        <w:snapToGrid/>
        <w:spacing w:before="157" w:beforeLines="50" w:afterLines="0" w:line="360" w:lineRule="auto"/>
        <w:ind w:firstLine="421" w:firstLineChars="200"/>
        <w:textAlignment w:val="auto"/>
        <w:outlineLvl w:val="9"/>
        <w:rPr>
          <w:rFonts w:hint="eastAsia" w:ascii="楷体_GB2312" w:hAnsi="楷体_GB2312" w:eastAsia="楷体_GB2312" w:cs="楷体_GB2312"/>
          <w:b/>
          <w:bCs/>
          <w:color w:val="auto"/>
          <w:kern w:val="44"/>
          <w:sz w:val="21"/>
          <w:szCs w:val="21"/>
          <w:lang w:val="en-US" w:eastAsia="zh-CN" w:bidi="ar-SA"/>
        </w:rPr>
      </w:pPr>
      <w:r>
        <w:rPr>
          <w:rFonts w:hint="eastAsia" w:ascii="楷体_GB2312" w:hAnsi="楷体_GB2312" w:eastAsia="楷体_GB2312" w:cs="楷体_GB2312"/>
          <w:b/>
          <w:bCs/>
          <w:color w:val="auto"/>
          <w:kern w:val="44"/>
          <w:sz w:val="21"/>
          <w:szCs w:val="21"/>
          <w:lang w:val="zh-CN" w:eastAsia="zh-CN" w:bidi="ar-SA"/>
        </w:rPr>
        <w:t>【案例</w:t>
      </w:r>
      <w:r>
        <w:rPr>
          <w:rFonts w:hint="eastAsia" w:ascii="楷体_GB2312" w:hAnsi="楷体_GB2312" w:eastAsia="楷体_GB2312" w:cs="楷体_GB2312"/>
          <w:b/>
          <w:bCs/>
          <w:color w:val="auto"/>
          <w:kern w:val="44"/>
          <w:sz w:val="21"/>
          <w:szCs w:val="21"/>
          <w:lang w:val="en-US" w:eastAsia="zh-CN" w:bidi="ar-SA"/>
        </w:rPr>
        <w:t>5</w:t>
      </w:r>
      <w:r>
        <w:rPr>
          <w:rFonts w:hint="eastAsia" w:ascii="楷体_GB2312" w:hAnsi="楷体_GB2312" w:eastAsia="楷体_GB2312" w:cs="楷体_GB2312"/>
          <w:b/>
          <w:bCs/>
          <w:color w:val="auto"/>
          <w:kern w:val="44"/>
          <w:sz w:val="21"/>
          <w:szCs w:val="21"/>
          <w:lang w:val="zh-CN" w:eastAsia="zh-CN" w:bidi="ar-SA"/>
        </w:rPr>
        <w:t>-</w:t>
      </w:r>
      <w:r>
        <w:rPr>
          <w:rFonts w:hint="eastAsia" w:ascii="楷体_GB2312" w:hAnsi="楷体_GB2312" w:eastAsia="楷体_GB2312" w:cs="楷体_GB2312"/>
          <w:b/>
          <w:bCs/>
          <w:color w:val="auto"/>
          <w:kern w:val="44"/>
          <w:sz w:val="21"/>
          <w:szCs w:val="21"/>
          <w:lang w:val="en-US" w:eastAsia="zh-CN" w:bidi="ar-SA"/>
        </w:rPr>
        <w:t>4</w:t>
      </w:r>
      <w:r>
        <w:rPr>
          <w:rFonts w:hint="eastAsia" w:ascii="楷体_GB2312" w:hAnsi="楷体_GB2312" w:eastAsia="楷体_GB2312" w:cs="楷体_GB2312"/>
          <w:b/>
          <w:bCs/>
          <w:color w:val="auto"/>
          <w:kern w:val="44"/>
          <w:sz w:val="21"/>
          <w:szCs w:val="21"/>
          <w:lang w:val="zh-CN" w:eastAsia="zh-CN" w:bidi="ar-SA"/>
        </w:rPr>
        <w:t>】</w:t>
      </w:r>
      <w:r>
        <w:rPr>
          <w:rFonts w:hint="eastAsia" w:ascii="楷体_GB2312" w:hAnsi="楷体_GB2312" w:eastAsia="楷体_GB2312" w:cs="楷体_GB2312"/>
          <w:b/>
          <w:bCs/>
          <w:color w:val="auto"/>
          <w:kern w:val="44"/>
          <w:sz w:val="21"/>
          <w:szCs w:val="21"/>
          <w:lang w:val="en-US" w:eastAsia="zh-CN" w:bidi="ar-SA"/>
        </w:rPr>
        <w:t>传承非遗文化，拓展中华优秀传统文化传承内涵与途径</w:t>
      </w:r>
    </w:p>
    <w:p>
      <w:pPr>
        <w:keepNext w:val="0"/>
        <w:keepLines w:val="0"/>
        <w:wordWrap/>
        <w:spacing w:before="0" w:beforeLines="0" w:after="0" w:afterLines="0" w:line="360" w:lineRule="auto"/>
        <w:ind w:left="0" w:right="0" w:firstLine="420" w:firstLineChars="200"/>
        <w:textAlignment w:val="auto"/>
        <w:outlineLvl w:val="9"/>
        <w:rPr>
          <w:rFonts w:hint="eastAsia" w:ascii="仿宋_GB2312" w:hAnsi="仿宋_GB2312" w:eastAsia="仿宋_GB2312" w:cs="仿宋_GB2312"/>
          <w:b w:val="0"/>
          <w:bCs w:val="0"/>
          <w:kern w:val="0"/>
          <w:sz w:val="21"/>
          <w:szCs w:val="21"/>
          <w:lang w:val="en-US" w:eastAsia="zh-CN" w:bidi="ar-SA"/>
        </w:rPr>
      </w:pPr>
      <w:r>
        <w:rPr>
          <w:rFonts w:hint="eastAsia" w:ascii="仿宋_GB2312" w:hAnsi="仿宋_GB2312" w:eastAsia="仿宋_GB2312" w:cs="仿宋_GB2312"/>
          <w:b w:val="0"/>
          <w:bCs w:val="0"/>
          <w:kern w:val="0"/>
          <w:sz w:val="21"/>
          <w:szCs w:val="21"/>
          <w:lang w:val="en-US" w:eastAsia="zh-CN" w:bidi="ar-SA"/>
        </w:rPr>
        <w:t>杭州市中职学校联合杭州市中华职业教育社、腾讯大浙网，积极参与“茶韵里的中国年”暨乡村振兴·非遗文化年货节展示，特色食品、手工艺品和年俗表演等，在发扬传统文化的同时，向杭州市民弘扬、传播杭州乃至浙江非遗文化，推动乡村产业振兴和文化自信。</w:t>
      </w:r>
    </w:p>
    <w:p>
      <w:pPr>
        <w:widowControl w:val="0"/>
        <w:wordWrap/>
        <w:adjustRightInd/>
        <w:snapToGrid/>
        <w:spacing w:beforeLines="0" w:afterLines="0" w:line="360" w:lineRule="auto"/>
        <w:textAlignment w:val="auto"/>
        <w:rPr>
          <w:rFonts w:hint="eastAsia" w:ascii="仿宋_GB2312" w:hAnsi="仿宋_GB2312" w:eastAsia="仿宋_GB2312" w:cs="仿宋_GB2312"/>
          <w:b w:val="0"/>
          <w:bCs w:val="0"/>
          <w:kern w:val="0"/>
          <w:sz w:val="21"/>
          <w:szCs w:val="21"/>
          <w:lang w:val="en-US" w:eastAsia="zh-CN" w:bidi="ar-SA"/>
        </w:rPr>
      </w:pPr>
      <w:r>
        <w:rPr>
          <w:rFonts w:hint="eastAsia" w:ascii="仿宋_GB2312" w:hAnsi="仿宋_GB2312" w:eastAsia="仿宋_GB2312" w:cs="仿宋_GB2312"/>
          <w:b w:val="0"/>
          <w:bCs w:val="0"/>
          <w:kern w:val="0"/>
          <w:sz w:val="21"/>
          <w:szCs w:val="21"/>
          <w:lang w:val="en-US" w:eastAsia="zh-CN" w:bidi="ar-SA"/>
        </w:rPr>
        <w:t xml:space="preserve">    富阳区职业高级中学在现有根雕艺术、竹纸制作、手工制茶等项目基础上，引进雕版印刷、线装书、孝子祭、中医正骨等精品项目5个，构建区域非遗传承学校教学协作联盟。促进非遗教育与专业建设融合发展，建成省内领先、全国一流的优秀传统文化传承的集散中心，来校体验中小学校10余所，300人次来校体验。</w:t>
      </w:r>
    </w:p>
    <w:p>
      <w:pPr>
        <w:spacing w:beforeLines="0" w:afterLines="0" w:line="360" w:lineRule="auto"/>
        <w:ind w:firstLine="0" w:firstLineChars="0"/>
        <w:rPr>
          <w:rFonts w:hint="eastAsia" w:ascii="仿宋" w:hAnsi="仿宋" w:eastAsia="仿宋" w:cs="楷体"/>
          <w:szCs w:val="21"/>
        </w:rPr>
      </w:pPr>
      <w:r>
        <w:rPr>
          <w:rFonts w:hint="eastAsia" w:ascii="仿宋_GB2312" w:hAnsi="仿宋_GB2312" w:eastAsia="仿宋_GB2312" w:cs="仿宋_GB2312"/>
          <w:b w:val="0"/>
          <w:bCs w:val="0"/>
          <w:kern w:val="0"/>
          <w:sz w:val="21"/>
          <w:szCs w:val="21"/>
          <w:lang w:val="en-US" w:eastAsia="zh-CN" w:bidi="ar-SA"/>
        </w:rPr>
        <w:t xml:space="preserve">    杭州市美术职业学校借助专业优势，解锁非遗元素，长期致力于非遗项目的传承与发展及非遗传承人的培养。大师驻校十余年，开设了剪纸、刺绣、陶艺、篆刻、扇艺、木雕等诸多传统工艺课程。立足学校特色，学校已经发展形成了一批具有杭州标识度的非遗文化项目，并硕果累累。非遗课题，全国立项；非遗作品，全面获奖；非遗礼品，海内外青睐。学校被教育部职业院校文化素质教育指导委员会授牌全国职业院校非遗教育传承示范基地。</w:t>
      </w:r>
    </w:p>
    <w:p>
      <w:pPr>
        <w:pStyle w:val="3"/>
        <w:spacing w:before="157" w:beforeLines="50" w:after="0" w:afterLines="0" w:line="360" w:lineRule="auto"/>
        <w:ind w:left="0" w:right="0" w:firstLine="450" w:firstLineChars="150"/>
        <w:rPr>
          <w:rFonts w:hint="eastAsia" w:ascii="黑体" w:hAnsi="黑体" w:eastAsia="黑体" w:cs="黑体"/>
          <w:b w:val="0"/>
          <w:bCs w:val="0"/>
          <w:sz w:val="30"/>
          <w:szCs w:val="30"/>
        </w:rPr>
      </w:pPr>
      <w:bookmarkStart w:id="146" w:name="_Toc1105344777_WPSOffice_Level2"/>
      <w:bookmarkStart w:id="147" w:name="_Toc24027"/>
      <w:bookmarkStart w:id="148" w:name="_Toc29540424"/>
      <w:bookmarkStart w:id="149" w:name="_Toc29480876"/>
      <w:bookmarkStart w:id="150" w:name="_Toc1673566062_WPSOffice_Level2"/>
      <w:r>
        <w:rPr>
          <w:rFonts w:hint="eastAsia" w:ascii="黑体" w:hAnsi="黑体" w:eastAsia="黑体" w:cs="黑体"/>
          <w:b w:val="0"/>
          <w:bCs w:val="0"/>
          <w:sz w:val="30"/>
          <w:szCs w:val="30"/>
        </w:rPr>
        <w:t>5.</w:t>
      </w:r>
      <w:r>
        <w:rPr>
          <w:rFonts w:hint="eastAsia" w:ascii="黑体" w:hAnsi="黑体" w:eastAsia="黑体" w:cs="黑体"/>
          <w:b w:val="0"/>
          <w:bCs w:val="0"/>
          <w:sz w:val="30"/>
          <w:szCs w:val="30"/>
          <w:lang w:val="en-US" w:eastAsia="zh-CN"/>
        </w:rPr>
        <w:t>3</w:t>
      </w:r>
      <w:r>
        <w:rPr>
          <w:rFonts w:hint="eastAsia" w:ascii="黑体" w:hAnsi="黑体" w:eastAsia="黑体" w:cs="黑体"/>
          <w:b w:val="0"/>
          <w:bCs w:val="0"/>
          <w:sz w:val="30"/>
          <w:szCs w:val="30"/>
        </w:rPr>
        <w:t xml:space="preserve"> 对口</w:t>
      </w:r>
      <w:r>
        <w:rPr>
          <w:rFonts w:hint="eastAsia" w:ascii="黑体" w:hAnsi="黑体" w:eastAsia="黑体" w:cs="黑体"/>
          <w:b w:val="0"/>
          <w:bCs w:val="0"/>
          <w:sz w:val="30"/>
          <w:szCs w:val="30"/>
          <w:lang w:eastAsia="zh-CN"/>
        </w:rPr>
        <w:t>帮扶</w:t>
      </w:r>
      <w:bookmarkEnd w:id="146"/>
      <w:bookmarkEnd w:id="147"/>
      <w:bookmarkEnd w:id="148"/>
      <w:bookmarkEnd w:id="149"/>
      <w:bookmarkEnd w:id="150"/>
    </w:p>
    <w:p>
      <w:pPr>
        <w:adjustRightInd/>
        <w:snapToGrid/>
        <w:spacing w:beforeLines="0" w:afterLines="0" w:line="360" w:lineRule="auto"/>
        <w:ind w:firstLine="420" w:firstLineChars="200"/>
        <w:rPr>
          <w:rFonts w:hint="eastAsia" w:ascii="宋体" w:hAnsi="宋体" w:eastAsia="宋体" w:cs="宋体"/>
          <w:color w:val="auto"/>
          <w:kern w:val="0"/>
          <w:sz w:val="21"/>
          <w:szCs w:val="21"/>
        </w:rPr>
      </w:pPr>
      <w:r>
        <w:rPr>
          <w:rFonts w:hint="eastAsia" w:ascii="宋体" w:hAnsi="宋体" w:eastAsia="宋体" w:cs="宋体"/>
          <w:b w:val="0"/>
          <w:bCs w:val="0"/>
          <w:color w:val="auto"/>
          <w:sz w:val="21"/>
          <w:szCs w:val="21"/>
        </w:rPr>
        <w:t>加强对口支援，实施精准扶贫</w:t>
      </w:r>
      <w:r>
        <w:rPr>
          <w:rFonts w:hint="eastAsia" w:ascii="宋体" w:hAnsi="宋体" w:eastAsia="宋体" w:cs="宋体"/>
          <w:b w:val="0"/>
          <w:bCs w:val="0"/>
          <w:color w:val="auto"/>
          <w:sz w:val="21"/>
          <w:szCs w:val="21"/>
          <w:lang w:eastAsia="zh-CN"/>
        </w:rPr>
        <w:t>。</w:t>
      </w:r>
      <w:r>
        <w:rPr>
          <w:rFonts w:hint="eastAsia" w:ascii="宋体" w:hAnsi="宋体" w:eastAsia="宋体" w:cs="宋体"/>
          <w:color w:val="auto"/>
          <w:kern w:val="0"/>
          <w:sz w:val="21"/>
          <w:szCs w:val="21"/>
        </w:rPr>
        <w:t xml:space="preserve">我市认真贯彻落实教育部、省教育厅关于精准帮扶职业教育的相关文件要求，在经费投入、共建合作、人员交流、学生培养、职业培训等方面深入开展系列帮扶工作，形成了杭州职教团队支教特色并取得了明显的成效，充分发挥了职业教育在精准扶贫工作中的重要作用，切实承担起了职业教育应有的社会责任。 </w:t>
      </w:r>
    </w:p>
    <w:p>
      <w:pPr>
        <w:adjustRightInd/>
        <w:snapToGrid/>
        <w:spacing w:beforeLines="0" w:afterLines="0" w:line="360" w:lineRule="auto"/>
        <w:ind w:firstLine="421" w:firstLineChars="200"/>
        <w:rPr>
          <w:rFonts w:hint="eastAsia" w:ascii="宋体" w:hAnsi="宋体" w:eastAsia="宋体" w:cs="宋体"/>
          <w:color w:val="auto"/>
          <w:kern w:val="0"/>
          <w:sz w:val="21"/>
          <w:szCs w:val="21"/>
        </w:rPr>
      </w:pPr>
      <w:r>
        <w:rPr>
          <w:rFonts w:hint="eastAsia" w:ascii="宋体" w:hAnsi="宋体" w:eastAsia="宋体" w:cs="宋体"/>
          <w:b/>
          <w:bCs/>
          <w:color w:val="auto"/>
          <w:kern w:val="0"/>
          <w:sz w:val="21"/>
          <w:szCs w:val="21"/>
          <w:lang w:eastAsia="zh-CN"/>
        </w:rPr>
        <w:t>“组团式”帮扶西部职业教育发展。</w:t>
      </w:r>
      <w:r>
        <w:rPr>
          <w:rFonts w:hint="eastAsia" w:ascii="宋体" w:hAnsi="宋体" w:eastAsia="宋体" w:cs="宋体"/>
          <w:color w:val="auto"/>
          <w:kern w:val="0"/>
          <w:sz w:val="21"/>
          <w:szCs w:val="21"/>
        </w:rPr>
        <w:t>以建档立卡贫困家庭学生接受职业教育和西部职业教育加快发展为重点，大力实施职业教育对口帮扶工作。20</w:t>
      </w:r>
      <w:r>
        <w:rPr>
          <w:rFonts w:hint="eastAsia" w:ascii="宋体" w:hAnsi="宋体" w:eastAsia="宋体" w:cs="宋体"/>
          <w:color w:val="auto"/>
          <w:kern w:val="0"/>
          <w:sz w:val="21"/>
          <w:szCs w:val="21"/>
          <w:lang w:val="en-US" w:eastAsia="zh-CN"/>
        </w:rPr>
        <w:t>20</w:t>
      </w:r>
      <w:r>
        <w:rPr>
          <w:rFonts w:hint="eastAsia" w:ascii="宋体" w:hAnsi="宋体" w:eastAsia="宋体" w:cs="宋体"/>
          <w:color w:val="auto"/>
          <w:kern w:val="0"/>
          <w:sz w:val="21"/>
          <w:szCs w:val="21"/>
        </w:rPr>
        <w:t>年，我市在加大对受援方的帮扶力度，共建共享职业教育资源、干部教师双向交流、学生招收与培养、开展职业培训、宣传推广等方面采取了切实有效的举措，顺利地完成了相关帮扶任务，形成了杭州职业教育东西部对口帮扶的特色做法。</w:t>
      </w:r>
    </w:p>
    <w:p>
      <w:pPr>
        <w:adjustRightInd/>
        <w:snapToGrid/>
        <w:spacing w:beforeLines="0" w:afterLines="0" w:line="360" w:lineRule="auto"/>
        <w:ind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积极实施对口招生与培养。20</w:t>
      </w:r>
      <w:r>
        <w:rPr>
          <w:rFonts w:hint="eastAsia" w:ascii="宋体" w:hAnsi="宋体" w:eastAsia="宋体" w:cs="宋体"/>
          <w:color w:val="auto"/>
          <w:kern w:val="0"/>
          <w:sz w:val="21"/>
          <w:szCs w:val="21"/>
          <w:lang w:val="en-US" w:eastAsia="zh-CN"/>
        </w:rPr>
        <w:t>20</w:t>
      </w:r>
      <w:r>
        <w:rPr>
          <w:rFonts w:hint="eastAsia" w:ascii="宋体" w:hAnsi="宋体" w:eastAsia="宋体" w:cs="宋体"/>
          <w:color w:val="auto"/>
          <w:kern w:val="0"/>
          <w:sz w:val="21"/>
          <w:szCs w:val="21"/>
        </w:rPr>
        <w:t>年杭州旅游职业学校招收新疆班学生</w:t>
      </w:r>
      <w:r>
        <w:rPr>
          <w:rFonts w:hint="eastAsia" w:ascii="宋体" w:hAnsi="宋体" w:eastAsia="宋体" w:cs="宋体"/>
          <w:color w:val="auto"/>
          <w:kern w:val="0"/>
          <w:sz w:val="21"/>
          <w:szCs w:val="21"/>
          <w:lang w:val="en-US" w:eastAsia="zh-CN"/>
        </w:rPr>
        <w:t>34</w:t>
      </w:r>
      <w:r>
        <w:rPr>
          <w:rFonts w:hint="eastAsia" w:ascii="宋体" w:hAnsi="宋体" w:eastAsia="宋体" w:cs="宋体"/>
          <w:color w:val="auto"/>
          <w:kern w:val="0"/>
          <w:sz w:val="21"/>
          <w:szCs w:val="21"/>
        </w:rPr>
        <w:t>人（其中建档立卡贫困家庭学生</w:t>
      </w:r>
      <w:r>
        <w:rPr>
          <w:rFonts w:hint="eastAsia" w:ascii="宋体" w:hAnsi="宋体" w:eastAsia="宋体" w:cs="宋体"/>
          <w:color w:val="auto"/>
          <w:kern w:val="0"/>
          <w:sz w:val="21"/>
          <w:szCs w:val="21"/>
          <w:lang w:val="en-US" w:eastAsia="zh-CN"/>
        </w:rPr>
        <w:t>2</w:t>
      </w:r>
      <w:r>
        <w:rPr>
          <w:rFonts w:hint="eastAsia" w:ascii="宋体" w:hAnsi="宋体" w:eastAsia="宋体" w:cs="宋体"/>
          <w:color w:val="auto"/>
          <w:kern w:val="0"/>
          <w:sz w:val="21"/>
          <w:szCs w:val="21"/>
        </w:rPr>
        <w:t>人），杭州市临平职业高级中学等3所学校招收云南滇西班建档立卡贫困家庭学生</w:t>
      </w:r>
      <w:r>
        <w:rPr>
          <w:rFonts w:hint="eastAsia" w:ascii="宋体" w:hAnsi="宋体" w:eastAsia="宋体" w:cs="宋体"/>
          <w:color w:val="auto"/>
          <w:kern w:val="0"/>
          <w:sz w:val="21"/>
          <w:szCs w:val="21"/>
          <w:lang w:val="en-US" w:eastAsia="zh-CN"/>
        </w:rPr>
        <w:t>57</w:t>
      </w:r>
      <w:r>
        <w:rPr>
          <w:rFonts w:hint="eastAsia" w:ascii="宋体" w:hAnsi="宋体" w:eastAsia="宋体" w:cs="宋体"/>
          <w:color w:val="auto"/>
          <w:kern w:val="0"/>
          <w:sz w:val="21"/>
          <w:szCs w:val="21"/>
        </w:rPr>
        <w:t>人，杭州市中策</w:t>
      </w:r>
      <w:r>
        <w:rPr>
          <w:rFonts w:hint="eastAsia" w:ascii="宋体" w:hAnsi="宋体" w:eastAsia="宋体" w:cs="宋体"/>
          <w:color w:val="auto"/>
          <w:kern w:val="0"/>
          <w:sz w:val="21"/>
          <w:szCs w:val="21"/>
          <w:lang w:eastAsia="zh-CN"/>
        </w:rPr>
        <w:t>职业学校</w:t>
      </w:r>
      <w:r>
        <w:rPr>
          <w:rFonts w:hint="eastAsia" w:ascii="宋体" w:hAnsi="宋体" w:eastAsia="宋体" w:cs="宋体"/>
          <w:color w:val="auto"/>
          <w:kern w:val="0"/>
          <w:sz w:val="21"/>
          <w:szCs w:val="21"/>
        </w:rPr>
        <w:t>等</w:t>
      </w:r>
      <w:r>
        <w:rPr>
          <w:rFonts w:hint="eastAsia" w:ascii="宋体" w:hAnsi="宋体" w:eastAsia="宋体" w:cs="宋体"/>
          <w:color w:val="auto"/>
          <w:kern w:val="0"/>
          <w:sz w:val="21"/>
          <w:szCs w:val="21"/>
          <w:lang w:val="en-US" w:eastAsia="zh-CN"/>
        </w:rPr>
        <w:t>7</w:t>
      </w:r>
      <w:r>
        <w:rPr>
          <w:rFonts w:hint="eastAsia" w:ascii="宋体" w:hAnsi="宋体" w:eastAsia="宋体" w:cs="宋体"/>
          <w:color w:val="auto"/>
          <w:kern w:val="0"/>
          <w:sz w:val="21"/>
          <w:szCs w:val="21"/>
        </w:rPr>
        <w:t>所学校招收黔东南州建档立卡贫困家庭学生2</w:t>
      </w:r>
      <w:r>
        <w:rPr>
          <w:rFonts w:hint="eastAsia" w:ascii="宋体" w:hAnsi="宋体" w:eastAsia="宋体" w:cs="宋体"/>
          <w:color w:val="auto"/>
          <w:kern w:val="0"/>
          <w:sz w:val="21"/>
          <w:szCs w:val="21"/>
          <w:lang w:val="en-US" w:eastAsia="zh-CN"/>
        </w:rPr>
        <w:t>31</w:t>
      </w:r>
      <w:r>
        <w:rPr>
          <w:rFonts w:hint="eastAsia" w:ascii="宋体" w:hAnsi="宋体" w:eastAsia="宋体" w:cs="宋体"/>
          <w:color w:val="auto"/>
          <w:kern w:val="0"/>
          <w:sz w:val="21"/>
          <w:szCs w:val="21"/>
        </w:rPr>
        <w:t>人，杭州轻工技师学院等3所学校招收湖北恩施建档立卡贫困家庭学生22</w:t>
      </w:r>
      <w:r>
        <w:rPr>
          <w:rFonts w:hint="eastAsia" w:ascii="宋体" w:hAnsi="宋体" w:eastAsia="宋体" w:cs="宋体"/>
          <w:color w:val="auto"/>
          <w:kern w:val="0"/>
          <w:sz w:val="21"/>
          <w:szCs w:val="21"/>
          <w:lang w:val="en-US" w:eastAsia="zh-CN"/>
        </w:rPr>
        <w:t>8</w:t>
      </w:r>
      <w:r>
        <w:rPr>
          <w:rFonts w:hint="eastAsia" w:ascii="宋体" w:hAnsi="宋体" w:eastAsia="宋体" w:cs="宋体"/>
          <w:color w:val="auto"/>
          <w:kern w:val="0"/>
          <w:sz w:val="21"/>
          <w:szCs w:val="21"/>
        </w:rPr>
        <w:t>人，全面完成任务且成效明显。全市共招收西部地区建档立卡贫困家庭学生</w:t>
      </w:r>
      <w:r>
        <w:rPr>
          <w:rFonts w:hint="eastAsia" w:ascii="宋体" w:hAnsi="宋体" w:eastAsia="宋体" w:cs="宋体"/>
          <w:color w:val="auto"/>
          <w:kern w:val="0"/>
          <w:sz w:val="21"/>
          <w:szCs w:val="21"/>
          <w:lang w:val="en-US" w:eastAsia="zh-CN"/>
        </w:rPr>
        <w:t>518</w:t>
      </w:r>
      <w:r>
        <w:rPr>
          <w:rFonts w:hint="eastAsia" w:ascii="宋体" w:hAnsi="宋体" w:eastAsia="宋体" w:cs="宋体"/>
          <w:color w:val="auto"/>
          <w:kern w:val="0"/>
          <w:sz w:val="21"/>
          <w:szCs w:val="21"/>
        </w:rPr>
        <w:t>人</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全市双方学生交流2</w:t>
      </w:r>
      <w:r>
        <w:rPr>
          <w:rFonts w:hint="eastAsia" w:ascii="宋体" w:hAnsi="宋体" w:eastAsia="宋体" w:cs="宋体"/>
          <w:color w:val="auto"/>
          <w:kern w:val="0"/>
          <w:sz w:val="21"/>
          <w:szCs w:val="21"/>
          <w:lang w:val="en-US" w:eastAsia="zh-CN"/>
        </w:rPr>
        <w:t>37</w:t>
      </w:r>
      <w:r>
        <w:rPr>
          <w:rFonts w:hint="eastAsia" w:ascii="宋体" w:hAnsi="宋体" w:eastAsia="宋体" w:cs="宋体"/>
          <w:color w:val="auto"/>
          <w:kern w:val="0"/>
          <w:sz w:val="21"/>
          <w:szCs w:val="21"/>
        </w:rPr>
        <w:t>人。加大帮扶补助力度</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我市共有1</w:t>
      </w:r>
      <w:r>
        <w:rPr>
          <w:rFonts w:hint="eastAsia" w:ascii="宋体" w:hAnsi="宋体" w:eastAsia="宋体" w:cs="宋体"/>
          <w:color w:val="auto"/>
          <w:kern w:val="0"/>
          <w:sz w:val="21"/>
          <w:szCs w:val="21"/>
          <w:lang w:val="en-US" w:eastAsia="zh-CN"/>
        </w:rPr>
        <w:t>6</w:t>
      </w:r>
      <w:r>
        <w:rPr>
          <w:rFonts w:hint="eastAsia" w:ascii="宋体" w:hAnsi="宋体" w:eastAsia="宋体" w:cs="宋体"/>
          <w:color w:val="auto"/>
          <w:kern w:val="0"/>
          <w:sz w:val="21"/>
          <w:szCs w:val="21"/>
        </w:rPr>
        <w:t>所省级示范学校参与东西部扶贫协作，资助受援方资金</w:t>
      </w:r>
      <w:r>
        <w:rPr>
          <w:rFonts w:hint="eastAsia" w:ascii="宋体" w:hAnsi="宋体" w:eastAsia="宋体" w:cs="宋体"/>
          <w:color w:val="auto"/>
          <w:kern w:val="0"/>
          <w:sz w:val="21"/>
          <w:szCs w:val="21"/>
          <w:lang w:val="en-US" w:eastAsia="zh-CN"/>
        </w:rPr>
        <w:t>9.5</w:t>
      </w:r>
      <w:r>
        <w:rPr>
          <w:rFonts w:hint="eastAsia" w:ascii="宋体" w:hAnsi="宋体" w:eastAsia="宋体" w:cs="宋体"/>
          <w:color w:val="auto"/>
          <w:kern w:val="0"/>
          <w:sz w:val="21"/>
          <w:szCs w:val="21"/>
        </w:rPr>
        <w:t>万元，捐赠受援方物资设备价值</w:t>
      </w:r>
      <w:r>
        <w:rPr>
          <w:rFonts w:hint="eastAsia" w:ascii="宋体" w:hAnsi="宋体" w:eastAsia="宋体" w:cs="宋体"/>
          <w:color w:val="auto"/>
          <w:kern w:val="0"/>
          <w:sz w:val="21"/>
          <w:szCs w:val="21"/>
          <w:lang w:val="en-US" w:eastAsia="zh-CN"/>
        </w:rPr>
        <w:t>3.3</w:t>
      </w:r>
      <w:r>
        <w:rPr>
          <w:rFonts w:hint="eastAsia" w:ascii="宋体" w:hAnsi="宋体" w:eastAsia="宋体" w:cs="宋体"/>
          <w:color w:val="auto"/>
          <w:kern w:val="0"/>
          <w:sz w:val="21"/>
          <w:szCs w:val="21"/>
        </w:rPr>
        <w:t>万元。加强专业与实训基地共建。我市中职学校与受援方共建示范专业点</w:t>
      </w:r>
      <w:r>
        <w:rPr>
          <w:rFonts w:hint="eastAsia" w:ascii="宋体" w:hAnsi="宋体" w:eastAsia="宋体" w:cs="宋体"/>
          <w:color w:val="auto"/>
          <w:kern w:val="0"/>
          <w:sz w:val="21"/>
          <w:szCs w:val="21"/>
          <w:lang w:val="en-US" w:eastAsia="zh-CN"/>
        </w:rPr>
        <w:t>9</w:t>
      </w:r>
      <w:r>
        <w:rPr>
          <w:rFonts w:hint="eastAsia" w:ascii="宋体" w:hAnsi="宋体" w:eastAsia="宋体" w:cs="宋体"/>
          <w:color w:val="auto"/>
          <w:kern w:val="0"/>
          <w:sz w:val="21"/>
          <w:szCs w:val="21"/>
        </w:rPr>
        <w:t>个，共建示范性实训基地</w:t>
      </w:r>
      <w:r>
        <w:rPr>
          <w:rFonts w:hint="eastAsia" w:ascii="宋体" w:hAnsi="宋体" w:eastAsia="宋体" w:cs="宋体"/>
          <w:color w:val="auto"/>
          <w:kern w:val="0"/>
          <w:sz w:val="21"/>
          <w:szCs w:val="21"/>
          <w:lang w:val="en-US" w:eastAsia="zh-CN"/>
        </w:rPr>
        <w:t>4</w:t>
      </w:r>
      <w:r>
        <w:rPr>
          <w:rFonts w:hint="eastAsia" w:ascii="宋体" w:hAnsi="宋体" w:eastAsia="宋体" w:cs="宋体"/>
          <w:color w:val="auto"/>
          <w:kern w:val="0"/>
          <w:sz w:val="21"/>
          <w:szCs w:val="21"/>
        </w:rPr>
        <w:t>个，受援方委托施援方管理专业</w:t>
      </w:r>
      <w:r>
        <w:rPr>
          <w:rFonts w:hint="eastAsia" w:ascii="宋体" w:hAnsi="宋体" w:eastAsia="宋体" w:cs="宋体"/>
          <w:color w:val="auto"/>
          <w:kern w:val="0"/>
          <w:sz w:val="21"/>
          <w:szCs w:val="21"/>
          <w:lang w:val="en-US" w:eastAsia="zh-CN"/>
        </w:rPr>
        <w:t>3</w:t>
      </w:r>
      <w:r>
        <w:rPr>
          <w:rFonts w:hint="eastAsia" w:ascii="宋体" w:hAnsi="宋体" w:eastAsia="宋体" w:cs="宋体"/>
          <w:color w:val="auto"/>
          <w:kern w:val="0"/>
          <w:sz w:val="21"/>
          <w:szCs w:val="21"/>
        </w:rPr>
        <w:t>个，切实提升了受援方学校专业建设和实训基地建设水平。有序开展教师干部双向交流。全市</w:t>
      </w:r>
      <w:r>
        <w:rPr>
          <w:rFonts w:hint="eastAsia" w:ascii="宋体" w:hAnsi="宋体" w:eastAsia="宋体" w:cs="宋体"/>
          <w:color w:val="auto"/>
          <w:kern w:val="0"/>
          <w:sz w:val="21"/>
          <w:szCs w:val="21"/>
          <w:lang w:eastAsia="zh-CN"/>
        </w:rPr>
        <w:t>选</w:t>
      </w:r>
      <w:r>
        <w:rPr>
          <w:rFonts w:hint="eastAsia" w:ascii="宋体" w:hAnsi="宋体" w:eastAsia="宋体" w:cs="宋体"/>
          <w:color w:val="auto"/>
          <w:kern w:val="0"/>
          <w:sz w:val="21"/>
          <w:szCs w:val="21"/>
        </w:rPr>
        <w:t>派</w:t>
      </w:r>
      <w:r>
        <w:rPr>
          <w:rFonts w:hint="eastAsia" w:ascii="宋体" w:hAnsi="宋体" w:cs="宋体"/>
          <w:color w:val="auto"/>
          <w:kern w:val="0"/>
          <w:sz w:val="21"/>
          <w:szCs w:val="21"/>
          <w:lang w:eastAsia="zh-CN"/>
        </w:rPr>
        <w:t>挂职</w:t>
      </w:r>
      <w:r>
        <w:rPr>
          <w:rFonts w:hint="eastAsia" w:ascii="宋体" w:hAnsi="宋体" w:eastAsia="宋体" w:cs="宋体"/>
          <w:color w:val="auto"/>
          <w:kern w:val="0"/>
          <w:sz w:val="21"/>
          <w:szCs w:val="21"/>
        </w:rPr>
        <w:t>干部</w:t>
      </w:r>
      <w:r>
        <w:rPr>
          <w:rFonts w:hint="eastAsia" w:ascii="宋体" w:hAnsi="宋体" w:eastAsia="宋体" w:cs="宋体"/>
          <w:color w:val="auto"/>
          <w:kern w:val="0"/>
          <w:sz w:val="21"/>
          <w:szCs w:val="21"/>
          <w:lang w:eastAsia="zh-CN"/>
        </w:rPr>
        <w:t>教师</w:t>
      </w:r>
      <w:r>
        <w:rPr>
          <w:rFonts w:hint="eastAsia" w:ascii="宋体" w:hAnsi="宋体" w:eastAsia="宋体" w:cs="宋体"/>
          <w:color w:val="auto"/>
          <w:kern w:val="0"/>
          <w:sz w:val="21"/>
          <w:szCs w:val="21"/>
        </w:rPr>
        <w:t>到受援方</w:t>
      </w:r>
      <w:r>
        <w:rPr>
          <w:rFonts w:hint="eastAsia" w:ascii="宋体" w:hAnsi="宋体" w:eastAsia="宋体" w:cs="宋体"/>
          <w:color w:val="auto"/>
          <w:kern w:val="0"/>
          <w:sz w:val="21"/>
          <w:szCs w:val="21"/>
          <w:lang w:val="en-US" w:eastAsia="zh-CN"/>
        </w:rPr>
        <w:t>58</w:t>
      </w:r>
      <w:r>
        <w:rPr>
          <w:rFonts w:hint="eastAsia" w:ascii="宋体" w:hAnsi="宋体" w:eastAsia="宋体" w:cs="宋体"/>
          <w:color w:val="auto"/>
          <w:kern w:val="0"/>
          <w:sz w:val="21"/>
          <w:szCs w:val="21"/>
        </w:rPr>
        <w:t>人</w:t>
      </w:r>
      <w:r>
        <w:rPr>
          <w:rFonts w:hint="eastAsia" w:ascii="宋体" w:hAnsi="宋体" w:eastAsia="宋体" w:cs="宋体"/>
          <w:color w:val="auto"/>
          <w:kern w:val="0"/>
          <w:sz w:val="21"/>
          <w:szCs w:val="21"/>
          <w:lang w:eastAsia="zh-CN"/>
        </w:rPr>
        <w:t>次</w:t>
      </w:r>
      <w:r>
        <w:rPr>
          <w:rFonts w:hint="eastAsia" w:ascii="宋体" w:hAnsi="宋体" w:eastAsia="宋体" w:cs="宋体"/>
          <w:color w:val="auto"/>
          <w:kern w:val="0"/>
          <w:sz w:val="21"/>
          <w:szCs w:val="21"/>
        </w:rPr>
        <w:t>，接受受援方</w:t>
      </w:r>
      <w:r>
        <w:rPr>
          <w:rFonts w:hint="eastAsia" w:ascii="宋体" w:hAnsi="宋体" w:eastAsia="宋体" w:cs="宋体"/>
          <w:color w:val="auto"/>
          <w:kern w:val="0"/>
          <w:sz w:val="21"/>
          <w:szCs w:val="21"/>
          <w:lang w:eastAsia="zh-CN"/>
        </w:rPr>
        <w:t>干部</w:t>
      </w:r>
      <w:r>
        <w:rPr>
          <w:rFonts w:hint="eastAsia" w:ascii="宋体" w:hAnsi="宋体" w:eastAsia="宋体" w:cs="宋体"/>
          <w:color w:val="auto"/>
          <w:kern w:val="0"/>
          <w:sz w:val="21"/>
          <w:szCs w:val="21"/>
        </w:rPr>
        <w:t>教师交流</w:t>
      </w:r>
      <w:r>
        <w:rPr>
          <w:rFonts w:hint="eastAsia" w:ascii="宋体" w:hAnsi="宋体" w:eastAsia="宋体" w:cs="宋体"/>
          <w:color w:val="auto"/>
          <w:kern w:val="0"/>
          <w:sz w:val="21"/>
          <w:szCs w:val="21"/>
          <w:lang w:val="en-US" w:eastAsia="zh-CN"/>
        </w:rPr>
        <w:t>220</w:t>
      </w:r>
      <w:r>
        <w:rPr>
          <w:rFonts w:hint="eastAsia" w:ascii="宋体" w:hAnsi="宋体" w:eastAsia="宋体" w:cs="宋体"/>
          <w:color w:val="auto"/>
          <w:kern w:val="0"/>
          <w:sz w:val="21"/>
          <w:szCs w:val="21"/>
        </w:rPr>
        <w:t>人</w:t>
      </w:r>
      <w:r>
        <w:rPr>
          <w:rFonts w:hint="eastAsia" w:ascii="宋体" w:hAnsi="宋体" w:eastAsia="宋体" w:cs="宋体"/>
          <w:color w:val="auto"/>
          <w:kern w:val="0"/>
          <w:sz w:val="21"/>
          <w:szCs w:val="21"/>
          <w:lang w:eastAsia="zh-CN"/>
        </w:rPr>
        <w:t>次</w:t>
      </w:r>
      <w:r>
        <w:rPr>
          <w:rFonts w:hint="eastAsia" w:ascii="宋体" w:hAnsi="宋体" w:eastAsia="宋体" w:cs="宋体"/>
          <w:color w:val="auto"/>
          <w:kern w:val="0"/>
          <w:sz w:val="21"/>
          <w:szCs w:val="21"/>
        </w:rPr>
        <w:t>。教师干部挂职时间从半个月到两年不等。积极开展对口支援地区的职业培训。</w:t>
      </w:r>
    </w:p>
    <w:p>
      <w:pPr>
        <w:widowControl w:val="0"/>
        <w:wordWrap/>
        <w:adjustRightInd/>
        <w:snapToGrid/>
        <w:spacing w:before="157" w:beforeLines="50" w:afterLines="0" w:line="360" w:lineRule="auto"/>
        <w:ind w:left="0" w:leftChars="0" w:right="0" w:firstLine="421" w:firstLineChars="200"/>
        <w:jc w:val="left"/>
        <w:textAlignment w:val="auto"/>
        <w:outlineLvl w:val="9"/>
        <w:rPr>
          <w:rFonts w:hint="eastAsia" w:ascii="楷体_GB2312" w:hAnsi="楷体_GB2312" w:eastAsia="楷体_GB2312" w:cs="楷体_GB2312"/>
          <w:b/>
          <w:bCs/>
          <w:color w:val="auto"/>
          <w:kern w:val="44"/>
          <w:sz w:val="21"/>
          <w:szCs w:val="21"/>
          <w:lang w:val="en-US" w:eastAsia="zh-CN" w:bidi="ar-SA"/>
        </w:rPr>
      </w:pPr>
      <w:r>
        <w:rPr>
          <w:rFonts w:hint="eastAsia" w:ascii="楷体_GB2312" w:hAnsi="楷体_GB2312" w:eastAsia="楷体_GB2312" w:cs="楷体_GB2312"/>
          <w:b/>
          <w:bCs/>
          <w:color w:val="auto"/>
          <w:kern w:val="44"/>
          <w:sz w:val="21"/>
          <w:szCs w:val="21"/>
          <w:lang w:val="zh-CN" w:eastAsia="zh-CN" w:bidi="ar-SA"/>
        </w:rPr>
        <w:t>【案例</w:t>
      </w:r>
      <w:r>
        <w:rPr>
          <w:rFonts w:hint="eastAsia" w:ascii="楷体_GB2312" w:hAnsi="楷体_GB2312" w:eastAsia="楷体_GB2312" w:cs="楷体_GB2312"/>
          <w:b/>
          <w:bCs/>
          <w:color w:val="auto"/>
          <w:kern w:val="44"/>
          <w:sz w:val="21"/>
          <w:szCs w:val="21"/>
          <w:lang w:val="en-US" w:eastAsia="zh-CN" w:bidi="ar-SA"/>
        </w:rPr>
        <w:t>5</w:t>
      </w:r>
      <w:r>
        <w:rPr>
          <w:rFonts w:hint="eastAsia" w:ascii="楷体_GB2312" w:hAnsi="楷体_GB2312" w:eastAsia="楷体_GB2312" w:cs="楷体_GB2312"/>
          <w:b/>
          <w:bCs/>
          <w:color w:val="auto"/>
          <w:kern w:val="44"/>
          <w:sz w:val="21"/>
          <w:szCs w:val="21"/>
          <w:lang w:val="zh-CN" w:eastAsia="zh-CN" w:bidi="ar-SA"/>
        </w:rPr>
        <w:t>-</w:t>
      </w:r>
      <w:r>
        <w:rPr>
          <w:rFonts w:hint="eastAsia" w:ascii="楷体_GB2312" w:hAnsi="楷体_GB2312" w:eastAsia="楷体_GB2312" w:cs="楷体_GB2312"/>
          <w:b/>
          <w:bCs/>
          <w:color w:val="auto"/>
          <w:kern w:val="44"/>
          <w:sz w:val="21"/>
          <w:szCs w:val="21"/>
          <w:lang w:val="en-US" w:eastAsia="zh-CN" w:bidi="ar-SA"/>
        </w:rPr>
        <w:t>5</w:t>
      </w:r>
      <w:r>
        <w:rPr>
          <w:rFonts w:hint="eastAsia" w:ascii="楷体_GB2312" w:hAnsi="楷体_GB2312" w:eastAsia="楷体_GB2312" w:cs="楷体_GB2312"/>
          <w:b/>
          <w:bCs/>
          <w:color w:val="auto"/>
          <w:kern w:val="44"/>
          <w:sz w:val="21"/>
          <w:szCs w:val="21"/>
          <w:lang w:val="zh-CN" w:eastAsia="zh-CN" w:bidi="ar-SA"/>
        </w:rPr>
        <w:t>】温暖工程“星火计划”电梯维修培训项目落地</w:t>
      </w:r>
    </w:p>
    <w:p>
      <w:pPr>
        <w:widowControl w:val="0"/>
        <w:wordWrap/>
        <w:spacing w:beforeLines="0" w:afterLines="0" w:line="360" w:lineRule="auto"/>
        <w:ind w:left="0" w:leftChars="0" w:right="0" w:firstLine="420" w:firstLineChars="200"/>
        <w:jc w:val="both"/>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在杭州市中华职业教育社主办的精准扶贫成果分享会上，10位代表动情地讲述着自己的故事。他们中有像杭州市旅游职业学校副校长金海清这样为了让更多人走出大山，远赴贫困山区支教的扶贫参与者；有像杭州技师学院教师、第44届世界技能大赛冠军蒋应成这样从一名受助者到心怀感恩、接力扶贫的亲历者；也有像杭州西奥电梯有限公司总裁周俊良这样怀揣社会责任感的企业精英……为着一个共同的目标——培训一人、就业一人、脱贫一户、带动一方。杭州职教联合杭州市中华职教社发挥职教技能帮扶优势，近3年分批组团赴黔东南州开展帮扶，带去温暖工程“星火计划”电梯维修培训项目等系列精准帮扶的项目，有效帮助当地阻断贫困代际传递,以职业教育赋能脱贫攻坚。</w:t>
      </w:r>
    </w:p>
    <w:p>
      <w:pPr>
        <w:spacing w:before="157" w:beforeLines="50" w:afterLines="0" w:line="360" w:lineRule="auto"/>
        <w:ind w:firstLine="421" w:firstLineChars="200"/>
        <w:rPr>
          <w:rFonts w:hint="eastAsia" w:ascii="楷体_GB2312" w:hAnsi="楷体_GB2312" w:eastAsia="楷体_GB2312" w:cs="楷体_GB2312"/>
          <w:b/>
          <w:sz w:val="21"/>
          <w:szCs w:val="21"/>
        </w:rPr>
      </w:pPr>
      <w:r>
        <w:rPr>
          <w:rFonts w:hint="eastAsia" w:ascii="楷体_GB2312" w:hAnsi="楷体_GB2312" w:eastAsia="楷体_GB2312" w:cs="楷体_GB2312"/>
          <w:b/>
          <w:sz w:val="21"/>
          <w:szCs w:val="21"/>
        </w:rPr>
        <w:t>【案例5-</w:t>
      </w:r>
      <w:r>
        <w:rPr>
          <w:rFonts w:hint="eastAsia" w:ascii="楷体_GB2312" w:hAnsi="楷体_GB2312" w:eastAsia="楷体_GB2312" w:cs="楷体_GB2312"/>
          <w:b/>
          <w:sz w:val="21"/>
          <w:szCs w:val="21"/>
          <w:lang w:val="en-US" w:eastAsia="zh-CN"/>
        </w:rPr>
        <w:t>6</w:t>
      </w:r>
      <w:r>
        <w:rPr>
          <w:rFonts w:hint="eastAsia" w:ascii="楷体_GB2312" w:hAnsi="楷体_GB2312" w:eastAsia="楷体_GB2312" w:cs="楷体_GB2312"/>
          <w:b/>
          <w:sz w:val="21"/>
          <w:szCs w:val="21"/>
        </w:rPr>
        <w:t>】初阳计划：教师带教，提升教师能力</w:t>
      </w:r>
    </w:p>
    <w:p>
      <w:pPr>
        <w:spacing w:beforeLines="0" w:afterLines="0" w:line="36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10月,杭州市职成</w:t>
      </w:r>
      <w:r>
        <w:rPr>
          <w:rFonts w:hint="eastAsia" w:ascii="仿宋_GB2312" w:hAnsi="仿宋_GB2312" w:eastAsia="仿宋_GB2312" w:cs="仿宋_GB2312"/>
          <w:sz w:val="21"/>
          <w:szCs w:val="21"/>
          <w:lang w:eastAsia="zh-CN"/>
        </w:rPr>
        <w:t>教</w:t>
      </w:r>
      <w:r>
        <w:rPr>
          <w:rFonts w:hint="eastAsia" w:ascii="仿宋_GB2312" w:hAnsi="仿宋_GB2312" w:eastAsia="仿宋_GB2312" w:cs="仿宋_GB2312"/>
          <w:sz w:val="21"/>
          <w:szCs w:val="21"/>
        </w:rPr>
        <w:t>研究室、中策职校、旅游职校、电子信息职校、人民职校、西湖职高、临平职高等“初阳计划”培训基地协同举办了温暖工程“初阳计划”第二期信息化专题培训，帮扶中西部地区培养中职青年骨干教师，提升教师核心能力，推动职业教育内涵建设的长期项目。“初阳计划”每年举办1期主题培训，今年的主题是信息化教学，为期5天。此次培训不仅邀请世界技能大赛冠军蒋应成和职业教育、信息化教育专家做讲座，而且安排学员们赴 6所基地学校跟岗学习。学员们纷纷表示，将把此次培训中学到的先进理念、团队合作精神和信息化技能带回家乡学校，与更多的老师分享，提升教学水平。</w:t>
      </w:r>
    </w:p>
    <w:p>
      <w:pPr>
        <w:numPr>
          <w:ilvl w:val="0"/>
          <w:numId w:val="0"/>
        </w:numPr>
        <w:adjustRightInd/>
        <w:snapToGrid/>
        <w:spacing w:before="157" w:beforeLines="50" w:line="360" w:lineRule="auto"/>
        <w:ind w:firstLine="421" w:firstLineChars="200"/>
        <w:outlineLvl w:val="9"/>
        <w:rPr>
          <w:rFonts w:hint="eastAsia" w:ascii="宋体" w:hAnsi="宋体" w:eastAsia="宋体" w:cs="宋体"/>
          <w:kern w:val="0"/>
          <w:sz w:val="21"/>
          <w:szCs w:val="21"/>
        </w:rPr>
      </w:pPr>
      <w:bookmarkStart w:id="151" w:name="_Toc29480878"/>
      <w:bookmarkStart w:id="152" w:name="_Toc29540426"/>
      <w:r>
        <w:rPr>
          <w:rFonts w:hint="eastAsia" w:ascii="宋体" w:hAnsi="宋体" w:eastAsia="宋体" w:cs="宋体"/>
          <w:b/>
          <w:bCs/>
          <w:sz w:val="21"/>
          <w:szCs w:val="21"/>
        </w:rPr>
        <w:t>区域带动薄弱学校主干专业建设</w:t>
      </w:r>
      <w:bookmarkEnd w:id="151"/>
      <w:bookmarkEnd w:id="152"/>
      <w:r>
        <w:rPr>
          <w:rFonts w:hint="eastAsia" w:ascii="宋体" w:hAnsi="宋体" w:eastAsia="宋体" w:cs="宋体"/>
          <w:b/>
          <w:bCs/>
          <w:sz w:val="21"/>
          <w:szCs w:val="21"/>
          <w:lang w:eastAsia="zh-CN"/>
        </w:rPr>
        <w:t>。</w:t>
      </w:r>
      <w:r>
        <w:rPr>
          <w:rFonts w:hint="eastAsia" w:ascii="宋体" w:hAnsi="宋体" w:eastAsia="宋体" w:cs="宋体"/>
          <w:b w:val="0"/>
          <w:bCs w:val="0"/>
          <w:kern w:val="0"/>
          <w:sz w:val="21"/>
          <w:szCs w:val="21"/>
        </w:rPr>
        <w:t>在中职名校与重点扶持薄弱学校之间开展结对帮扶活动，互派骨干管理干部与主体专业骨干教师挂职跟岗锻炼，并在日常教研活动、师资交流、校企合作等方面加大支持力度，不断提升薄弱学校主干专业建设水平。“帮、扶、带”重点扶持薄弱学校加强师资队伍建设。</w:t>
      </w:r>
      <w:r>
        <w:rPr>
          <w:rFonts w:hint="eastAsia" w:ascii="宋体" w:hAnsi="宋体" w:eastAsia="宋体" w:cs="宋体"/>
          <w:kern w:val="0"/>
          <w:sz w:val="21"/>
          <w:szCs w:val="21"/>
        </w:rPr>
        <w:t>充分利用市区中职学校的合作企业资源，帮助薄弱职业学校主干专业开展校企合作，实现共建共享，如西湖职业高级中学与新安江中职校</w:t>
      </w:r>
      <w:r>
        <w:rPr>
          <w:rFonts w:hint="eastAsia" w:ascii="宋体" w:hAnsi="宋体" w:eastAsia="宋体" w:cs="宋体"/>
          <w:kern w:val="0"/>
          <w:sz w:val="21"/>
          <w:szCs w:val="21"/>
          <w:lang w:val="en-US" w:eastAsia="zh-CN"/>
        </w:rPr>
        <w:t>共同参与国家级课题《乡村经济振兴背景下中职学校符合型人才培养模式的研究》，</w:t>
      </w:r>
      <w:r>
        <w:rPr>
          <w:rFonts w:hint="eastAsia" w:ascii="宋体" w:hAnsi="宋体" w:eastAsia="宋体" w:cs="宋体"/>
          <w:kern w:val="0"/>
          <w:sz w:val="21"/>
          <w:szCs w:val="21"/>
        </w:rPr>
        <w:t>不断</w:t>
      </w:r>
      <w:r>
        <w:rPr>
          <w:rFonts w:hint="eastAsia" w:ascii="宋体" w:hAnsi="宋体" w:eastAsia="宋体" w:cs="宋体"/>
          <w:kern w:val="0"/>
          <w:sz w:val="21"/>
          <w:szCs w:val="21"/>
          <w:lang w:val="en-US" w:eastAsia="zh-CN"/>
        </w:rPr>
        <w:t>助推乡村振兴，培养新型复合人才</w:t>
      </w:r>
      <w:r>
        <w:rPr>
          <w:rFonts w:hint="eastAsia" w:ascii="宋体" w:hAnsi="宋体" w:eastAsia="宋体" w:cs="宋体"/>
          <w:kern w:val="0"/>
          <w:sz w:val="21"/>
          <w:szCs w:val="21"/>
        </w:rPr>
        <w:t>。加强对重点扶持学校主干专业的职业能力大赛活动的指导，通过以强带弱，实现了“弱者变强，强者更强”，大大提升主干专业师生职业能力。建德新安江职校在今年的市技能大赛上</w:t>
      </w: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参加了13个类别27个赛项，在继续保持财会专业传统优势的同时，在烹饪、计算机、园林、学前等专业项目大赛中也取得一定突破，共计斩获4金11银19铜，综合成绩明显提升</w:t>
      </w:r>
      <w:r>
        <w:rPr>
          <w:rFonts w:hint="eastAsia" w:ascii="宋体" w:hAnsi="宋体" w:eastAsia="宋体" w:cs="宋体"/>
          <w:kern w:val="0"/>
          <w:sz w:val="21"/>
          <w:szCs w:val="21"/>
        </w:rPr>
        <w:t>。</w:t>
      </w:r>
    </w:p>
    <w:p>
      <w:pPr>
        <w:keepNext w:val="0"/>
        <w:keepLines w:val="0"/>
        <w:wordWrap/>
        <w:adjustRightInd/>
        <w:snapToGrid/>
        <w:spacing w:before="157" w:beforeLines="50" w:afterLines="0" w:line="360" w:lineRule="auto"/>
        <w:ind w:firstLine="421" w:firstLineChars="200"/>
        <w:textAlignment w:val="auto"/>
        <w:outlineLvl w:val="9"/>
        <w:rPr>
          <w:rFonts w:hint="eastAsia" w:ascii="楷体_GB2312" w:hAnsi="楷体_GB2312" w:eastAsia="楷体_GB2312" w:cs="楷体_GB2312"/>
          <w:b/>
          <w:bCs w:val="0"/>
          <w:color w:val="auto"/>
          <w:sz w:val="21"/>
          <w:szCs w:val="21"/>
        </w:rPr>
      </w:pPr>
      <w:r>
        <w:rPr>
          <w:rFonts w:hint="eastAsia" w:ascii="楷体_GB2312" w:hAnsi="楷体_GB2312" w:eastAsia="楷体_GB2312" w:cs="楷体_GB2312"/>
          <w:b/>
          <w:bCs w:val="0"/>
          <w:color w:val="auto"/>
          <w:sz w:val="21"/>
          <w:szCs w:val="21"/>
        </w:rPr>
        <w:t>【案例5-</w:t>
      </w:r>
      <w:r>
        <w:rPr>
          <w:rFonts w:hint="eastAsia" w:ascii="楷体_GB2312" w:hAnsi="楷体_GB2312" w:eastAsia="楷体_GB2312" w:cs="楷体_GB2312"/>
          <w:b/>
          <w:bCs w:val="0"/>
          <w:color w:val="auto"/>
          <w:sz w:val="21"/>
          <w:szCs w:val="21"/>
          <w:lang w:val="en-US" w:eastAsia="zh-CN"/>
        </w:rPr>
        <w:t>7</w:t>
      </w:r>
      <w:r>
        <w:rPr>
          <w:rFonts w:hint="eastAsia" w:ascii="楷体_GB2312" w:hAnsi="楷体_GB2312" w:eastAsia="楷体_GB2312" w:cs="楷体_GB2312"/>
          <w:b/>
          <w:bCs w:val="0"/>
          <w:color w:val="auto"/>
          <w:sz w:val="21"/>
          <w:szCs w:val="21"/>
        </w:rPr>
        <w:t>】富阳区职业高级中学对口支援，示范辐射</w:t>
      </w:r>
    </w:p>
    <w:p>
      <w:pPr>
        <w:keepNext w:val="0"/>
        <w:keepLines w:val="0"/>
        <w:wordWrap/>
        <w:adjustRightInd/>
        <w:snapToGrid/>
        <w:spacing w:beforeLines="0" w:afterLines="0" w:line="360" w:lineRule="auto"/>
        <w:ind w:firstLine="420" w:firstLineChars="200"/>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auto"/>
          <w:sz w:val="21"/>
          <w:szCs w:val="21"/>
        </w:rPr>
        <w:t>富阳区职业高级中学充分发挥国家中职示范学校及浙江省名校建设单位的示范引领辐射作用，积极开展对口支援工作，展现名校责任担当。</w:t>
      </w:r>
      <w:r>
        <w:rPr>
          <w:rFonts w:hint="eastAsia" w:ascii="仿宋_GB2312" w:hAnsi="仿宋_GB2312" w:eastAsia="仿宋_GB2312" w:cs="仿宋_GB2312"/>
          <w:sz w:val="21"/>
          <w:szCs w:val="21"/>
        </w:rPr>
        <w:t>自2018年招收云南省德宏州盈江县学生共71人，采取精准的教学与管理服务措施，选拔骨干教师担任该班班主任和任课教师，实行托底的生活保障措施，开展感受祖国美好体验活动，千里家访增进</w:t>
      </w:r>
      <w:r>
        <w:rPr>
          <w:rFonts w:hint="eastAsia" w:ascii="仿宋_GB2312" w:hAnsi="仿宋_GB2312" w:eastAsia="仿宋_GB2312" w:cs="仿宋_GB2312"/>
          <w:sz w:val="21"/>
          <w:szCs w:val="21"/>
          <w:lang w:eastAsia="zh-CN"/>
        </w:rPr>
        <w:t>民</w:t>
      </w:r>
      <w:r>
        <w:rPr>
          <w:rFonts w:hint="eastAsia" w:ascii="仿宋_GB2312" w:hAnsi="仿宋_GB2312" w:eastAsia="仿宋_GB2312" w:cs="仿宋_GB2312"/>
          <w:sz w:val="21"/>
          <w:szCs w:val="21"/>
        </w:rPr>
        <w:t>族团结，开展暑假及阶段性的见习活动及高三学生顶岗实习</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据统计有学生在暑假近2个月的见习平均收入超过4000元，10多天的阶段见习有学生收入达到3500元。承担了两批13名云南省德宏州盈江县中职教师挂职锻炼。积极采购贵州锦屏、丽水缙云扶贫礼包共计18万余元。组织专家团队远赴贵州省锦屏县，举办围绕“恢复生猪生产、保障市场供给”目标的50余人参加的生猪养殖大户技能培训班，通过集中传授理论知识、交流答疑、现场实践指导等形式，实现实用技术、实践技能和实际运用融会贯通，推动锦屏生猪产业规模化标准化发展，开启富阳—锦屏对口帮扶第二轮东西协作培训，持续巩固脱贫攻坚成效。《中国教育</w:t>
      </w:r>
      <w:r>
        <w:rPr>
          <w:rFonts w:hint="eastAsia" w:ascii="仿宋_GB2312" w:hAnsi="仿宋_GB2312" w:eastAsia="仿宋_GB2312" w:cs="仿宋_GB2312"/>
          <w:sz w:val="21"/>
          <w:szCs w:val="21"/>
          <w:lang w:eastAsia="zh-CN"/>
        </w:rPr>
        <w:t>报</w:t>
      </w:r>
      <w:r>
        <w:rPr>
          <w:rFonts w:hint="eastAsia" w:ascii="仿宋_GB2312" w:hAnsi="仿宋_GB2312" w:eastAsia="仿宋_GB2312" w:cs="仿宋_GB2312"/>
          <w:sz w:val="21"/>
          <w:szCs w:val="21"/>
        </w:rPr>
        <w:t>》专题报道了学校</w:t>
      </w:r>
      <w:r>
        <w:rPr>
          <w:rFonts w:hint="eastAsia" w:ascii="仿宋_GB2312" w:hAnsi="仿宋_GB2312" w:eastAsia="仿宋_GB2312" w:cs="仿宋_GB2312"/>
          <w:sz w:val="21"/>
          <w:szCs w:val="21"/>
          <w:lang w:eastAsia="zh-CN"/>
        </w:rPr>
        <w:t>帮扶工作</w:t>
      </w:r>
      <w:r>
        <w:rPr>
          <w:rFonts w:hint="eastAsia" w:ascii="仿宋_GB2312" w:hAnsi="仿宋_GB2312" w:eastAsia="仿宋_GB2312" w:cs="仿宋_GB2312"/>
          <w:sz w:val="21"/>
          <w:szCs w:val="21"/>
        </w:rPr>
        <w:t>经验。</w:t>
      </w:r>
    </w:p>
    <w:bookmarkEnd w:id="135"/>
    <w:bookmarkEnd w:id="136"/>
    <w:p>
      <w:pPr>
        <w:keepNext w:val="0"/>
        <w:keepLines w:val="0"/>
        <w:wordWrap/>
        <w:adjustRightInd/>
        <w:snapToGrid/>
        <w:spacing w:before="157" w:beforeLines="50" w:afterLines="0" w:line="360" w:lineRule="auto"/>
        <w:ind w:firstLine="316" w:firstLineChars="150"/>
        <w:textAlignment w:val="auto"/>
        <w:outlineLvl w:val="9"/>
        <w:rPr>
          <w:rFonts w:hint="eastAsia" w:ascii="宋体" w:hAnsi="宋体" w:cs="宋体"/>
          <w:b w:val="0"/>
          <w:bCs w:val="0"/>
          <w:color w:val="auto"/>
          <w:kern w:val="44"/>
          <w:sz w:val="21"/>
          <w:szCs w:val="21"/>
          <w:lang w:val="en-US" w:eastAsia="zh-CN"/>
        </w:rPr>
      </w:pPr>
      <w:r>
        <w:rPr>
          <w:rFonts w:hint="eastAsia" w:ascii="宋体" w:hAnsi="宋体" w:cs="宋体"/>
          <w:b/>
          <w:bCs/>
          <w:color w:val="auto"/>
          <w:kern w:val="44"/>
          <w:sz w:val="21"/>
          <w:szCs w:val="21"/>
          <w:lang w:eastAsia="zh-CN"/>
        </w:rPr>
        <w:t>扎根服务地方美丽乡村建设。</w:t>
      </w:r>
      <w:r>
        <w:rPr>
          <w:rFonts w:hint="eastAsia" w:ascii="宋体" w:hAnsi="宋体" w:cs="宋体"/>
          <w:b w:val="0"/>
          <w:bCs w:val="0"/>
          <w:color w:val="auto"/>
          <w:kern w:val="44"/>
          <w:sz w:val="21"/>
          <w:szCs w:val="21"/>
          <w:lang w:val="en-US" w:eastAsia="zh-CN"/>
        </w:rPr>
        <w:t>乡村振兴离不开人才支撑。在美丽乡村建设工作中，职业教育肩负着重任。为了更好服务于地方经济发展，杭州市中职学校因地制宜，依托当地区域特色，融合地方文化，立足当地，注重实践，师生走进乡村，立好项目，扎根服务，探索出了一条服务美丽乡村经济建设之路。</w:t>
      </w:r>
    </w:p>
    <w:p>
      <w:pPr>
        <w:keepNext w:val="0"/>
        <w:keepLines w:val="0"/>
        <w:wordWrap/>
        <w:adjustRightInd/>
        <w:snapToGrid/>
        <w:spacing w:before="157" w:beforeLines="50" w:afterLines="0" w:line="360" w:lineRule="auto"/>
        <w:ind w:firstLine="421" w:firstLineChars="200"/>
        <w:textAlignment w:val="auto"/>
        <w:outlineLvl w:val="9"/>
        <w:rPr>
          <w:rFonts w:hint="eastAsia" w:ascii="楷体_GB2312" w:hAnsi="楷体_GB2312" w:eastAsia="楷体_GB2312" w:cs="楷体_GB2312"/>
          <w:b/>
          <w:bCs/>
          <w:color w:val="auto"/>
          <w:kern w:val="44"/>
          <w:sz w:val="21"/>
          <w:szCs w:val="21"/>
          <w:lang w:val="zh-CN" w:eastAsia="zh-CN" w:bidi="ar-SA"/>
        </w:rPr>
      </w:pPr>
      <w:r>
        <w:rPr>
          <w:rFonts w:hint="eastAsia" w:ascii="楷体_GB2312" w:hAnsi="楷体_GB2312" w:eastAsia="楷体_GB2312" w:cs="楷体_GB2312"/>
          <w:b/>
          <w:bCs/>
          <w:color w:val="auto"/>
          <w:kern w:val="44"/>
          <w:sz w:val="21"/>
          <w:szCs w:val="21"/>
          <w:lang w:val="zh-CN" w:eastAsia="zh-CN" w:bidi="ar-SA"/>
        </w:rPr>
        <w:t>【案例</w:t>
      </w:r>
      <w:r>
        <w:rPr>
          <w:rFonts w:hint="eastAsia" w:ascii="楷体_GB2312" w:hAnsi="楷体_GB2312" w:eastAsia="楷体_GB2312" w:cs="楷体_GB2312"/>
          <w:b/>
          <w:bCs/>
          <w:color w:val="auto"/>
          <w:kern w:val="44"/>
          <w:sz w:val="21"/>
          <w:szCs w:val="21"/>
          <w:lang w:val="en-US" w:eastAsia="zh-CN" w:bidi="ar-SA"/>
        </w:rPr>
        <w:t>5</w:t>
      </w:r>
      <w:r>
        <w:rPr>
          <w:rFonts w:hint="eastAsia" w:ascii="楷体_GB2312" w:hAnsi="楷体_GB2312" w:eastAsia="楷体_GB2312" w:cs="楷体_GB2312"/>
          <w:b/>
          <w:bCs/>
          <w:color w:val="auto"/>
          <w:kern w:val="44"/>
          <w:sz w:val="21"/>
          <w:szCs w:val="21"/>
          <w:lang w:val="zh-CN" w:eastAsia="zh-CN" w:bidi="ar-SA"/>
        </w:rPr>
        <w:t>-</w:t>
      </w:r>
      <w:r>
        <w:rPr>
          <w:rFonts w:hint="eastAsia" w:ascii="楷体_GB2312" w:hAnsi="楷体_GB2312" w:eastAsia="楷体_GB2312" w:cs="楷体_GB2312"/>
          <w:b/>
          <w:bCs/>
          <w:color w:val="auto"/>
          <w:kern w:val="44"/>
          <w:sz w:val="21"/>
          <w:szCs w:val="21"/>
          <w:lang w:val="en-US" w:eastAsia="zh-CN" w:bidi="ar-SA"/>
        </w:rPr>
        <w:t>8</w:t>
      </w:r>
      <w:r>
        <w:rPr>
          <w:rFonts w:hint="eastAsia" w:ascii="楷体_GB2312" w:hAnsi="楷体_GB2312" w:eastAsia="楷体_GB2312" w:cs="楷体_GB2312"/>
          <w:b/>
          <w:bCs/>
          <w:color w:val="auto"/>
          <w:kern w:val="44"/>
          <w:sz w:val="21"/>
          <w:szCs w:val="21"/>
          <w:lang w:val="zh-CN" w:eastAsia="zh-CN" w:bidi="ar-SA"/>
        </w:rPr>
        <w:t>】四链合一：工美专业服务新农村产教融合的新样式</w:t>
      </w:r>
    </w:p>
    <w:p>
      <w:pPr>
        <w:keepNext w:val="0"/>
        <w:keepLines w:val="0"/>
        <w:wordWrap/>
        <w:spacing w:before="0" w:beforeLines="0" w:after="0" w:afterLines="0" w:line="360" w:lineRule="auto"/>
        <w:ind w:left="0" w:right="0" w:firstLine="420" w:firstLineChars="200"/>
        <w:textAlignment w:val="auto"/>
        <w:outlineLvl w:val="9"/>
        <w:rPr>
          <w:rFonts w:hint="eastAsia" w:ascii="仿宋_GB2312" w:hAnsi="仿宋_GB2312" w:eastAsia="仿宋_GB2312" w:cs="仿宋_GB2312"/>
          <w:b w:val="0"/>
          <w:bCs w:val="0"/>
          <w:kern w:val="0"/>
          <w:sz w:val="21"/>
          <w:szCs w:val="21"/>
          <w:lang w:val="en-US" w:eastAsia="zh-CN" w:bidi="ar-SA"/>
        </w:rPr>
      </w:pPr>
      <w:r>
        <w:rPr>
          <w:rFonts w:hint="eastAsia" w:ascii="仿宋_GB2312" w:hAnsi="仿宋_GB2312" w:eastAsia="仿宋_GB2312" w:cs="仿宋_GB2312"/>
          <w:b w:val="0"/>
          <w:bCs w:val="0"/>
          <w:kern w:val="0"/>
          <w:sz w:val="21"/>
          <w:szCs w:val="21"/>
          <w:lang w:val="en-US" w:eastAsia="zh-CN" w:bidi="ar-SA"/>
        </w:rPr>
        <w:t>杭州市工美大组以提升职教对于社会的贡献率为总目标，开展“服务新农村”深化产教融合的研究与实践。针对区域学校承接“新农村”服务项目各自为阵，专业教学环境和学习场所单一封闭，专业教学重结果轻反馈这三个主要问题，以“新农村”为载体，“产教融合”为手段，“四链合一”为目的，尝试建构“4维4室”工美专业“服务新农村”创新组织体系，开发“文化链+产业链”的服务新农村项目载体，设计“实施流程+运行机制”的项目实施路径，重塑“产品化展示”教学评价机制，着力培养师生振兴乡村的意识，提升师生专业素养和专精能力，形成案例集和系列实践性强的特色课程，提升产教融合的课程建设能力和教学水准。此项实践研究创造性地促进文化产业链、创新链与教育链、人才链四链合一。探索了新的产教融合机制，将产教项目转向与农村、城镇街道、综合经济体合作的普适性项目，由此契合中职学生整体性参与，让产教融合生根立足。</w:t>
      </w:r>
    </w:p>
    <w:p>
      <w:pPr>
        <w:keepNext w:val="0"/>
        <w:keepLines w:val="0"/>
        <w:wordWrap/>
        <w:adjustRightInd/>
        <w:snapToGrid/>
        <w:spacing w:before="157" w:beforeLines="50" w:afterLines="0" w:line="360" w:lineRule="auto"/>
        <w:ind w:firstLine="421" w:firstLineChars="200"/>
        <w:textAlignment w:val="auto"/>
        <w:outlineLvl w:val="9"/>
        <w:rPr>
          <w:rFonts w:hint="eastAsia" w:ascii="楷体_GB2312" w:hAnsi="楷体_GB2312" w:eastAsia="楷体_GB2312" w:cs="楷体_GB2312"/>
          <w:b/>
          <w:bCs/>
          <w:color w:val="auto"/>
          <w:kern w:val="44"/>
          <w:sz w:val="21"/>
          <w:szCs w:val="21"/>
          <w:lang w:val="zh-CN" w:eastAsia="zh-CN" w:bidi="ar-SA"/>
        </w:rPr>
      </w:pPr>
      <w:r>
        <w:rPr>
          <w:rFonts w:hint="eastAsia" w:ascii="楷体_GB2312" w:hAnsi="楷体_GB2312" w:eastAsia="楷体_GB2312" w:cs="楷体_GB2312"/>
          <w:b/>
          <w:bCs/>
          <w:color w:val="auto"/>
          <w:kern w:val="44"/>
          <w:sz w:val="21"/>
          <w:szCs w:val="21"/>
          <w:lang w:val="zh-CN" w:eastAsia="zh-CN" w:bidi="ar-SA"/>
        </w:rPr>
        <w:t>【案例</w:t>
      </w:r>
      <w:r>
        <w:rPr>
          <w:rFonts w:hint="eastAsia" w:ascii="楷体_GB2312" w:hAnsi="楷体_GB2312" w:eastAsia="楷体_GB2312" w:cs="楷体_GB2312"/>
          <w:b/>
          <w:bCs/>
          <w:color w:val="auto"/>
          <w:kern w:val="44"/>
          <w:sz w:val="21"/>
          <w:szCs w:val="21"/>
          <w:lang w:val="en-US" w:eastAsia="zh-CN" w:bidi="ar-SA"/>
        </w:rPr>
        <w:t>5</w:t>
      </w:r>
      <w:r>
        <w:rPr>
          <w:rFonts w:hint="eastAsia" w:ascii="楷体_GB2312" w:hAnsi="楷体_GB2312" w:eastAsia="楷体_GB2312" w:cs="楷体_GB2312"/>
          <w:b/>
          <w:bCs/>
          <w:color w:val="auto"/>
          <w:kern w:val="44"/>
          <w:sz w:val="21"/>
          <w:szCs w:val="21"/>
          <w:lang w:val="zh-CN" w:eastAsia="zh-CN" w:bidi="ar-SA"/>
        </w:rPr>
        <w:t>-</w:t>
      </w:r>
      <w:r>
        <w:rPr>
          <w:rFonts w:hint="eastAsia" w:ascii="楷体_GB2312" w:hAnsi="楷体_GB2312" w:eastAsia="楷体_GB2312" w:cs="楷体_GB2312"/>
          <w:b/>
          <w:bCs/>
          <w:color w:val="auto"/>
          <w:kern w:val="44"/>
          <w:sz w:val="21"/>
          <w:szCs w:val="21"/>
          <w:lang w:val="en-US" w:eastAsia="zh-CN" w:bidi="ar-SA"/>
        </w:rPr>
        <w:t>9</w:t>
      </w:r>
      <w:r>
        <w:rPr>
          <w:rFonts w:hint="eastAsia" w:ascii="楷体_GB2312" w:hAnsi="楷体_GB2312" w:eastAsia="楷体_GB2312" w:cs="楷体_GB2312"/>
          <w:b/>
          <w:bCs/>
          <w:color w:val="auto"/>
          <w:kern w:val="44"/>
          <w:sz w:val="21"/>
          <w:szCs w:val="21"/>
          <w:lang w:val="zh-CN" w:eastAsia="zh-CN" w:bidi="ar-SA"/>
        </w:rPr>
        <w:t>】杭州市良渚职业高级中学“时间旅行吧”</w:t>
      </w:r>
    </w:p>
    <w:p>
      <w:pPr>
        <w:keepNext w:val="0"/>
        <w:keepLines w:val="0"/>
        <w:wordWrap/>
        <w:adjustRightInd/>
        <w:snapToGrid/>
        <w:spacing w:beforeLines="0" w:afterLines="0" w:line="360" w:lineRule="auto"/>
        <w:ind w:firstLine="420" w:firstLineChars="200"/>
        <w:textAlignment w:val="auto"/>
        <w:outlineLvl w:val="9"/>
        <w:rPr>
          <w:rFonts w:hint="eastAsia" w:ascii="仿宋_GB2312" w:hAnsi="仿宋_GB2312" w:eastAsia="仿宋_GB2312" w:cs="仿宋_GB2312"/>
          <w:b w:val="0"/>
          <w:bCs w:val="0"/>
          <w:kern w:val="0"/>
          <w:sz w:val="21"/>
          <w:szCs w:val="21"/>
          <w:lang w:val="zh-CN" w:eastAsia="zh-CN" w:bidi="ar-SA"/>
        </w:rPr>
      </w:pPr>
      <w:r>
        <w:rPr>
          <w:rFonts w:hint="eastAsia" w:ascii="仿宋_GB2312" w:hAnsi="仿宋_GB2312" w:eastAsia="仿宋_GB2312" w:cs="仿宋_GB2312"/>
          <w:b w:val="0"/>
          <w:bCs w:val="0"/>
          <w:kern w:val="0"/>
          <w:sz w:val="21"/>
          <w:szCs w:val="21"/>
          <w:lang w:val="zh-CN" w:eastAsia="zh-CN" w:bidi="ar-SA"/>
        </w:rPr>
        <w:t>杭州市良渚职业高级中学坐落在5000年中华文明实证地，依托得天独厚的文化资源，创设了“时间旅行吧”，将地方文化融入职业教育，让职业教育振兴地方文化。作为传承传播创新地方文化的组织，“时间旅行吧”旨在引导学生实现时间穿越——回到过去，唤醒传统记忆；立足现在，发掘本土文化；走进未来，力行转化文化成果。它依托三层建构，打造了时间旅行联盟。学校负责梳理协调各方关系，推进实践，管理过程。企业、民间组织负责支持地方文化的挖掘、整理、物化、创新。政府负责文化资源供给和规划。基于四大阵地，构建了时间旅行载体。课程阵地包括自研课程和外引课程。活动阵地为“采风体验”“田间实践”等文化传承活动，“展演、竞赛”等文化传播活动，“菜品开发”“创意文创”等文化研创活动。网络阵地包括各类精品网络课程资源库。空间阵地包括各种文化长廊和展室。注重三线并进，擘画时间旅行地图。三线为基于传承的联动课堂、基于传播的活动推广、基于创新的产品研发。同时通过两种改制，加强时间旅行保障。社团服务制和时间豆积分制保证学生全员、全程参与地方文化振兴活动。以“唤醒—发掘—力行”为核心的时间旅行吧打造了中职助力地方文化振兴的新样态。</w:t>
      </w:r>
    </w:p>
    <w:p>
      <w:pPr>
        <w:pStyle w:val="3"/>
        <w:keepNext w:val="0"/>
        <w:keepLines w:val="0"/>
        <w:wordWrap/>
        <w:adjustRightInd/>
        <w:snapToGrid/>
        <w:spacing w:before="157" w:beforeLines="50" w:after="0" w:afterLines="0" w:line="360" w:lineRule="auto"/>
        <w:ind w:firstLine="450" w:firstLineChars="150"/>
        <w:textAlignment w:val="auto"/>
        <w:outlineLvl w:val="9"/>
        <w:rPr>
          <w:rFonts w:hint="eastAsia" w:ascii="仿宋_GB2312" w:hAnsi="仿宋_GB2312" w:eastAsia="仿宋_GB2312" w:cs="仿宋_GB2312"/>
          <w:b w:val="0"/>
          <w:bCs w:val="0"/>
          <w:kern w:val="0"/>
          <w:sz w:val="21"/>
          <w:szCs w:val="21"/>
          <w:lang w:val="zh-CN" w:eastAsia="zh-CN" w:bidi="ar-SA"/>
        </w:rPr>
      </w:pPr>
      <w:r>
        <w:rPr>
          <w:rFonts w:hint="eastAsia" w:ascii="黑体" w:hAnsi="黑体" w:eastAsia="黑体" w:cs="黑体"/>
          <w:b w:val="0"/>
          <w:bCs w:val="0"/>
          <w:sz w:val="30"/>
          <w:szCs w:val="30"/>
        </w:rPr>
        <w:t>5.</w:t>
      </w:r>
      <w:r>
        <w:rPr>
          <w:rFonts w:hint="eastAsia" w:ascii="黑体" w:hAnsi="黑体" w:eastAsia="黑体" w:cs="黑体"/>
          <w:b w:val="0"/>
          <w:bCs w:val="0"/>
          <w:sz w:val="30"/>
          <w:szCs w:val="30"/>
          <w:lang w:val="en-US" w:eastAsia="zh-CN"/>
        </w:rPr>
        <w:t>4</w:t>
      </w:r>
      <w:r>
        <w:rPr>
          <w:rFonts w:hint="eastAsia" w:ascii="黑体" w:hAnsi="黑体" w:eastAsia="黑体" w:cs="黑体"/>
          <w:b w:val="0"/>
          <w:bCs w:val="0"/>
          <w:sz w:val="30"/>
          <w:szCs w:val="30"/>
        </w:rPr>
        <w:t xml:space="preserve"> </w:t>
      </w:r>
      <w:r>
        <w:rPr>
          <w:rFonts w:hint="eastAsia" w:ascii="黑体" w:hAnsi="黑体" w:eastAsia="黑体" w:cs="黑体"/>
          <w:b w:val="0"/>
          <w:bCs w:val="0"/>
          <w:sz w:val="30"/>
          <w:szCs w:val="30"/>
          <w:lang w:eastAsia="zh-CN"/>
        </w:rPr>
        <w:t>服务抗疫</w:t>
      </w:r>
    </w:p>
    <w:p>
      <w:pPr>
        <w:keepNext w:val="0"/>
        <w:keepLines w:val="0"/>
        <w:wordWrap/>
        <w:adjustRightInd/>
        <w:snapToGrid/>
        <w:spacing w:before="0" w:beforeLines="0" w:afterLines="0" w:line="360" w:lineRule="auto"/>
        <w:ind w:firstLine="421" w:firstLineChars="200"/>
        <w:textAlignment w:val="auto"/>
        <w:outlineLvl w:val="9"/>
        <w:rPr>
          <w:rFonts w:hint="eastAsia" w:ascii="宋体" w:hAnsi="宋体" w:eastAsia="宋体" w:cs="宋体"/>
          <w:b w:val="0"/>
          <w:bCs w:val="0"/>
          <w:kern w:val="0"/>
          <w:sz w:val="21"/>
          <w:szCs w:val="21"/>
          <w:lang w:val="en-US" w:eastAsia="zh-CN" w:bidi="ar-SA"/>
        </w:rPr>
      </w:pPr>
      <w:r>
        <w:rPr>
          <w:rFonts w:hint="eastAsia" w:ascii="宋体" w:hAnsi="宋体" w:eastAsia="宋体" w:cs="宋体"/>
          <w:b/>
          <w:bCs/>
          <w:kern w:val="0"/>
          <w:sz w:val="21"/>
          <w:szCs w:val="21"/>
          <w:lang w:val="zh-CN" w:eastAsia="zh-CN" w:bidi="ar-SA"/>
        </w:rPr>
        <w:t>服务抗疫战线，展现职教担当。</w:t>
      </w:r>
      <w:r>
        <w:rPr>
          <w:rFonts w:hint="eastAsia" w:ascii="宋体" w:hAnsi="宋体" w:eastAsia="宋体" w:cs="宋体"/>
          <w:b w:val="0"/>
          <w:bCs w:val="0"/>
          <w:kern w:val="0"/>
          <w:sz w:val="21"/>
          <w:szCs w:val="21"/>
          <w:lang w:val="zh-CN" w:eastAsia="zh-CN" w:bidi="ar-SA"/>
        </w:rPr>
        <w:t>停课不停学：成为职教打赢战“疫”坚定的支持者、参与者、奉献者。为了助力抗击疫情，认真贯彻落实教育部“停课不停学”的要求，杭州职教教研团队依托各大电视平台推出中职“共享课堂”，集结职教名师、教坛新秀、教学新锐等精心制作微课，为杭州市全体中等职业学校学生免费提供选修课程菜单。在“停课不停学”期间，共携手31所杭州中职校的261位</w:t>
      </w:r>
      <w:r>
        <w:rPr>
          <w:rFonts w:hint="eastAsia" w:ascii="宋体" w:hAnsi="宋体" w:cs="宋体"/>
          <w:b w:val="0"/>
          <w:bCs w:val="0"/>
          <w:kern w:val="0"/>
          <w:sz w:val="21"/>
          <w:szCs w:val="21"/>
          <w:lang w:val="zh-CN" w:eastAsia="zh-CN" w:bidi="ar-SA"/>
        </w:rPr>
        <w:t>教</w:t>
      </w:r>
      <w:r>
        <w:rPr>
          <w:rFonts w:hint="eastAsia" w:ascii="宋体" w:hAnsi="宋体" w:eastAsia="宋体" w:cs="宋体"/>
          <w:b w:val="0"/>
          <w:bCs w:val="0"/>
          <w:kern w:val="0"/>
          <w:sz w:val="21"/>
          <w:szCs w:val="21"/>
          <w:lang w:val="zh-CN" w:eastAsia="zh-CN" w:bidi="ar-SA"/>
        </w:rPr>
        <w:t>师，研发上线了10个学周、332节共享课堂，为全市中职生提供了一份网上知识技能盛宴。停课不停研：成为我市学校线上教学的指导者、研究者、合作者</w:t>
      </w:r>
      <w:r>
        <w:rPr>
          <w:rFonts w:hint="eastAsia" w:ascii="宋体" w:hAnsi="宋体" w:cs="宋体"/>
          <w:b w:val="0"/>
          <w:bCs w:val="0"/>
          <w:kern w:val="0"/>
          <w:sz w:val="21"/>
          <w:szCs w:val="21"/>
          <w:lang w:val="zh-CN" w:eastAsia="zh-CN" w:bidi="ar-SA"/>
        </w:rPr>
        <w:t>。</w:t>
      </w:r>
      <w:r>
        <w:rPr>
          <w:rFonts w:hint="eastAsia" w:ascii="宋体" w:hAnsi="宋体" w:eastAsia="宋体" w:cs="宋体"/>
          <w:b w:val="0"/>
          <w:bCs w:val="0"/>
          <w:kern w:val="0"/>
          <w:sz w:val="21"/>
          <w:szCs w:val="21"/>
          <w:lang w:val="zh-CN" w:eastAsia="zh-CN" w:bidi="ar-SA"/>
        </w:rPr>
        <w:t>根据教育局落实严防疫情的相关部署，坚持立德树人为根本，切实做好我市中等职业学校网上教学的教研指导工作。</w:t>
      </w:r>
      <w:r>
        <w:rPr>
          <w:rFonts w:hint="eastAsia" w:ascii="宋体" w:hAnsi="宋体" w:eastAsia="宋体" w:cs="宋体"/>
          <w:i w:val="0"/>
          <w:caps w:val="0"/>
          <w:color w:val="000000"/>
          <w:spacing w:val="0"/>
          <w:kern w:val="0"/>
          <w:sz w:val="21"/>
          <w:szCs w:val="21"/>
          <w:lang w:val="en-US" w:eastAsia="zh-CN" w:bidi="ar"/>
        </w:rPr>
        <w:t>深入贯彻落实党中央疫情防控工作的决策部署，发挥广大企业和职工在疫情防控中的重要作用，职业学校全力支持企业复工复产。</w:t>
      </w:r>
      <w:r>
        <w:rPr>
          <w:rFonts w:hint="eastAsia" w:ascii="宋体" w:hAnsi="宋体" w:eastAsia="宋体" w:cs="宋体"/>
          <w:b w:val="0"/>
          <w:bCs w:val="0"/>
          <w:kern w:val="0"/>
          <w:sz w:val="21"/>
          <w:szCs w:val="21"/>
          <w:lang w:val="en-US" w:eastAsia="zh-CN" w:bidi="ar-SA"/>
        </w:rPr>
        <w:t>2020年4月底，杭州</w:t>
      </w:r>
      <w:r>
        <w:rPr>
          <w:rFonts w:hint="eastAsia" w:ascii="宋体" w:hAnsi="宋体" w:cs="宋体"/>
          <w:b w:val="0"/>
          <w:bCs w:val="0"/>
          <w:kern w:val="0"/>
          <w:sz w:val="21"/>
          <w:szCs w:val="21"/>
          <w:lang w:val="en-US" w:eastAsia="zh-CN" w:bidi="ar-SA"/>
        </w:rPr>
        <w:t>参与</w:t>
      </w:r>
      <w:r>
        <w:rPr>
          <w:rFonts w:hint="eastAsia" w:ascii="宋体" w:hAnsi="宋体" w:eastAsia="宋体" w:cs="宋体"/>
          <w:b w:val="0"/>
          <w:bCs w:val="0"/>
          <w:kern w:val="0"/>
          <w:sz w:val="21"/>
          <w:szCs w:val="21"/>
          <w:lang w:val="en-US" w:eastAsia="zh-CN" w:bidi="ar-SA"/>
        </w:rPr>
        <w:t>支持企业复工复产的中职学校39所，参与顶岗实习学生5111名，服务企业1051家。</w:t>
      </w:r>
    </w:p>
    <w:p>
      <w:pPr>
        <w:keepNext/>
        <w:keepLines/>
        <w:wordWrap/>
        <w:adjustRightInd/>
        <w:snapToGrid/>
        <w:spacing w:before="157" w:beforeLines="50" w:afterLines="0" w:line="360" w:lineRule="auto"/>
        <w:ind w:firstLine="421" w:firstLineChars="200"/>
        <w:textAlignment w:val="auto"/>
        <w:outlineLvl w:val="1"/>
        <w:rPr>
          <w:rFonts w:hint="eastAsia" w:ascii="楷体_GB2312" w:hAnsi="楷体_GB2312" w:eastAsia="楷体_GB2312" w:cs="楷体_GB2312"/>
          <w:b/>
          <w:bCs/>
          <w:color w:val="auto"/>
          <w:kern w:val="44"/>
          <w:sz w:val="21"/>
          <w:szCs w:val="21"/>
          <w:lang w:val="zh-CN" w:eastAsia="zh-CN" w:bidi="ar-SA"/>
        </w:rPr>
      </w:pPr>
      <w:r>
        <w:rPr>
          <w:rFonts w:hint="eastAsia" w:ascii="楷体_GB2312" w:hAnsi="楷体_GB2312" w:eastAsia="楷体_GB2312" w:cs="楷体_GB2312"/>
          <w:b/>
          <w:bCs/>
          <w:color w:val="auto"/>
          <w:kern w:val="44"/>
          <w:sz w:val="21"/>
          <w:szCs w:val="21"/>
          <w:lang w:val="zh-CN" w:eastAsia="zh-CN" w:bidi="ar-SA"/>
        </w:rPr>
        <w:t>【案例</w:t>
      </w:r>
      <w:r>
        <w:rPr>
          <w:rFonts w:hint="eastAsia" w:ascii="楷体_GB2312" w:hAnsi="楷体_GB2312" w:eastAsia="楷体_GB2312" w:cs="楷体_GB2312"/>
          <w:b/>
          <w:bCs/>
          <w:color w:val="auto"/>
          <w:kern w:val="44"/>
          <w:sz w:val="21"/>
          <w:szCs w:val="21"/>
          <w:lang w:val="en-US" w:eastAsia="zh-CN" w:bidi="ar-SA"/>
        </w:rPr>
        <w:t>5</w:t>
      </w:r>
      <w:r>
        <w:rPr>
          <w:rFonts w:hint="eastAsia" w:ascii="楷体_GB2312" w:hAnsi="楷体_GB2312" w:eastAsia="楷体_GB2312" w:cs="楷体_GB2312"/>
          <w:b/>
          <w:bCs/>
          <w:color w:val="auto"/>
          <w:kern w:val="44"/>
          <w:sz w:val="21"/>
          <w:szCs w:val="21"/>
          <w:lang w:val="zh-CN" w:eastAsia="zh-CN" w:bidi="ar-SA"/>
        </w:rPr>
        <w:t>-</w:t>
      </w:r>
      <w:r>
        <w:rPr>
          <w:rFonts w:hint="eastAsia" w:ascii="楷体_GB2312" w:hAnsi="楷体_GB2312" w:eastAsia="楷体_GB2312" w:cs="楷体_GB2312"/>
          <w:b/>
          <w:bCs/>
          <w:color w:val="auto"/>
          <w:kern w:val="44"/>
          <w:sz w:val="21"/>
          <w:szCs w:val="21"/>
          <w:lang w:val="en-US" w:eastAsia="zh-CN" w:bidi="ar-SA"/>
        </w:rPr>
        <w:t>10</w:t>
      </w:r>
      <w:r>
        <w:rPr>
          <w:rFonts w:hint="eastAsia" w:ascii="楷体_GB2312" w:hAnsi="楷体_GB2312" w:eastAsia="楷体_GB2312" w:cs="楷体_GB2312"/>
          <w:b/>
          <w:bCs/>
          <w:color w:val="auto"/>
          <w:kern w:val="44"/>
          <w:sz w:val="21"/>
          <w:szCs w:val="21"/>
          <w:lang w:val="zh-CN" w:eastAsia="zh-CN" w:bidi="ar-SA"/>
        </w:rPr>
        <w:t>】千</w:t>
      </w:r>
      <w:r>
        <w:rPr>
          <w:rFonts w:hint="eastAsia" w:ascii="楷体_GB2312" w:hAnsi="楷体_GB2312" w:eastAsia="楷体_GB2312" w:cs="楷体_GB2312"/>
          <w:b/>
          <w:bCs/>
          <w:sz w:val="21"/>
          <w:szCs w:val="21"/>
        </w:rPr>
        <w:t>岛湖中等职业学校</w:t>
      </w:r>
      <w:r>
        <w:rPr>
          <w:rFonts w:hint="eastAsia" w:ascii="楷体_GB2312" w:hAnsi="楷体_GB2312" w:eastAsia="楷体_GB2312" w:cs="楷体_GB2312"/>
          <w:b/>
          <w:bCs/>
          <w:sz w:val="21"/>
          <w:szCs w:val="21"/>
          <w:lang w:eastAsia="zh-CN"/>
        </w:rPr>
        <w:t>助力企业复工复产</w:t>
      </w:r>
    </w:p>
    <w:p>
      <w:pPr>
        <w:spacing w:line="360" w:lineRule="auto"/>
        <w:ind w:firstLine="420"/>
        <w:rPr>
          <w:rFonts w:hint="eastAsia"/>
          <w:sz w:val="21"/>
          <w:szCs w:val="21"/>
        </w:rPr>
      </w:pPr>
      <w:r>
        <w:rPr>
          <w:rFonts w:hint="eastAsia" w:ascii="仿宋_GB2312" w:hAnsi="仿宋_GB2312" w:eastAsia="仿宋_GB2312" w:cs="仿宋_GB2312"/>
          <w:sz w:val="21"/>
          <w:szCs w:val="21"/>
        </w:rPr>
        <w:t>受疫情影响，海德世拉索公司杭州大江东产业园复工</w:t>
      </w:r>
      <w:r>
        <w:rPr>
          <w:rFonts w:hint="eastAsia" w:ascii="仿宋_GB2312" w:hAnsi="仿宋_GB2312" w:eastAsia="仿宋_GB2312" w:cs="仿宋_GB2312"/>
          <w:sz w:val="21"/>
          <w:szCs w:val="21"/>
          <w:lang w:eastAsia="zh-CN"/>
        </w:rPr>
        <w:t>时间一再推迟</w:t>
      </w:r>
      <w:r>
        <w:rPr>
          <w:rFonts w:hint="eastAsia" w:ascii="仿宋_GB2312" w:hAnsi="仿宋_GB2312" w:eastAsia="仿宋_GB2312" w:cs="仿宋_GB2312"/>
          <w:sz w:val="21"/>
          <w:szCs w:val="21"/>
        </w:rPr>
        <w:t>，公司生产的汽车控制拉索、玻璃升降器、电动后背门开闭系统、门模板、电动邮箱盖系统等产品，主要为长安福特、长安马自达、上海通用、上海大众等华东地区汽车主机厂配套供应，用工量比较大，用工缺口一直困扰着公司。3月初，海德世向学校提出了</w:t>
      </w:r>
      <w:r>
        <w:rPr>
          <w:rFonts w:hint="eastAsia" w:ascii="仿宋_GB2312" w:hAnsi="仿宋_GB2312" w:eastAsia="仿宋_GB2312" w:cs="仿宋_GB2312"/>
          <w:sz w:val="21"/>
          <w:szCs w:val="21"/>
          <w:lang w:eastAsia="zh-CN"/>
        </w:rPr>
        <w:t>实习生返岗需求</w:t>
      </w:r>
      <w:r>
        <w:rPr>
          <w:rFonts w:hint="eastAsia" w:ascii="仿宋_GB2312" w:hAnsi="仿宋_GB2312" w:eastAsia="仿宋_GB2312" w:cs="仿宋_GB2312"/>
          <w:sz w:val="21"/>
          <w:szCs w:val="21"/>
        </w:rPr>
        <w:t>申请。但是，实习生有无返岗意愿？家长是否支持？途中安全如何保障？复工后日常疫情防控措施怎样制定？一道道难题，事无巨细都要完美解决，才能真正安全、有序地复工。学校和企业不断沟通调整多个方案，返岗路线和交通工具多次修改；疫情应急预案几易其稿，终于在4月13日达成共识，4月15日二十多名防护到位的实习生在学校专人陪同、专车护送下到达了海德世。公司早已备好防护用品，员工宿舍、就餐的食堂等全部已按照校企双方商讨好的方案改造到位。员工终于就位了，企业的用工荒等来了学校的这场及时雨。</w:t>
      </w:r>
    </w:p>
    <w:p>
      <w:pPr>
        <w:keepNext/>
        <w:keepLines/>
        <w:numPr>
          <w:ilvl w:val="-1"/>
          <w:numId w:val="0"/>
        </w:numPr>
        <w:spacing w:before="157" w:beforeLines="50" w:afterLines="0" w:line="360" w:lineRule="auto"/>
        <w:ind w:firstLine="421" w:firstLineChars="200"/>
        <w:jc w:val="left"/>
        <w:outlineLvl w:val="1"/>
        <w:rPr>
          <w:rFonts w:hint="eastAsia" w:ascii="楷体_GB2312" w:hAnsi="楷体_GB2312" w:eastAsia="楷体_GB2312" w:cs="楷体_GB2312"/>
          <w:b/>
          <w:bCs/>
          <w:sz w:val="21"/>
          <w:szCs w:val="21"/>
          <w:lang w:val="en-US" w:eastAsia="zh-CN"/>
        </w:rPr>
      </w:pPr>
      <w:r>
        <w:rPr>
          <w:rFonts w:hint="eastAsia" w:ascii="楷体_GB2312" w:hAnsi="楷体_GB2312" w:eastAsia="楷体_GB2312" w:cs="楷体_GB2312"/>
          <w:b/>
          <w:bCs/>
          <w:color w:val="auto"/>
          <w:kern w:val="44"/>
          <w:sz w:val="21"/>
          <w:szCs w:val="21"/>
          <w:lang w:val="zh-CN" w:eastAsia="zh-CN" w:bidi="ar-SA"/>
        </w:rPr>
        <w:t>【案例</w:t>
      </w:r>
      <w:r>
        <w:rPr>
          <w:rFonts w:hint="eastAsia" w:ascii="楷体_GB2312" w:hAnsi="楷体_GB2312" w:eastAsia="楷体_GB2312" w:cs="楷体_GB2312"/>
          <w:b/>
          <w:bCs/>
          <w:color w:val="auto"/>
          <w:kern w:val="44"/>
          <w:sz w:val="21"/>
          <w:szCs w:val="21"/>
          <w:lang w:val="en-US" w:eastAsia="zh-CN" w:bidi="ar-SA"/>
        </w:rPr>
        <w:t>5</w:t>
      </w:r>
      <w:r>
        <w:rPr>
          <w:rFonts w:hint="eastAsia" w:ascii="楷体_GB2312" w:hAnsi="楷体_GB2312" w:eastAsia="楷体_GB2312" w:cs="楷体_GB2312"/>
          <w:b/>
          <w:bCs/>
          <w:color w:val="auto"/>
          <w:kern w:val="44"/>
          <w:sz w:val="21"/>
          <w:szCs w:val="21"/>
          <w:lang w:val="zh-CN" w:eastAsia="zh-CN" w:bidi="ar-SA"/>
        </w:rPr>
        <w:t>-</w:t>
      </w:r>
      <w:r>
        <w:rPr>
          <w:rFonts w:hint="eastAsia" w:ascii="楷体_GB2312" w:hAnsi="楷体_GB2312" w:eastAsia="楷体_GB2312" w:cs="楷体_GB2312"/>
          <w:b/>
          <w:bCs/>
          <w:color w:val="auto"/>
          <w:kern w:val="44"/>
          <w:sz w:val="21"/>
          <w:szCs w:val="21"/>
          <w:lang w:val="en-US" w:eastAsia="zh-CN" w:bidi="ar-SA"/>
        </w:rPr>
        <w:t>11</w:t>
      </w:r>
      <w:r>
        <w:rPr>
          <w:rFonts w:hint="eastAsia" w:ascii="楷体_GB2312" w:hAnsi="楷体_GB2312" w:eastAsia="楷体_GB2312" w:cs="楷体_GB2312"/>
          <w:b/>
          <w:bCs/>
          <w:color w:val="auto"/>
          <w:kern w:val="44"/>
          <w:sz w:val="21"/>
          <w:szCs w:val="21"/>
          <w:lang w:val="zh-CN" w:eastAsia="zh-CN" w:bidi="ar-SA"/>
        </w:rPr>
        <w:t>】拱墅区职业高级中学</w:t>
      </w:r>
      <w:r>
        <w:rPr>
          <w:rFonts w:hint="eastAsia" w:ascii="楷体_GB2312" w:hAnsi="楷体_GB2312" w:eastAsia="楷体_GB2312" w:cs="楷体_GB2312"/>
          <w:b/>
          <w:bCs/>
          <w:sz w:val="21"/>
          <w:szCs w:val="21"/>
          <w:lang w:val="en-US" w:eastAsia="zh-CN"/>
        </w:rPr>
        <w:t>技能抗疫，挺身而出显担当</w:t>
      </w:r>
    </w:p>
    <w:p>
      <w:pPr>
        <w:numPr>
          <w:ilvl w:val="0"/>
          <w:numId w:val="0"/>
        </w:numPr>
        <w:wordWrap/>
        <w:spacing w:before="0" w:after="0" w:line="360" w:lineRule="auto"/>
        <w:ind w:left="0" w:right="0" w:firstLine="420" w:firstLineChars="200"/>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一场突如其来的疫情，打乱了以美发大师、金牌教练吉正龙和美发世界冠军石丹为主要成员的拱墅职高冠军志愿者团队的工作安排。疫情稍稍稳定，大家就在吉正龙大师的招呼下，辗转从各自的老家回到了杭州。从2月22日开始，冠军团队的日程表就排得满满的，先后前往基层防疫最吃紧的单位、社区，为奋战在抗疫一线的医务工作者、社工、城管、工商、交警解决“头”等大事。浙一医院之江分院、邵逸夫医院滨江院区、知味观仁和店、下城区王马社区、省高速交警总队、省广电集团、拱宸桥社区卫生服务中心、拱墅区市场监管局、米市巷城管中队等单位数百号职工，在美发志愿者的帮助下，修整了一个多月未曾打理的头发，又容光焕发、精神抖擞地奋战在抗疫工作的最前线了。每天多个单位连轴转，长达近十个小时的站立式服务，疲惫的志愿者们回到宿舍，还要回复其他单位的邀请信息。需要团队服务的地方还有很多，吉大师和队员们都一一记在了自己的手机里，安排好时间，做好了长期优质服务的准备。这段时间，挂在他们嘴边最常说的一句话就是：大家为了疫情防控都在拼命，我们能做好服务就是对他们最大的支持。</w:t>
      </w:r>
    </w:p>
    <w:p>
      <w:pPr>
        <w:numPr>
          <w:ilvl w:val="0"/>
          <w:numId w:val="0"/>
        </w:numPr>
        <w:adjustRightInd/>
        <w:snapToGrid/>
        <w:spacing w:before="313" w:beforeLines="100" w:after="157" w:afterLines="50" w:afterAutospacing="0" w:line="360" w:lineRule="auto"/>
        <w:ind w:firstLine="360" w:firstLineChars="100"/>
        <w:jc w:val="both"/>
        <w:rPr>
          <w:rFonts w:hint="eastAsia" w:ascii="黑体" w:hAnsi="黑体" w:eastAsia="黑体" w:cs="黑体"/>
          <w:color w:val="auto"/>
          <w:sz w:val="36"/>
          <w:szCs w:val="36"/>
        </w:rPr>
      </w:pPr>
      <w:bookmarkStart w:id="153" w:name="_Toc2028943518_WPSOffice_Level1"/>
      <w:bookmarkStart w:id="154" w:name="_Toc34560000"/>
      <w:bookmarkStart w:id="155" w:name="_Toc15357501_WPSOffice_Level1"/>
      <w:bookmarkStart w:id="156" w:name="_Toc1365976392_WPSOffice_Level1"/>
      <w:bookmarkStart w:id="157" w:name="_Toc32840378"/>
      <w:r>
        <w:rPr>
          <w:rFonts w:hint="eastAsia" w:ascii="黑体" w:hAnsi="黑体" w:eastAsia="黑体" w:cs="黑体"/>
          <w:color w:val="auto"/>
          <w:sz w:val="36"/>
          <w:szCs w:val="36"/>
        </w:rPr>
        <w:t>6</w:t>
      </w:r>
      <w:r>
        <w:rPr>
          <w:rFonts w:hint="eastAsia" w:ascii="黑体" w:hAnsi="黑体" w:eastAsia="黑体" w:cs="黑体"/>
          <w:color w:val="auto"/>
          <w:sz w:val="36"/>
          <w:szCs w:val="36"/>
          <w:lang w:eastAsia="zh-CN"/>
        </w:rPr>
        <w:t>.</w:t>
      </w:r>
      <w:r>
        <w:rPr>
          <w:rFonts w:hint="eastAsia" w:ascii="黑体" w:hAnsi="黑体" w:eastAsia="黑体" w:cs="黑体"/>
          <w:color w:val="auto"/>
          <w:sz w:val="36"/>
          <w:szCs w:val="36"/>
        </w:rPr>
        <w:t>政府履责</w:t>
      </w:r>
      <w:bookmarkEnd w:id="153"/>
      <w:bookmarkEnd w:id="154"/>
      <w:bookmarkEnd w:id="155"/>
      <w:bookmarkEnd w:id="156"/>
      <w:bookmarkEnd w:id="157"/>
    </w:p>
    <w:p>
      <w:pPr>
        <w:keepNext w:val="0"/>
        <w:keepLines w:val="0"/>
        <w:numPr>
          <w:ilvl w:val="0"/>
          <w:numId w:val="0"/>
        </w:numPr>
        <w:adjustRightInd/>
        <w:snapToGrid/>
        <w:spacing w:before="157" w:beforeLines="50" w:after="0" w:afterLines="0" w:line="360" w:lineRule="auto"/>
        <w:ind w:firstLine="450" w:firstLineChars="150"/>
        <w:outlineLvl w:val="9"/>
        <w:rPr>
          <w:rFonts w:hint="eastAsia" w:ascii="Times New Roman" w:hAnsi="Times New Roman"/>
          <w:b/>
          <w:bCs/>
          <w:color w:val="auto"/>
          <w:kern w:val="44"/>
          <w:sz w:val="28"/>
          <w:szCs w:val="28"/>
          <w:lang w:val="en-US" w:eastAsia="zh-CN"/>
        </w:rPr>
      </w:pPr>
      <w:bookmarkStart w:id="158" w:name="_Toc535305882"/>
      <w:bookmarkStart w:id="159" w:name="_Toc5440"/>
      <w:bookmarkStart w:id="160" w:name="_Toc1131093752_WPSOffice_Level2"/>
      <w:bookmarkStart w:id="161" w:name="_Toc535416669"/>
      <w:bookmarkStart w:id="162" w:name="_Toc29047032"/>
      <w:bookmarkStart w:id="163" w:name="_Toc45833950_WPSOffice_Level2"/>
      <w:bookmarkStart w:id="164" w:name="_Toc32840381"/>
      <w:bookmarkStart w:id="165" w:name="_Toc34560002"/>
      <w:r>
        <w:rPr>
          <w:rFonts w:hint="eastAsia" w:ascii="黑体" w:hAnsi="黑体" w:eastAsia="黑体" w:cs="黑体"/>
          <w:b w:val="0"/>
          <w:bCs w:val="0"/>
          <w:color w:val="auto"/>
          <w:kern w:val="44"/>
          <w:sz w:val="30"/>
          <w:szCs w:val="30"/>
          <w:lang w:val="en-US" w:eastAsia="zh-CN"/>
        </w:rPr>
        <w:t>6.1</w:t>
      </w:r>
      <w:r>
        <w:rPr>
          <w:rFonts w:hint="eastAsia" w:ascii="黑体" w:hAnsi="黑体" w:eastAsia="黑体" w:cs="黑体"/>
          <w:sz w:val="30"/>
          <w:szCs w:val="30"/>
        </w:rPr>
        <w:t>经费投入</w:t>
      </w:r>
      <w:bookmarkEnd w:id="158"/>
      <w:bookmarkEnd w:id="159"/>
      <w:bookmarkEnd w:id="160"/>
      <w:bookmarkEnd w:id="161"/>
      <w:bookmarkEnd w:id="162"/>
      <w:bookmarkEnd w:id="163"/>
      <w:bookmarkStart w:id="166" w:name="_Toc29047033"/>
      <w:bookmarkStart w:id="167" w:name="_Toc2558"/>
    </w:p>
    <w:p>
      <w:pPr>
        <w:keepNext w:val="0"/>
        <w:keepLines w:val="0"/>
        <w:widowControl w:val="0"/>
        <w:numPr>
          <w:ilvl w:val="0"/>
          <w:numId w:val="0"/>
        </w:numPr>
        <w:wordWrap/>
        <w:adjustRightInd/>
        <w:snapToGrid/>
        <w:spacing w:before="0" w:beforeLines="-2147483648" w:after="0" w:afterLines="-2147483648" w:line="360" w:lineRule="auto"/>
        <w:ind w:left="0" w:leftChars="0" w:right="0" w:firstLine="421" w:firstLineChars="200"/>
        <w:jc w:val="both"/>
        <w:textAlignment w:val="auto"/>
        <w:outlineLvl w:val="9"/>
        <w:rPr>
          <w:rFonts w:hint="eastAsia" w:ascii="仿宋_GB2312" w:hAnsi="仿宋_GB2312" w:eastAsia="仿宋_GB2312" w:cs="仿宋_GB2312"/>
          <w:b w:val="0"/>
          <w:bCs w:val="0"/>
          <w:sz w:val="21"/>
          <w:szCs w:val="21"/>
          <w:lang w:eastAsia="zh-CN"/>
        </w:rPr>
      </w:pPr>
      <w:r>
        <w:rPr>
          <w:rFonts w:hint="eastAsia" w:ascii="宋体" w:hAnsi="宋体" w:eastAsia="宋体" w:cs="宋体"/>
          <w:b/>
          <w:bCs/>
          <w:color w:val="auto"/>
          <w:kern w:val="0"/>
          <w:sz w:val="21"/>
          <w:szCs w:val="21"/>
          <w:lang w:val="en-US" w:eastAsia="zh-CN" w:bidi="ar-SA"/>
        </w:rPr>
        <w:t>加强办学经费投入</w:t>
      </w:r>
      <w:bookmarkEnd w:id="166"/>
      <w:bookmarkEnd w:id="167"/>
      <w:r>
        <w:rPr>
          <w:rFonts w:hint="eastAsia" w:ascii="宋体" w:hAnsi="宋体" w:eastAsia="宋体" w:cs="宋体"/>
          <w:b/>
          <w:bCs/>
          <w:color w:val="auto"/>
          <w:kern w:val="0"/>
          <w:sz w:val="21"/>
          <w:szCs w:val="21"/>
          <w:lang w:val="en-US" w:eastAsia="zh-CN" w:bidi="ar-SA"/>
        </w:rPr>
        <w:t>。</w:t>
      </w:r>
      <w:bookmarkStart w:id="168" w:name="_Toc29047034"/>
      <w:bookmarkStart w:id="169" w:name="_Toc7713"/>
      <w:r>
        <w:rPr>
          <w:rFonts w:hint="eastAsia" w:ascii="宋体" w:hAnsi="宋体" w:eastAsia="宋体" w:cs="宋体"/>
          <w:b w:val="0"/>
          <w:bCs w:val="0"/>
          <w:sz w:val="21"/>
          <w:szCs w:val="21"/>
          <w:lang w:eastAsia="zh-CN"/>
        </w:rPr>
        <w:t>我市职业教育经费列入各级财政预算，并实现逐年提高，职业教育经费投入稳定增长机制进一步加强。认真执行省财政厅、省教育厅提出的职业高中生均专项经费预算标准不低于普通高</w:t>
      </w:r>
      <w:r>
        <w:rPr>
          <w:rFonts w:hint="eastAsia" w:ascii="宋体" w:hAnsi="宋体" w:eastAsia="宋体" w:cs="宋体"/>
          <w:b w:val="0"/>
          <w:bCs w:val="0"/>
          <w:color w:val="auto"/>
          <w:sz w:val="21"/>
          <w:szCs w:val="21"/>
          <w:lang w:eastAsia="zh-CN"/>
        </w:rPr>
        <w:t>中的1.5倍。2019年全市中等职业教育总投入达到33.58亿元，比2018年增长了10.79%，其中财政性教育经费投入32.13亿元，比2018年增长了11.49%。</w:t>
      </w:r>
      <w:r>
        <w:rPr>
          <w:rFonts w:hint="eastAsia" w:ascii="仿宋_GB2312" w:hAnsi="仿宋_GB2312" w:eastAsia="仿宋_GB2312" w:cs="仿宋_GB2312"/>
          <w:b w:val="0"/>
          <w:bCs w:val="0"/>
          <w:sz w:val="21"/>
          <w:szCs w:val="21"/>
          <w:lang w:eastAsia="zh-CN"/>
        </w:rPr>
        <w:t>(数据来源：鉴于2020年财政统计年报尚未完成，目前暂时引用杭州市教育局计财处提供的2018、2019两个年度的数据。)</w:t>
      </w:r>
    </w:p>
    <w:p>
      <w:pPr>
        <w:keepNext w:val="0"/>
        <w:keepLines w:val="0"/>
        <w:widowControl w:val="0"/>
        <w:numPr>
          <w:ilvl w:val="0"/>
          <w:numId w:val="0"/>
        </w:numPr>
        <w:wordWrap/>
        <w:adjustRightInd/>
        <w:snapToGrid/>
        <w:spacing w:before="0" w:beforeLines="0" w:after="0" w:afterLines="0" w:afterAutospacing="0" w:line="360" w:lineRule="auto"/>
        <w:ind w:left="0" w:leftChars="0" w:right="0" w:firstLine="420" w:firstLineChars="200"/>
        <w:jc w:val="both"/>
        <w:textAlignment w:val="auto"/>
        <w:outlineLvl w:val="9"/>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2020年，全市中等职业学校在建项目投入资金52646.89万元，其中，实训设备设施投入资金13133.05万元，基建投入资金39513.84万元。上述两项资金投入中由省级财政投入的资金729.43万元、地方财政投入资金51292.11万元、其他投入资金625.35万元。全市中等职业学校均已建立生均经费制度，生均经费由去年6006元增长到6920元。</w:t>
      </w:r>
    </w:p>
    <w:p>
      <w:pPr>
        <w:keepNext w:val="0"/>
        <w:keepLines w:val="0"/>
        <w:numPr>
          <w:ilvl w:val="0"/>
          <w:numId w:val="0"/>
        </w:numPr>
        <w:spacing w:before="157" w:beforeLines="50" w:line="360" w:lineRule="auto"/>
        <w:ind w:firstLine="421" w:firstLineChars="200"/>
        <w:outlineLvl w:val="9"/>
        <w:rPr>
          <w:rFonts w:hint="eastAsia" w:ascii="楷体_GB2312" w:hAnsi="楷体_GB2312" w:eastAsia="楷体_GB2312" w:cs="楷体_GB2312"/>
          <w:b/>
          <w:bCs/>
          <w:color w:val="auto"/>
          <w:kern w:val="44"/>
          <w:sz w:val="21"/>
          <w:szCs w:val="21"/>
          <w:lang w:val="zh-CN" w:eastAsia="zh-CN" w:bidi="ar-SA"/>
        </w:rPr>
      </w:pPr>
      <w:r>
        <w:rPr>
          <w:rFonts w:hint="eastAsia" w:ascii="楷体_GB2312" w:hAnsi="楷体_GB2312" w:eastAsia="楷体_GB2312" w:cs="楷体_GB2312"/>
          <w:b/>
          <w:bCs/>
          <w:color w:val="auto"/>
          <w:kern w:val="44"/>
          <w:sz w:val="21"/>
          <w:szCs w:val="21"/>
          <w:lang w:val="zh-CN" w:eastAsia="zh-CN" w:bidi="ar-SA"/>
        </w:rPr>
        <w:t>【案例</w:t>
      </w:r>
      <w:r>
        <w:rPr>
          <w:rFonts w:hint="eastAsia" w:ascii="楷体_GB2312" w:hAnsi="楷体_GB2312" w:eastAsia="楷体_GB2312" w:cs="楷体_GB2312"/>
          <w:b/>
          <w:bCs/>
          <w:color w:val="auto"/>
          <w:kern w:val="44"/>
          <w:sz w:val="21"/>
          <w:szCs w:val="21"/>
          <w:lang w:val="en-US" w:eastAsia="zh-CN" w:bidi="ar-SA"/>
        </w:rPr>
        <w:t>6</w:t>
      </w:r>
      <w:r>
        <w:rPr>
          <w:rFonts w:hint="eastAsia" w:ascii="楷体_GB2312" w:hAnsi="楷体_GB2312" w:eastAsia="楷体_GB2312" w:cs="楷体_GB2312"/>
          <w:b/>
          <w:bCs/>
          <w:color w:val="auto"/>
          <w:kern w:val="44"/>
          <w:sz w:val="21"/>
          <w:szCs w:val="21"/>
          <w:lang w:val="zh-CN" w:eastAsia="zh-CN" w:bidi="ar-SA"/>
        </w:rPr>
        <w:t>-</w:t>
      </w:r>
      <w:r>
        <w:rPr>
          <w:rFonts w:hint="eastAsia" w:ascii="楷体_GB2312" w:hAnsi="楷体_GB2312" w:eastAsia="楷体_GB2312" w:cs="楷体_GB2312"/>
          <w:b/>
          <w:bCs/>
          <w:color w:val="auto"/>
          <w:kern w:val="44"/>
          <w:sz w:val="21"/>
          <w:szCs w:val="21"/>
          <w:lang w:val="en-US" w:eastAsia="zh-CN" w:bidi="ar-SA"/>
        </w:rPr>
        <w:t>1</w:t>
      </w:r>
      <w:r>
        <w:rPr>
          <w:rFonts w:hint="eastAsia" w:ascii="楷体_GB2312" w:hAnsi="楷体_GB2312" w:eastAsia="楷体_GB2312" w:cs="楷体_GB2312"/>
          <w:b/>
          <w:bCs/>
          <w:color w:val="auto"/>
          <w:kern w:val="44"/>
          <w:sz w:val="21"/>
          <w:szCs w:val="21"/>
          <w:lang w:val="zh-CN" w:eastAsia="zh-CN" w:bidi="ar-SA"/>
        </w:rPr>
        <w:t>】杭州市中策职业学校办学经费逐年递增</w:t>
      </w:r>
    </w:p>
    <w:p>
      <w:pPr>
        <w:keepNext w:val="0"/>
        <w:keepLines w:val="0"/>
        <w:numPr>
          <w:ilvl w:val="0"/>
          <w:numId w:val="0"/>
        </w:numPr>
        <w:spacing w:line="360" w:lineRule="auto"/>
        <w:ind w:firstLine="420" w:firstLineChars="200"/>
        <w:outlineLvl w:val="9"/>
        <w:rPr>
          <w:rFonts w:hint="eastAsia" w:ascii="仿宋_GB2312" w:hAnsi="仿宋_GB2312" w:eastAsia="仿宋_GB2312" w:cs="仿宋_GB2312"/>
          <w:b w:val="0"/>
          <w:bCs w:val="0"/>
          <w:kern w:val="0"/>
          <w:sz w:val="21"/>
          <w:szCs w:val="21"/>
          <w:lang w:val="en-US" w:eastAsia="zh-CN" w:bidi="ar-SA"/>
        </w:rPr>
      </w:pPr>
      <w:r>
        <w:rPr>
          <w:rFonts w:hint="eastAsia" w:ascii="仿宋_GB2312" w:hAnsi="仿宋_GB2312" w:eastAsia="仿宋_GB2312" w:cs="仿宋_GB2312"/>
          <w:b w:val="0"/>
          <w:bCs w:val="0"/>
          <w:kern w:val="0"/>
          <w:sz w:val="21"/>
          <w:szCs w:val="21"/>
          <w:lang w:val="en-US" w:eastAsia="zh-CN" w:bidi="ar-SA"/>
        </w:rPr>
        <w:t>杭州市中策职业学校是杭州市教育局直属的财政全额拨款单位，2019年度一般公共预算财政拨款收入13474.73万元，生均0.73万元，其中用于设施设备1588.43万元，基建维修362.03万元。此外教育部拨付“万人计划”项目经费11.63万元。学校办学经费充足，生均费用和设施设备费用逐年递增，保证教育教学各项工作的开展。根据杭州市教育局整体部署，康桥校区于2020年9月1日正式启用，莫干校区整体搬迁到康桥校区，2019年康桥校区基建投入近1.6亿元，开办经费投入919.8万元，用于硬件设备采购。</w:t>
      </w:r>
    </w:p>
    <w:p>
      <w:pPr>
        <w:pStyle w:val="4"/>
        <w:keepNext/>
        <w:keepLines/>
        <w:widowControl w:val="0"/>
        <w:wordWrap/>
        <w:adjustRightInd/>
        <w:snapToGrid/>
        <w:spacing w:before="157" w:beforeLines="50" w:after="0" w:afterLines="0" w:line="360" w:lineRule="auto"/>
        <w:ind w:left="0" w:leftChars="0" w:right="0" w:firstLine="421" w:firstLineChars="200"/>
        <w:jc w:val="both"/>
        <w:textAlignment w:val="auto"/>
        <w:outlineLvl w:val="2"/>
        <w:rPr>
          <w:rFonts w:hint="eastAsia" w:ascii="楷体" w:hAnsi="楷体" w:eastAsia="楷体" w:cs="楷体"/>
          <w:b w:val="0"/>
          <w:bCs w:val="0"/>
          <w:kern w:val="0"/>
          <w:sz w:val="24"/>
          <w:szCs w:val="24"/>
          <w:lang w:val="en-US" w:eastAsia="zh-CN" w:bidi="ar-SA"/>
        </w:rPr>
      </w:pPr>
      <w:r>
        <w:rPr>
          <w:rFonts w:hint="eastAsia" w:ascii="楷体_GB2312" w:hAnsi="楷体_GB2312" w:eastAsia="楷体_GB2312" w:cs="楷体_GB2312"/>
          <w:b/>
          <w:bCs/>
          <w:color w:val="auto"/>
          <w:kern w:val="44"/>
          <w:sz w:val="21"/>
          <w:szCs w:val="21"/>
          <w:lang w:val="zh-CN" w:eastAsia="zh-CN" w:bidi="ar-SA"/>
        </w:rPr>
        <w:t>【案例</w:t>
      </w:r>
      <w:r>
        <w:rPr>
          <w:rFonts w:hint="eastAsia" w:ascii="楷体_GB2312" w:hAnsi="楷体_GB2312" w:eastAsia="楷体_GB2312" w:cs="楷体_GB2312"/>
          <w:b/>
          <w:bCs/>
          <w:color w:val="auto"/>
          <w:kern w:val="44"/>
          <w:sz w:val="21"/>
          <w:szCs w:val="21"/>
          <w:lang w:val="en-US" w:eastAsia="zh-CN" w:bidi="ar-SA"/>
        </w:rPr>
        <w:t>6</w:t>
      </w:r>
      <w:r>
        <w:rPr>
          <w:rFonts w:hint="eastAsia" w:ascii="楷体_GB2312" w:hAnsi="楷体_GB2312" w:eastAsia="楷体_GB2312" w:cs="楷体_GB2312"/>
          <w:b/>
          <w:bCs/>
          <w:color w:val="auto"/>
          <w:kern w:val="44"/>
          <w:sz w:val="21"/>
          <w:szCs w:val="21"/>
          <w:lang w:val="zh-CN" w:eastAsia="zh-CN" w:bidi="ar-SA"/>
        </w:rPr>
        <w:t>-</w:t>
      </w:r>
      <w:r>
        <w:rPr>
          <w:rFonts w:hint="eastAsia" w:ascii="楷体_GB2312" w:hAnsi="楷体_GB2312" w:eastAsia="楷体_GB2312" w:cs="楷体_GB2312"/>
          <w:b/>
          <w:bCs/>
          <w:color w:val="auto"/>
          <w:kern w:val="44"/>
          <w:sz w:val="21"/>
          <w:szCs w:val="21"/>
          <w:lang w:val="en-US" w:eastAsia="zh-CN" w:bidi="ar-SA"/>
        </w:rPr>
        <w:t>2</w:t>
      </w:r>
      <w:r>
        <w:rPr>
          <w:rFonts w:hint="eastAsia" w:ascii="楷体_GB2312" w:hAnsi="楷体_GB2312" w:eastAsia="楷体_GB2312" w:cs="楷体_GB2312"/>
          <w:b/>
          <w:bCs/>
          <w:color w:val="auto"/>
          <w:kern w:val="44"/>
          <w:sz w:val="21"/>
          <w:szCs w:val="21"/>
          <w:lang w:val="zh-CN" w:eastAsia="zh-CN" w:bidi="ar-SA"/>
        </w:rPr>
        <w:t>】富阳区政府加大职业教育经费投入</w:t>
      </w:r>
    </w:p>
    <w:p>
      <w:pPr>
        <w:widowControl w:val="0"/>
        <w:wordWrap/>
        <w:adjustRightInd/>
        <w:snapToGrid/>
        <w:spacing w:beforeLines="0" w:afterLines="0" w:line="360" w:lineRule="auto"/>
        <w:ind w:firstLine="420" w:firstLineChars="200"/>
        <w:textAlignment w:val="auto"/>
        <w:rPr>
          <w:rFonts w:hint="eastAsia" w:ascii="仿宋_GB2312" w:hAnsi="仿宋_GB2312" w:eastAsia="仿宋_GB2312" w:cs="仿宋_GB2312"/>
          <w:b w:val="0"/>
          <w:bCs w:val="0"/>
          <w:kern w:val="0"/>
          <w:sz w:val="21"/>
          <w:szCs w:val="21"/>
          <w:lang w:val="en-US" w:eastAsia="zh-CN" w:bidi="ar-SA"/>
        </w:rPr>
      </w:pPr>
      <w:r>
        <w:rPr>
          <w:rFonts w:hint="eastAsia" w:ascii="仿宋_GB2312" w:hAnsi="仿宋_GB2312" w:eastAsia="仿宋_GB2312" w:cs="仿宋_GB2312"/>
          <w:b w:val="0"/>
          <w:bCs w:val="0"/>
          <w:kern w:val="0"/>
          <w:sz w:val="21"/>
          <w:szCs w:val="21"/>
          <w:lang w:val="en-US" w:eastAsia="zh-CN" w:bidi="ar-SA"/>
        </w:rPr>
        <w:t>富阳区政府积极落实《杭州市人民政府办公室关于促进中等职业教育校企合作工作的若干意见》中有关落实实习经费的财政补助政策，区政府制定了《促进产教融合发展三年规划》，企业承担学生实习任务的，政府按照生均每年2500元的标准补助给企业，职业教育外聘教师经费按核定编制数5.5万元/人·年安排到位，专门用于中等职业学校聘请校外专业技术教师。2020年富阳职业高级中学获得区政府立项投入近450万元，用于学校改造提升，校园面貌再有提升。今年下达装备经费850万元，自筹经费200万元，建设了非遗传承基地、无人机展厅等实训场地和VR实训、录播教室等信息化场室，学校装备和实训条件大大改观，信息化建设成效明显，为省中职名校终期实地核查做好了充分的准备。全面推进预算管理，强化学校预算的分配、调控和监督功能，提高奖金使用绩效，保证学校各项事业健康稳定发展。</w:t>
      </w:r>
    </w:p>
    <w:p>
      <w:pPr>
        <w:widowControl w:val="0"/>
        <w:wordWrap/>
        <w:adjustRightInd/>
        <w:snapToGrid/>
        <w:spacing w:before="157" w:beforeLines="50" w:afterLines="0" w:line="360" w:lineRule="auto"/>
        <w:ind w:firstLine="421" w:firstLineChars="200"/>
        <w:textAlignment w:val="auto"/>
        <w:rPr>
          <w:rFonts w:hint="eastAsia" w:ascii="宋体" w:hAnsi="宋体" w:eastAsia="宋体" w:cs="宋体"/>
          <w:b w:val="0"/>
          <w:bCs w:val="0"/>
          <w:sz w:val="21"/>
          <w:szCs w:val="21"/>
          <w:lang w:eastAsia="zh-CN"/>
        </w:rPr>
      </w:pPr>
      <w:r>
        <w:rPr>
          <w:rFonts w:hint="eastAsia" w:ascii="宋体" w:hAnsi="宋体" w:eastAsia="宋体" w:cs="宋体"/>
          <w:b/>
          <w:bCs/>
          <w:color w:val="auto"/>
          <w:kern w:val="0"/>
          <w:sz w:val="21"/>
          <w:szCs w:val="21"/>
          <w:lang w:val="en-US" w:eastAsia="zh-CN" w:bidi="ar-SA"/>
        </w:rPr>
        <w:t>加大项目经费补助</w:t>
      </w:r>
      <w:bookmarkEnd w:id="168"/>
      <w:bookmarkEnd w:id="169"/>
      <w:r>
        <w:rPr>
          <w:rFonts w:hint="eastAsia" w:ascii="宋体" w:hAnsi="宋体" w:eastAsia="宋体" w:cs="宋体"/>
          <w:b/>
          <w:bCs/>
          <w:color w:val="auto"/>
          <w:kern w:val="0"/>
          <w:sz w:val="21"/>
          <w:szCs w:val="21"/>
          <w:lang w:val="en-US" w:eastAsia="zh-CN" w:bidi="ar-SA"/>
        </w:rPr>
        <w:t>。</w:t>
      </w:r>
      <w:bookmarkStart w:id="170" w:name="_Toc19350"/>
      <w:bookmarkStart w:id="171" w:name="_Toc535305885"/>
      <w:bookmarkStart w:id="172" w:name="_Toc29047035"/>
      <w:bookmarkStart w:id="173" w:name="_Toc535416672"/>
      <w:r>
        <w:rPr>
          <w:rFonts w:hint="eastAsia" w:ascii="宋体" w:hAnsi="宋体" w:eastAsia="宋体" w:cs="宋体"/>
          <w:b w:val="0"/>
          <w:bCs w:val="0"/>
          <w:sz w:val="21"/>
          <w:szCs w:val="21"/>
          <w:lang w:eastAsia="zh-CN"/>
        </w:rPr>
        <w:t>继续加大对职业教育与普通教育融通、示范性职业教育集团、教学实训工场、现代学徒制试点、综合性品牌实训基地、品牌专业、优秀教育教学团队、名师和名校长、示范性校企共同体、技能名师工作室等重大建设项目的经费投入和补助力度，切实推进我市职业教育改革与发展。根据市中职质量提升工程年度绩效考核结果，及时下达2019年市级项目补助经费728.40万元，确保了项目建设的有效推进。</w:t>
      </w:r>
    </w:p>
    <w:p>
      <w:pPr>
        <w:widowControl w:val="0"/>
        <w:wordWrap/>
        <w:adjustRightInd/>
        <w:snapToGrid/>
        <w:spacing w:beforeLines="0" w:afterLines="0" w:line="360" w:lineRule="auto"/>
        <w:ind w:firstLine="421" w:firstLineChars="200"/>
        <w:textAlignment w:val="auto"/>
        <w:rPr>
          <w:rFonts w:hint="eastAsia" w:ascii="宋体" w:hAnsi="宋体" w:eastAsia="宋体" w:cs="宋体"/>
          <w:b w:val="0"/>
          <w:bCs w:val="0"/>
          <w:sz w:val="21"/>
          <w:szCs w:val="21"/>
        </w:rPr>
      </w:pPr>
      <w:r>
        <w:rPr>
          <w:rFonts w:hint="eastAsia" w:ascii="宋体" w:hAnsi="宋体" w:eastAsia="宋体" w:cs="宋体"/>
          <w:b/>
          <w:bCs/>
          <w:color w:val="auto"/>
          <w:kern w:val="0"/>
          <w:sz w:val="21"/>
          <w:szCs w:val="21"/>
          <w:lang w:val="en-US" w:eastAsia="zh-CN" w:bidi="ar-SA"/>
        </w:rPr>
        <w:t>完善学生资助体系</w:t>
      </w:r>
      <w:bookmarkEnd w:id="170"/>
      <w:bookmarkEnd w:id="171"/>
      <w:bookmarkEnd w:id="172"/>
      <w:bookmarkEnd w:id="173"/>
      <w:r>
        <w:rPr>
          <w:rFonts w:hint="eastAsia" w:ascii="宋体" w:hAnsi="宋体" w:eastAsia="宋体" w:cs="宋体"/>
          <w:b/>
          <w:bCs/>
          <w:color w:val="auto"/>
          <w:kern w:val="0"/>
          <w:sz w:val="21"/>
          <w:szCs w:val="21"/>
          <w:lang w:val="en-US" w:eastAsia="zh-CN" w:bidi="ar-SA"/>
        </w:rPr>
        <w:t>。</w:t>
      </w:r>
      <w:bookmarkStart w:id="174" w:name="_Toc718"/>
      <w:bookmarkStart w:id="175" w:name="_Toc29047036"/>
      <w:r>
        <w:rPr>
          <w:rFonts w:hint="eastAsia" w:ascii="宋体" w:hAnsi="宋体" w:eastAsia="宋体" w:cs="宋体"/>
          <w:b w:val="0"/>
          <w:bCs w:val="0"/>
          <w:sz w:val="21"/>
          <w:szCs w:val="21"/>
        </w:rPr>
        <w:t>认真贯彻落实中职学校家庭经济困难学生资助政策，根据《关于做好疫情防控期间学校收费管理等工作的通知》（浙教办涵[2020]81号)要求，确保家庭经济困难学生正常学习和生活。2020年，全市用于职业教育助学金额达到16957.57万元，其中全市有14.473万人次学生享受中职免学费政策，金额达15358万元；全市有13639人次学生享受国家助学金，金额1363.9万元；全市1586名品学兼优的学生获得杭州市中职政府奖学金，奖励金额158.6万元；126名特别优秀的中职（含技工学校）学生获得国家奖学金，发放奖学金达75.6万元，同时颁发证书并记入学生学籍档案；其他助学金额达1.47万元。另外，按每生每年100元标准设立校内奖助学金，用于家庭经济困难学生学习、生活补贴和优秀学生的奖励。</w:t>
      </w:r>
    </w:p>
    <w:p>
      <w:pPr>
        <w:spacing w:beforeLines="50" w:after="0" w:afterLines="0"/>
        <w:ind w:firstLine="450" w:firstLineChars="150"/>
        <w:rPr>
          <w:rFonts w:hint="eastAsia" w:ascii="黑体" w:hAnsi="黑体" w:eastAsia="黑体" w:cs="黑体"/>
          <w:b w:val="0"/>
          <w:bCs w:val="0"/>
          <w:sz w:val="30"/>
          <w:szCs w:val="30"/>
        </w:rPr>
      </w:pPr>
      <w:bookmarkStart w:id="176" w:name="_Toc493259621_WPSOffice_Level2"/>
      <w:bookmarkStart w:id="177" w:name="_Toc1836436340_WPSOffice_Level2"/>
      <w:bookmarkStart w:id="178" w:name="_Toc29480884"/>
      <w:bookmarkStart w:id="179" w:name="_Toc29540432"/>
      <w:r>
        <w:rPr>
          <w:rFonts w:hint="eastAsia" w:ascii="黑体" w:hAnsi="黑体" w:eastAsia="黑体" w:cs="黑体"/>
          <w:b w:val="0"/>
          <w:bCs w:val="0"/>
          <w:sz w:val="30"/>
          <w:szCs w:val="30"/>
        </w:rPr>
        <w:t>6.2 政策保障</w:t>
      </w:r>
      <w:bookmarkEnd w:id="176"/>
      <w:bookmarkEnd w:id="177"/>
      <w:bookmarkEnd w:id="178"/>
      <w:bookmarkEnd w:id="179"/>
    </w:p>
    <w:bookmarkEnd w:id="174"/>
    <w:bookmarkEnd w:id="175"/>
    <w:p>
      <w:pPr>
        <w:spacing w:line="360" w:lineRule="auto"/>
        <w:ind w:firstLine="421" w:firstLineChars="200"/>
        <w:rPr>
          <w:rFonts w:hint="eastAsia" w:ascii="宋体" w:hAnsi="宋体" w:eastAsia="宋体" w:cs="宋体"/>
          <w:b w:val="0"/>
          <w:bCs w:val="0"/>
          <w:sz w:val="21"/>
          <w:szCs w:val="21"/>
          <w:lang w:eastAsia="zh-CN"/>
        </w:rPr>
      </w:pPr>
      <w:bookmarkStart w:id="180" w:name="_Toc29047037"/>
      <w:bookmarkStart w:id="181" w:name="_Toc11233"/>
      <w:bookmarkStart w:id="182" w:name="_Toc26318"/>
      <w:bookmarkStart w:id="183" w:name="_Toc505954274"/>
      <w:r>
        <w:rPr>
          <w:rFonts w:hint="eastAsia" w:ascii="宋体" w:hAnsi="宋体" w:eastAsia="宋体" w:cs="宋体"/>
          <w:b/>
          <w:bCs/>
          <w:color w:val="auto"/>
          <w:kern w:val="0"/>
          <w:sz w:val="21"/>
          <w:szCs w:val="21"/>
          <w:lang w:val="en-US" w:eastAsia="zh-CN" w:bidi="ar-SA"/>
        </w:rPr>
        <w:t>深入落实“职教20条”，出台</w:t>
      </w:r>
      <w:r>
        <w:rPr>
          <w:rFonts w:hint="eastAsia" w:ascii="宋体" w:hAnsi="宋体" w:cs="宋体"/>
          <w:b/>
          <w:bCs/>
          <w:color w:val="auto"/>
          <w:kern w:val="0"/>
          <w:sz w:val="21"/>
          <w:szCs w:val="21"/>
          <w:lang w:val="en-US" w:eastAsia="zh-CN" w:bidi="ar-SA"/>
        </w:rPr>
        <w:t>区域落地</w:t>
      </w:r>
      <w:r>
        <w:rPr>
          <w:rFonts w:hint="eastAsia" w:ascii="宋体" w:hAnsi="宋体" w:eastAsia="宋体" w:cs="宋体"/>
          <w:b/>
          <w:bCs/>
          <w:color w:val="auto"/>
          <w:kern w:val="0"/>
          <w:sz w:val="21"/>
          <w:szCs w:val="21"/>
          <w:lang w:val="en-US" w:eastAsia="zh-CN" w:bidi="ar-SA"/>
        </w:rPr>
        <w:t>政策</w:t>
      </w:r>
      <w:bookmarkEnd w:id="180"/>
      <w:bookmarkEnd w:id="181"/>
      <w:bookmarkEnd w:id="182"/>
      <w:bookmarkEnd w:id="183"/>
      <w:r>
        <w:rPr>
          <w:rFonts w:hint="eastAsia" w:ascii="宋体" w:hAnsi="宋体" w:eastAsia="宋体" w:cs="宋体"/>
          <w:b/>
          <w:bCs/>
          <w:color w:val="auto"/>
          <w:kern w:val="0"/>
          <w:sz w:val="21"/>
          <w:szCs w:val="21"/>
          <w:lang w:val="en-US" w:eastAsia="zh-CN" w:bidi="ar-SA"/>
        </w:rPr>
        <w:t>。</w:t>
      </w:r>
      <w:bookmarkStart w:id="184" w:name="_Toc535305889"/>
      <w:bookmarkStart w:id="185" w:name="_Toc535416676"/>
      <w:bookmarkStart w:id="186" w:name="_Toc29047038"/>
      <w:bookmarkStart w:id="187" w:name="_Toc1153"/>
      <w:r>
        <w:rPr>
          <w:rFonts w:hint="eastAsia" w:ascii="宋体" w:hAnsi="宋体" w:eastAsia="宋体" w:cs="宋体"/>
          <w:b w:val="0"/>
          <w:bCs w:val="0"/>
          <w:sz w:val="21"/>
          <w:szCs w:val="21"/>
          <w:lang w:eastAsia="zh-CN"/>
        </w:rPr>
        <w:t>作为国家产教融合型试点城市，杭州</w:t>
      </w:r>
      <w:r>
        <w:rPr>
          <w:rFonts w:hint="eastAsia" w:ascii="宋体" w:hAnsi="宋体" w:cs="宋体"/>
          <w:b w:val="0"/>
          <w:bCs w:val="0"/>
          <w:sz w:val="21"/>
          <w:szCs w:val="21"/>
          <w:lang w:eastAsia="zh-CN"/>
        </w:rPr>
        <w:t>及时出台</w:t>
      </w:r>
      <w:r>
        <w:rPr>
          <w:rFonts w:hint="eastAsia" w:ascii="宋体" w:hAnsi="宋体" w:eastAsia="宋体" w:cs="宋体"/>
          <w:b w:val="0"/>
          <w:bCs w:val="0"/>
          <w:sz w:val="21"/>
          <w:szCs w:val="21"/>
          <w:lang w:eastAsia="zh-CN"/>
        </w:rPr>
        <w:t>《关于深化产教融合的实施意见》，</w:t>
      </w:r>
      <w:r>
        <w:rPr>
          <w:rFonts w:hint="eastAsia" w:ascii="宋体" w:hAnsi="宋体" w:cs="宋体"/>
          <w:b w:val="0"/>
          <w:bCs w:val="0"/>
          <w:sz w:val="21"/>
          <w:szCs w:val="21"/>
          <w:lang w:eastAsia="zh-CN"/>
        </w:rPr>
        <w:t>进一步</w:t>
      </w:r>
      <w:r>
        <w:rPr>
          <w:rFonts w:hint="eastAsia" w:ascii="宋体" w:hAnsi="宋体" w:eastAsia="宋体" w:cs="宋体"/>
          <w:b w:val="0"/>
          <w:bCs w:val="0"/>
          <w:sz w:val="21"/>
          <w:szCs w:val="21"/>
          <w:lang w:eastAsia="zh-CN"/>
        </w:rPr>
        <w:t>深化职业教育领域综合改革，构建产教融合发展机制，将产教融合这一国家战略落实到区域实践，为打造“全国数字经济第一城”和实施“新制造业计划”汇聚新动能。</w:t>
      </w:r>
    </w:p>
    <w:p>
      <w:pPr>
        <w:pStyle w:val="4"/>
        <w:widowControl w:val="0"/>
        <w:wordWrap/>
        <w:adjustRightInd/>
        <w:snapToGrid/>
        <w:spacing w:before="0" w:beforeLines="0" w:after="0" w:afterLines="0" w:line="360" w:lineRule="auto"/>
        <w:ind w:left="0" w:leftChars="0" w:right="0" w:firstLine="420" w:firstLineChars="200"/>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全面贯彻落实国家职业教育改革实施方案，对标</w:t>
      </w:r>
      <w:r>
        <w:rPr>
          <w:rFonts w:hint="eastAsia" w:ascii="宋体" w:hAnsi="宋体" w:cs="宋体"/>
          <w:b w:val="0"/>
          <w:bCs w:val="0"/>
          <w:sz w:val="21"/>
          <w:szCs w:val="21"/>
          <w:lang w:eastAsia="zh-CN"/>
        </w:rPr>
        <w:t>《</w:t>
      </w:r>
      <w:r>
        <w:rPr>
          <w:rFonts w:hint="eastAsia" w:ascii="宋体" w:hAnsi="宋体" w:eastAsia="宋体" w:cs="宋体"/>
          <w:b w:val="0"/>
          <w:bCs w:val="0"/>
          <w:sz w:val="21"/>
          <w:szCs w:val="21"/>
          <w:lang w:eastAsia="zh-CN"/>
        </w:rPr>
        <w:t>职业教育提质培优行动计划（2020—2023年）》《浙江省深化产教融合推进职业教育高质量发展实施方案》，聚焦职业教育改革发展中的重点难点问题，按照高质量发展和“两个高水平”建设的要求，会同相关部门，修订我市深化职业教育改革实施意见。</w:t>
      </w:r>
    </w:p>
    <w:p>
      <w:pPr>
        <w:widowControl w:val="0"/>
        <w:wordWrap/>
        <w:adjustRightInd/>
        <w:snapToGrid/>
        <w:spacing w:beforeLines="0" w:afterLines="0" w:line="360" w:lineRule="auto"/>
        <w:ind w:firstLine="421" w:firstLineChars="200"/>
        <w:jc w:val="both"/>
        <w:textAlignment w:val="auto"/>
        <w:rPr>
          <w:rFonts w:hint="eastAsia" w:ascii="宋体" w:hAnsi="宋体" w:eastAsia="宋体" w:cs="宋体"/>
          <w:color w:val="auto"/>
          <w:sz w:val="21"/>
          <w:szCs w:val="21"/>
          <w:u w:val="none"/>
        </w:rPr>
      </w:pPr>
      <w:r>
        <w:rPr>
          <w:rFonts w:hint="eastAsia" w:ascii="宋体" w:hAnsi="宋体" w:eastAsia="宋体" w:cs="宋体"/>
          <w:b/>
          <w:bCs/>
          <w:color w:val="auto"/>
          <w:kern w:val="0"/>
          <w:sz w:val="21"/>
          <w:szCs w:val="21"/>
          <w:lang w:val="en-US" w:eastAsia="zh-CN" w:bidi="ar-SA"/>
        </w:rPr>
        <w:t>推进新校区建设，</w:t>
      </w:r>
      <w:r>
        <w:rPr>
          <w:rFonts w:hint="eastAsia" w:ascii="宋体" w:hAnsi="宋体" w:cs="宋体"/>
          <w:b/>
          <w:bCs/>
          <w:color w:val="auto"/>
          <w:kern w:val="0"/>
          <w:sz w:val="21"/>
          <w:szCs w:val="21"/>
          <w:lang w:val="en-US" w:eastAsia="zh-CN" w:bidi="ar-SA"/>
        </w:rPr>
        <w:t>开拓优质</w:t>
      </w:r>
      <w:r>
        <w:rPr>
          <w:rFonts w:hint="eastAsia" w:ascii="宋体" w:hAnsi="宋体" w:eastAsia="宋体" w:cs="宋体"/>
          <w:b/>
          <w:bCs/>
          <w:color w:val="auto"/>
          <w:kern w:val="0"/>
          <w:sz w:val="21"/>
          <w:szCs w:val="21"/>
          <w:lang w:val="en-US" w:eastAsia="zh-CN" w:bidi="ar-SA"/>
        </w:rPr>
        <w:t>职教资源</w:t>
      </w:r>
      <w:bookmarkEnd w:id="184"/>
      <w:bookmarkEnd w:id="185"/>
      <w:bookmarkEnd w:id="186"/>
      <w:bookmarkEnd w:id="187"/>
      <w:r>
        <w:rPr>
          <w:rFonts w:hint="eastAsia" w:ascii="宋体" w:hAnsi="宋体" w:eastAsia="宋体" w:cs="宋体"/>
          <w:b/>
          <w:bCs/>
          <w:color w:val="auto"/>
          <w:kern w:val="0"/>
          <w:sz w:val="21"/>
          <w:szCs w:val="21"/>
          <w:lang w:val="en-US" w:eastAsia="zh-CN" w:bidi="ar-SA"/>
        </w:rPr>
        <w:t>。</w:t>
      </w:r>
      <w:bookmarkStart w:id="188" w:name="_Toc535305890"/>
      <w:bookmarkStart w:id="189" w:name="_Toc535416677"/>
      <w:bookmarkStart w:id="190" w:name="_Toc29047039"/>
      <w:bookmarkStart w:id="191" w:name="_Toc23107"/>
      <w:r>
        <w:rPr>
          <w:rFonts w:hint="eastAsia" w:ascii="宋体" w:hAnsi="宋体" w:eastAsia="宋体" w:cs="宋体"/>
          <w:color w:val="auto"/>
          <w:sz w:val="21"/>
          <w:szCs w:val="21"/>
          <w:u w:val="none"/>
        </w:rPr>
        <w:t>推动职业教育资源规划和建设，大力拓展职业教育新资源。加快推进市直属中职学校有关项目建设，中策职校</w:t>
      </w:r>
      <w:r>
        <w:rPr>
          <w:rFonts w:hint="eastAsia" w:ascii="宋体" w:hAnsi="宋体" w:eastAsia="宋体" w:cs="宋体"/>
          <w:color w:val="auto"/>
          <w:sz w:val="21"/>
          <w:szCs w:val="21"/>
          <w:u w:val="none"/>
          <w:lang w:val="en-US" w:eastAsia="zh-CN"/>
        </w:rPr>
        <w:t>新增</w:t>
      </w:r>
      <w:r>
        <w:rPr>
          <w:rFonts w:hint="eastAsia" w:ascii="宋体" w:hAnsi="宋体" w:eastAsia="宋体" w:cs="宋体"/>
          <w:color w:val="auto"/>
          <w:sz w:val="21"/>
          <w:szCs w:val="21"/>
          <w:u w:val="none"/>
        </w:rPr>
        <w:t>康桥校区</w:t>
      </w:r>
      <w:r>
        <w:rPr>
          <w:rFonts w:hint="eastAsia" w:ascii="宋体" w:hAnsi="宋体" w:eastAsia="宋体" w:cs="宋体"/>
          <w:color w:val="auto"/>
          <w:sz w:val="21"/>
          <w:szCs w:val="21"/>
          <w:u w:val="none"/>
          <w:lang w:val="en-US" w:eastAsia="zh-CN"/>
        </w:rPr>
        <w:t>办学及校区调整</w:t>
      </w:r>
      <w:r>
        <w:rPr>
          <w:rFonts w:hint="eastAsia" w:ascii="宋体" w:hAnsi="宋体" w:eastAsia="宋体" w:cs="宋体"/>
          <w:color w:val="auto"/>
          <w:sz w:val="21"/>
          <w:szCs w:val="21"/>
          <w:u w:val="none"/>
        </w:rPr>
        <w:t>，做好服装职高</w:t>
      </w:r>
      <w:r>
        <w:rPr>
          <w:rFonts w:hint="eastAsia" w:ascii="宋体" w:hAnsi="宋体" w:eastAsia="宋体" w:cs="宋体"/>
          <w:color w:val="auto"/>
          <w:sz w:val="21"/>
          <w:szCs w:val="21"/>
          <w:u w:val="none"/>
          <w:lang w:val="en-US" w:eastAsia="zh-CN"/>
        </w:rPr>
        <w:t>停止招生</w:t>
      </w:r>
      <w:r>
        <w:rPr>
          <w:rFonts w:hint="eastAsia" w:ascii="宋体" w:hAnsi="宋体" w:eastAsia="宋体" w:cs="宋体"/>
          <w:color w:val="auto"/>
          <w:sz w:val="21"/>
          <w:szCs w:val="21"/>
          <w:u w:val="none"/>
        </w:rPr>
        <w:t>和美术职校新设莫干校区</w:t>
      </w:r>
      <w:r>
        <w:rPr>
          <w:rFonts w:hint="eastAsia" w:ascii="宋体" w:hAnsi="宋体" w:eastAsia="宋体" w:cs="宋体"/>
          <w:color w:val="auto"/>
          <w:sz w:val="21"/>
          <w:szCs w:val="21"/>
          <w:u w:val="none"/>
          <w:lang w:eastAsia="zh-CN"/>
        </w:rPr>
        <w:t>，</w:t>
      </w:r>
      <w:r>
        <w:rPr>
          <w:rFonts w:hint="eastAsia" w:ascii="宋体" w:hAnsi="宋体" w:eastAsia="宋体" w:cs="宋体"/>
          <w:color w:val="auto"/>
          <w:sz w:val="21"/>
          <w:szCs w:val="21"/>
          <w:u w:val="none"/>
          <w:lang w:val="en-US" w:eastAsia="zh-CN"/>
        </w:rPr>
        <w:t>继续推进中策职校</w:t>
      </w:r>
      <w:r>
        <w:rPr>
          <w:rFonts w:hint="eastAsia" w:ascii="宋体" w:hAnsi="宋体" w:cs="宋体"/>
          <w:color w:val="auto"/>
          <w:sz w:val="21"/>
          <w:szCs w:val="21"/>
          <w:u w:val="none"/>
          <w:lang w:val="en-US" w:eastAsia="zh-CN"/>
        </w:rPr>
        <w:t>大江东</w:t>
      </w:r>
      <w:r>
        <w:rPr>
          <w:rFonts w:hint="eastAsia" w:ascii="宋体" w:hAnsi="宋体" w:eastAsia="宋体" w:cs="宋体"/>
          <w:color w:val="auto"/>
          <w:sz w:val="21"/>
          <w:szCs w:val="21"/>
          <w:u w:val="none"/>
          <w:lang w:val="en-US" w:eastAsia="zh-CN"/>
        </w:rPr>
        <w:t>分校建设</w:t>
      </w:r>
      <w:r>
        <w:rPr>
          <w:rFonts w:hint="eastAsia" w:ascii="宋体" w:hAnsi="宋体" w:eastAsia="宋体" w:cs="宋体"/>
          <w:color w:val="auto"/>
          <w:sz w:val="21"/>
          <w:szCs w:val="21"/>
          <w:u w:val="none"/>
        </w:rPr>
        <w:t>等工作。加强对建德市、淳安县等地重点扶持薄弱学校的帮扶与指导，有效促进了全市职业教育优质均衡发展。</w:t>
      </w:r>
    </w:p>
    <w:p>
      <w:pPr>
        <w:pStyle w:val="4"/>
        <w:keepNext/>
        <w:keepLines/>
        <w:widowControl w:val="0"/>
        <w:wordWrap/>
        <w:adjustRightInd/>
        <w:snapToGrid/>
        <w:spacing w:before="157" w:beforeLines="50" w:after="0" w:afterLines="0" w:line="360" w:lineRule="auto"/>
        <w:ind w:left="0" w:leftChars="0" w:right="0" w:firstLine="421" w:firstLineChars="200"/>
        <w:jc w:val="both"/>
        <w:textAlignment w:val="auto"/>
        <w:outlineLvl w:val="2"/>
        <w:rPr>
          <w:rFonts w:hint="eastAsia" w:ascii="楷体_GB2312" w:hAnsi="楷体_GB2312" w:eastAsia="楷体_GB2312" w:cs="楷体_GB2312"/>
          <w:color w:val="auto"/>
          <w:sz w:val="24"/>
          <w:szCs w:val="24"/>
          <w:u w:val="none"/>
        </w:rPr>
      </w:pPr>
      <w:r>
        <w:rPr>
          <w:rFonts w:hint="eastAsia" w:ascii="楷体_GB2312" w:hAnsi="楷体_GB2312" w:eastAsia="楷体_GB2312" w:cs="楷体_GB2312"/>
          <w:b/>
          <w:bCs/>
          <w:color w:val="auto"/>
          <w:kern w:val="44"/>
          <w:sz w:val="21"/>
          <w:szCs w:val="21"/>
          <w:lang w:val="zh-CN" w:eastAsia="zh-CN" w:bidi="ar-SA"/>
        </w:rPr>
        <w:t>【案例</w:t>
      </w:r>
      <w:r>
        <w:rPr>
          <w:rFonts w:hint="eastAsia" w:ascii="楷体_GB2312" w:hAnsi="楷体_GB2312" w:eastAsia="楷体_GB2312" w:cs="楷体_GB2312"/>
          <w:b/>
          <w:bCs/>
          <w:color w:val="auto"/>
          <w:kern w:val="44"/>
          <w:sz w:val="21"/>
          <w:szCs w:val="21"/>
          <w:lang w:val="en-US" w:eastAsia="zh-CN" w:bidi="ar-SA"/>
        </w:rPr>
        <w:t>6</w:t>
      </w:r>
      <w:r>
        <w:rPr>
          <w:rFonts w:hint="eastAsia" w:ascii="楷体_GB2312" w:hAnsi="楷体_GB2312" w:eastAsia="楷体_GB2312" w:cs="楷体_GB2312"/>
          <w:b/>
          <w:bCs/>
          <w:color w:val="auto"/>
          <w:kern w:val="44"/>
          <w:sz w:val="21"/>
          <w:szCs w:val="21"/>
          <w:lang w:val="zh-CN" w:eastAsia="zh-CN" w:bidi="ar-SA"/>
        </w:rPr>
        <w:t>-</w:t>
      </w:r>
      <w:r>
        <w:rPr>
          <w:rFonts w:hint="eastAsia" w:ascii="楷体_GB2312" w:hAnsi="楷体_GB2312" w:eastAsia="楷体_GB2312" w:cs="楷体_GB2312"/>
          <w:b/>
          <w:bCs/>
          <w:color w:val="auto"/>
          <w:kern w:val="44"/>
          <w:sz w:val="21"/>
          <w:szCs w:val="21"/>
          <w:lang w:val="en-US" w:eastAsia="zh-CN" w:bidi="ar-SA"/>
        </w:rPr>
        <w:t>3</w:t>
      </w:r>
      <w:r>
        <w:rPr>
          <w:rFonts w:hint="eastAsia" w:ascii="楷体_GB2312" w:hAnsi="楷体_GB2312" w:eastAsia="楷体_GB2312" w:cs="楷体_GB2312"/>
          <w:b/>
          <w:bCs/>
          <w:color w:val="auto"/>
          <w:kern w:val="44"/>
          <w:sz w:val="21"/>
          <w:szCs w:val="21"/>
          <w:lang w:val="zh-CN" w:eastAsia="zh-CN" w:bidi="ar-SA"/>
        </w:rPr>
        <w:t>】杭州市美术职业学校一校两区，均衡发展</w:t>
      </w:r>
    </w:p>
    <w:p>
      <w:pPr>
        <w:widowControl w:val="0"/>
        <w:wordWrap/>
        <w:adjustRightInd/>
        <w:snapToGrid/>
        <w:spacing w:beforeLines="0" w:afterLines="0" w:line="360" w:lineRule="auto"/>
        <w:ind w:firstLine="420" w:firstLineChars="200"/>
        <w:jc w:val="both"/>
        <w:textAlignment w:val="auto"/>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b w:val="0"/>
          <w:bCs w:val="0"/>
          <w:kern w:val="0"/>
          <w:sz w:val="21"/>
          <w:szCs w:val="21"/>
          <w:lang w:val="en-US" w:eastAsia="zh-CN" w:bidi="ar-SA"/>
        </w:rPr>
        <w:t>杭州市美术职业学校拥有凤山、莫干两校区。凤山校区坐落于凤凰山麓南宋皇城遗址上，环境朴素典雅、小巧精致、宁静优美，是读书学艺的宝地。莫干校区地处市中心，交通便利，拥有先进、完备的专业实训设施。学校以“美而温暖”的教育教学理念帮助学生实现可持续发展，致力培养高文化素质、宽专业基础、精专业技能，既有现实就业能力又有发展后劲的复合型美术专业人才。</w:t>
      </w:r>
    </w:p>
    <w:p>
      <w:pPr>
        <w:widowControl w:val="0"/>
        <w:wordWrap/>
        <w:adjustRightInd/>
        <w:snapToGrid/>
        <w:spacing w:before="0" w:beforeLines="0" w:afterLines="0" w:line="360" w:lineRule="auto"/>
        <w:jc w:val="both"/>
        <w:textAlignment w:val="auto"/>
        <w:rPr>
          <w:rFonts w:hint="eastAsia" w:ascii="宋体" w:hAnsi="宋体" w:eastAsia="宋体" w:cs="宋体"/>
          <w:sz w:val="21"/>
          <w:szCs w:val="21"/>
        </w:rPr>
      </w:pPr>
      <w:r>
        <w:rPr>
          <w:rFonts w:hint="eastAsia" w:ascii="宋体" w:hAnsi="宋体" w:cs="宋体"/>
          <w:b/>
          <w:bCs/>
          <w:sz w:val="21"/>
          <w:szCs w:val="21"/>
          <w:u w:val="none"/>
          <w:lang w:val="en-US" w:eastAsia="zh-CN"/>
        </w:rPr>
        <w:t xml:space="preserve">    创新区域</w:t>
      </w:r>
      <w:r>
        <w:rPr>
          <w:rFonts w:hint="eastAsia" w:ascii="宋体" w:hAnsi="宋体" w:eastAsia="宋体" w:cs="宋体"/>
          <w:b/>
          <w:bCs/>
          <w:color w:val="auto"/>
          <w:kern w:val="0"/>
          <w:sz w:val="21"/>
          <w:szCs w:val="21"/>
          <w:lang w:val="en-US" w:eastAsia="zh-CN" w:bidi="ar-SA"/>
        </w:rPr>
        <w:t>人才引进，落实中职教师编制</w:t>
      </w:r>
      <w:bookmarkEnd w:id="188"/>
      <w:bookmarkEnd w:id="189"/>
      <w:bookmarkEnd w:id="190"/>
      <w:bookmarkEnd w:id="191"/>
      <w:r>
        <w:rPr>
          <w:rFonts w:hint="eastAsia" w:ascii="宋体" w:hAnsi="宋体" w:eastAsia="宋体" w:cs="宋体"/>
          <w:b/>
          <w:bCs/>
          <w:color w:val="auto"/>
          <w:kern w:val="0"/>
          <w:sz w:val="21"/>
          <w:szCs w:val="21"/>
          <w:lang w:val="en-US" w:eastAsia="zh-CN" w:bidi="ar-SA"/>
        </w:rPr>
        <w:t>。</w:t>
      </w:r>
      <w:bookmarkEnd w:id="164"/>
      <w:bookmarkEnd w:id="165"/>
      <w:bookmarkStart w:id="192" w:name="_Toc3817250"/>
      <w:bookmarkStart w:id="193" w:name="_Toc34560004"/>
      <w:r>
        <w:rPr>
          <w:rFonts w:hint="eastAsia" w:ascii="宋体" w:hAnsi="宋体" w:eastAsia="宋体" w:cs="宋体"/>
          <w:color w:val="auto"/>
          <w:sz w:val="21"/>
          <w:szCs w:val="21"/>
          <w:u w:val="none"/>
        </w:rPr>
        <w:t>强化编制保障，</w:t>
      </w:r>
      <w:r>
        <w:rPr>
          <w:rFonts w:hint="eastAsia" w:ascii="宋体" w:hAnsi="宋体" w:eastAsia="宋体" w:cs="宋体"/>
          <w:sz w:val="21"/>
          <w:szCs w:val="21"/>
        </w:rPr>
        <w:t>足额核定编制</w:t>
      </w:r>
      <w:r>
        <w:rPr>
          <w:rFonts w:hint="eastAsia" w:ascii="宋体" w:hAnsi="宋体" w:eastAsia="宋体" w:cs="宋体"/>
          <w:color w:val="auto"/>
          <w:sz w:val="21"/>
          <w:szCs w:val="21"/>
          <w:u w:val="none"/>
        </w:rPr>
        <w:t>。我市切实按照《杭州市贯彻国家中小学教职工编制标准的实施意见》（杭政办函〔2004〕259号）精神，按师生比足额核定中职学校编制，另外还核增10%和每班0.5名的职高附加编制。</w:t>
      </w:r>
      <w:r>
        <w:rPr>
          <w:rFonts w:hint="eastAsia" w:ascii="宋体" w:hAnsi="宋体" w:eastAsia="宋体" w:cs="宋体"/>
          <w:sz w:val="21"/>
          <w:szCs w:val="21"/>
        </w:rPr>
        <w:t>在2015年我市开展的控编减编工作中，市编委办专门出台政策，明确学校不纳入事业编制精简范畴。近几年，我市将陆续上收的事业编制用于教育民生事业，核给新建的学校。</w:t>
      </w:r>
    </w:p>
    <w:p>
      <w:pPr>
        <w:widowControl w:val="0"/>
        <w:wordWrap/>
        <w:adjustRightInd/>
        <w:snapToGrid/>
        <w:spacing w:before="0" w:beforeLines="0" w:afterLines="0" w:line="360" w:lineRule="auto"/>
        <w:ind w:firstLine="420"/>
        <w:jc w:val="both"/>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创新招聘方式，积极引进优秀人才。我市正式出台《中共杭州市委</w:t>
      </w:r>
      <w:r>
        <w:rPr>
          <w:rFonts w:hint="eastAsia" w:ascii="宋体" w:hAnsi="宋体" w:eastAsia="宋体" w:cs="宋体"/>
          <w:sz w:val="21"/>
          <w:szCs w:val="21"/>
        </w:rPr>
        <w:t xml:space="preserve">  </w:t>
      </w:r>
      <w:r>
        <w:rPr>
          <w:rFonts w:hint="eastAsia" w:ascii="宋体" w:hAnsi="宋体" w:eastAsia="宋体" w:cs="宋体"/>
          <w:color w:val="auto"/>
          <w:sz w:val="21"/>
          <w:szCs w:val="21"/>
          <w:u w:val="none"/>
        </w:rPr>
        <w:t>杭州市人民政府关于全面深化新时代教师队伍建设改革的实施意见》，文件中明确：适当放宽学历、年龄条件，采取专业技能测试等直接考核方式选聘优秀高技能人才到职业院校任教，鼓励从行业、企业中聘请优秀专业人才担任职业学校实习实训指导教师，这些系列举措将为广大优秀企业技术人才进入职业学校教师队伍开辟渠道。同时，针对部分职教专业课教师紧缺的问题，我市积极从各高职院校、知名企业聘请兼职教师充实职教师资队伍，所需经费由财政予以保障。</w:t>
      </w:r>
    </w:p>
    <w:p>
      <w:pPr>
        <w:pStyle w:val="2"/>
        <w:adjustRightInd/>
        <w:snapToGrid/>
        <w:spacing w:before="313" w:beforeLines="100" w:after="157" w:afterLines="50" w:afterAutospacing="0" w:line="360" w:lineRule="auto"/>
        <w:ind w:firstLine="360" w:firstLineChars="100"/>
        <w:jc w:val="both"/>
        <w:rPr>
          <w:rFonts w:hint="eastAsia" w:ascii="黑体" w:hAnsi="黑体" w:eastAsia="黑体" w:cs="黑体"/>
          <w:b w:val="0"/>
          <w:bCs w:val="0"/>
          <w:color w:val="auto"/>
          <w:sz w:val="36"/>
          <w:szCs w:val="36"/>
          <w:lang w:eastAsia="zh-CN"/>
        </w:rPr>
      </w:pPr>
      <w:bookmarkStart w:id="194" w:name="_Toc479992918_WPSOffice_Level1"/>
      <w:bookmarkStart w:id="195" w:name="_Toc415685286_WPSOffice_Level1"/>
      <w:bookmarkStart w:id="196" w:name="_Toc664300722_WPSOffice_Level1"/>
      <w:bookmarkStart w:id="197" w:name="_Toc235021989_WPSOffice_Level1"/>
      <w:r>
        <w:rPr>
          <w:rFonts w:hint="eastAsia" w:ascii="黑体" w:hAnsi="黑体" w:eastAsia="黑体" w:cs="黑体"/>
          <w:b w:val="0"/>
          <w:bCs w:val="0"/>
          <w:color w:val="auto"/>
          <w:sz w:val="36"/>
          <w:szCs w:val="36"/>
        </w:rPr>
        <w:t>7</w:t>
      </w:r>
      <w:r>
        <w:rPr>
          <w:rFonts w:hint="eastAsia" w:ascii="黑体" w:hAnsi="黑体" w:eastAsia="黑体" w:cs="黑体"/>
          <w:b w:val="0"/>
          <w:bCs w:val="0"/>
          <w:color w:val="auto"/>
          <w:sz w:val="36"/>
          <w:szCs w:val="36"/>
          <w:lang w:val="en"/>
        </w:rPr>
        <w:t>.</w:t>
      </w:r>
      <w:r>
        <w:rPr>
          <w:rFonts w:hint="eastAsia" w:ascii="黑体" w:hAnsi="黑体" w:eastAsia="黑体" w:cs="黑体"/>
          <w:b w:val="0"/>
          <w:bCs w:val="0"/>
          <w:color w:val="auto"/>
          <w:sz w:val="36"/>
          <w:szCs w:val="36"/>
        </w:rPr>
        <w:t>特色创新</w:t>
      </w:r>
      <w:bookmarkEnd w:id="192"/>
      <w:bookmarkEnd w:id="193"/>
      <w:bookmarkEnd w:id="194"/>
      <w:bookmarkEnd w:id="195"/>
      <w:bookmarkEnd w:id="196"/>
      <w:bookmarkEnd w:id="197"/>
    </w:p>
    <w:p>
      <w:pPr>
        <w:keepNext/>
        <w:keepLines/>
        <w:adjustRightInd/>
        <w:snapToGrid/>
        <w:spacing w:before="157" w:beforeLines="50" w:after="0" w:afterLines="0" w:line="360" w:lineRule="auto"/>
        <w:ind w:firstLine="450" w:firstLineChars="150"/>
        <w:outlineLvl w:val="1"/>
        <w:rPr>
          <w:rFonts w:hint="eastAsia" w:ascii="黑体" w:hAnsi="黑体" w:eastAsia="黑体" w:cs="黑体"/>
          <w:b w:val="0"/>
          <w:bCs w:val="0"/>
          <w:color w:val="auto"/>
          <w:kern w:val="44"/>
          <w:sz w:val="30"/>
          <w:szCs w:val="30"/>
          <w:lang w:val="en-US" w:eastAsia="zh-CN"/>
        </w:rPr>
      </w:pPr>
      <w:bookmarkStart w:id="198" w:name="_Toc1086331852_WPSOffice_Level1"/>
      <w:bookmarkStart w:id="199" w:name="_Toc316058349_WPSOffice_Level1"/>
      <w:bookmarkStart w:id="200" w:name="_Toc1606128278_WPSOffice_Level2"/>
      <w:bookmarkStart w:id="201" w:name="_Toc34560008"/>
      <w:bookmarkStart w:id="202" w:name="_Toc32840384"/>
      <w:r>
        <w:rPr>
          <w:rFonts w:hint="eastAsia" w:ascii="黑体" w:hAnsi="黑体" w:eastAsia="黑体" w:cs="黑体"/>
          <w:b w:val="0"/>
          <w:bCs w:val="0"/>
          <w:color w:val="auto"/>
          <w:kern w:val="44"/>
          <w:sz w:val="30"/>
          <w:szCs w:val="30"/>
          <w:lang w:val="en-US" w:eastAsia="zh-CN"/>
        </w:rPr>
        <w:t>7.1 多措并举，全力保障疫情期间教学</w:t>
      </w:r>
      <w:bookmarkEnd w:id="198"/>
      <w:bookmarkEnd w:id="199"/>
      <w:r>
        <w:rPr>
          <w:rFonts w:hint="eastAsia" w:ascii="黑体" w:hAnsi="黑体" w:eastAsia="黑体" w:cs="黑体"/>
          <w:b w:val="0"/>
          <w:bCs w:val="0"/>
          <w:color w:val="auto"/>
          <w:kern w:val="44"/>
          <w:sz w:val="30"/>
          <w:szCs w:val="30"/>
          <w:lang w:val="en-US" w:eastAsia="zh-CN"/>
        </w:rPr>
        <w:t>工作</w:t>
      </w:r>
      <w:bookmarkEnd w:id="200"/>
    </w:p>
    <w:p>
      <w:pPr>
        <w:widowControl w:val="0"/>
        <w:wordWrap/>
        <w:adjustRightInd/>
        <w:snapToGrid/>
        <w:spacing w:beforeLines="0" w:afterLines="0" w:line="360" w:lineRule="auto"/>
        <w:ind w:left="0" w:leftChars="0" w:right="0" w:firstLine="420" w:firstLineChars="200"/>
        <w:jc w:val="left"/>
        <w:textAlignment w:val="auto"/>
        <w:outlineLvl w:val="9"/>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根据《教育部关于2020年春季学期延期开学的通知》相关要求，“停课不停学”成为杭州教育行政部门和中小学春季学习的主题。</w:t>
      </w:r>
      <w:r>
        <w:rPr>
          <w:rFonts w:hint="eastAsia" w:ascii="宋体" w:hAnsi="宋体" w:eastAsia="宋体" w:cs="宋体"/>
          <w:b w:val="0"/>
          <w:bCs w:val="0"/>
          <w:color w:val="auto"/>
          <w:kern w:val="2"/>
          <w:sz w:val="21"/>
          <w:szCs w:val="21"/>
          <w:lang w:val="en-US" w:eastAsia="zh-CN" w:bidi="ar-SA"/>
        </w:rPr>
        <w:t>坚守育人阵地，探索线上教学新模式，</w:t>
      </w:r>
      <w:r>
        <w:rPr>
          <w:rFonts w:hint="eastAsia" w:ascii="宋体" w:hAnsi="宋体" w:eastAsia="宋体" w:cs="宋体"/>
          <w:color w:val="auto"/>
          <w:kern w:val="2"/>
          <w:sz w:val="21"/>
          <w:szCs w:val="21"/>
          <w:lang w:val="en-US" w:eastAsia="zh-CN" w:bidi="ar-SA"/>
        </w:rPr>
        <w:t>切实做好我市中等职业学校网上教学的教研指导工作，“停课不停研”也成为2020年的教育教学新常态。</w:t>
      </w:r>
    </w:p>
    <w:p>
      <w:pPr>
        <w:widowControl w:val="0"/>
        <w:wordWrap/>
        <w:adjustRightInd/>
        <w:snapToGrid/>
        <w:spacing w:beforeLines="0" w:afterLines="0" w:line="360" w:lineRule="auto"/>
        <w:ind w:left="0" w:leftChars="0" w:right="0" w:firstLine="421" w:firstLineChars="200"/>
        <w:jc w:val="both"/>
        <w:textAlignment w:val="auto"/>
        <w:outlineLvl w:val="9"/>
        <w:rPr>
          <w:rFonts w:hint="eastAsia" w:ascii="宋体" w:hAnsi="宋体" w:eastAsia="宋体" w:cs="宋体"/>
          <w:color w:val="auto"/>
          <w:kern w:val="2"/>
          <w:sz w:val="21"/>
          <w:szCs w:val="21"/>
          <w:lang w:val="en-US" w:eastAsia="zh-CN" w:bidi="ar-SA"/>
        </w:rPr>
      </w:pPr>
      <w:r>
        <w:rPr>
          <w:rFonts w:hint="eastAsia" w:ascii="宋体" w:hAnsi="宋体" w:eastAsia="宋体" w:cs="宋体"/>
          <w:b/>
          <w:bCs/>
          <w:color w:val="auto"/>
          <w:kern w:val="0"/>
          <w:sz w:val="21"/>
          <w:szCs w:val="21"/>
          <w:lang w:val="en-US" w:eastAsia="zh-CN" w:bidi="ar-SA"/>
        </w:rPr>
        <w:t>停课不停学</w:t>
      </w:r>
      <w:r>
        <w:rPr>
          <w:rFonts w:hint="eastAsia" w:ascii="宋体" w:hAnsi="宋体" w:cs="宋体"/>
          <w:b/>
          <w:bCs/>
          <w:color w:val="auto"/>
          <w:kern w:val="0"/>
          <w:sz w:val="21"/>
          <w:szCs w:val="21"/>
          <w:lang w:val="en-US" w:eastAsia="zh-CN" w:bidi="ar-SA"/>
        </w:rPr>
        <w:t>，全面开启“线上线下混合式教学”探索之路。</w:t>
      </w:r>
      <w:r>
        <w:rPr>
          <w:rFonts w:hint="eastAsia" w:ascii="宋体" w:hAnsi="宋体" w:eastAsia="宋体" w:cs="宋体"/>
          <w:color w:val="auto"/>
          <w:kern w:val="2"/>
          <w:sz w:val="21"/>
          <w:szCs w:val="21"/>
          <w:lang w:val="en-US" w:eastAsia="zh-CN" w:bidi="ar-SA"/>
        </w:rPr>
        <w:t>为助力抗击疫情，认真贯彻落实教育部“停课不停学”的要求，杭州职教教研团队依托各大电视平台推出中职“共享课堂”，集结职教名师、教坛新秀、教学新锐等精心制作微课，为杭州市全体中等职业学校学生免费提供选修课程菜单。在“停课不停学”的70多个日子里，共携手31所杭州中职校的261位</w:t>
      </w:r>
      <w:r>
        <w:rPr>
          <w:rFonts w:hint="eastAsia" w:ascii="宋体" w:hAnsi="宋体" w:cs="宋体"/>
          <w:color w:val="auto"/>
          <w:kern w:val="2"/>
          <w:sz w:val="21"/>
          <w:szCs w:val="21"/>
          <w:lang w:val="en-US" w:eastAsia="zh-CN" w:bidi="ar-SA"/>
        </w:rPr>
        <w:t>教</w:t>
      </w:r>
      <w:r>
        <w:rPr>
          <w:rFonts w:hint="eastAsia" w:ascii="宋体" w:hAnsi="宋体" w:eastAsia="宋体" w:cs="宋体"/>
          <w:color w:val="auto"/>
          <w:kern w:val="2"/>
          <w:sz w:val="21"/>
          <w:szCs w:val="21"/>
          <w:lang w:val="en-US" w:eastAsia="zh-CN" w:bidi="ar-SA"/>
        </w:rPr>
        <w:t>师，研发上线了10个学周、332节共享课堂，覆盖了杭州中职语文、数学、英语、艺术、体育、信息技术、心理健康、旅游、烹饪、西餐、财经、机械、园林、护理、工美、物流、学前教育、计算机专业、建筑、汽修、服装、电子电工、化工等26个学科（专业）门类，为全市中职生提供了一份网上知识技能盛宴</w:t>
      </w:r>
      <w:r>
        <w:rPr>
          <w:rFonts w:hint="eastAsia" w:ascii="宋体" w:hAnsi="宋体" w:cs="宋体"/>
          <w:color w:val="auto"/>
          <w:kern w:val="2"/>
          <w:sz w:val="21"/>
          <w:szCs w:val="21"/>
          <w:lang w:val="en-US" w:eastAsia="zh-CN" w:bidi="ar-SA"/>
        </w:rPr>
        <w:t>。共享课堂</w:t>
      </w:r>
      <w:r>
        <w:rPr>
          <w:rFonts w:hint="eastAsia" w:ascii="宋体" w:hAnsi="宋体" w:eastAsia="宋体" w:cs="宋体"/>
          <w:color w:val="auto"/>
          <w:kern w:val="2"/>
          <w:sz w:val="21"/>
          <w:szCs w:val="21"/>
          <w:lang w:val="en-US" w:eastAsia="zh-CN" w:bidi="ar-SA"/>
        </w:rPr>
        <w:t>在各大电视平台“智慧校园”推出，上午以公共基础课程为主，下午以与生活紧密相关的跨专业技能实操课程为主，每门课程由授课老师通过微信群、QQ群或钉钉群等通讯工具建立学习群提供在线答疑，帮助学生解决遇到的问题，课后及时复习巩固，得到了省内外广泛关注、认可和好评。</w:t>
      </w:r>
    </w:p>
    <w:p>
      <w:pPr>
        <w:keepNext/>
        <w:keepLines/>
        <w:wordWrap/>
        <w:adjustRightInd/>
        <w:snapToGrid/>
        <w:spacing w:before="157" w:beforeLines="50" w:afterLines="0" w:line="360" w:lineRule="auto"/>
        <w:ind w:firstLine="421" w:firstLineChars="200"/>
        <w:textAlignment w:val="auto"/>
        <w:outlineLvl w:val="1"/>
        <w:rPr>
          <w:rFonts w:hint="eastAsia" w:ascii="楷体_GB2312" w:hAnsi="楷体_GB2312" w:eastAsia="楷体_GB2312" w:cs="楷体_GB2312"/>
          <w:b/>
          <w:bCs/>
          <w:color w:val="auto"/>
          <w:kern w:val="44"/>
          <w:sz w:val="21"/>
          <w:szCs w:val="21"/>
          <w:lang w:val="zh-CN" w:eastAsia="zh-CN" w:bidi="ar-SA"/>
        </w:rPr>
      </w:pPr>
      <w:r>
        <w:rPr>
          <w:rFonts w:hint="eastAsia" w:ascii="楷体_GB2312" w:hAnsi="楷体_GB2312" w:eastAsia="楷体_GB2312" w:cs="楷体_GB2312"/>
          <w:b/>
          <w:bCs/>
          <w:color w:val="auto"/>
          <w:kern w:val="44"/>
          <w:sz w:val="21"/>
          <w:szCs w:val="21"/>
          <w:lang w:val="zh-CN" w:eastAsia="zh-CN" w:bidi="ar-SA"/>
        </w:rPr>
        <w:t>【案例7-</w:t>
      </w:r>
      <w:r>
        <w:rPr>
          <w:rFonts w:hint="eastAsia" w:ascii="楷体_GB2312" w:hAnsi="楷体_GB2312" w:eastAsia="楷体_GB2312" w:cs="楷体_GB2312"/>
          <w:b/>
          <w:bCs/>
          <w:color w:val="auto"/>
          <w:kern w:val="44"/>
          <w:sz w:val="21"/>
          <w:szCs w:val="21"/>
          <w:lang w:val="en-US" w:eastAsia="zh-CN" w:bidi="ar-SA"/>
        </w:rPr>
        <w:t>1</w:t>
      </w:r>
      <w:r>
        <w:rPr>
          <w:rFonts w:hint="eastAsia" w:ascii="楷体_GB2312" w:hAnsi="楷体_GB2312" w:eastAsia="楷体_GB2312" w:cs="楷体_GB2312"/>
          <w:b/>
          <w:bCs/>
          <w:color w:val="auto"/>
          <w:kern w:val="44"/>
          <w:sz w:val="21"/>
          <w:szCs w:val="21"/>
          <w:lang w:val="zh-CN" w:eastAsia="zh-CN" w:bidi="ar-SA"/>
        </w:rPr>
        <w:t>】线上线下混合式教学的中策之路</w:t>
      </w:r>
    </w:p>
    <w:p>
      <w:pPr>
        <w:widowControl w:val="0"/>
        <w:wordWrap/>
        <w:adjustRightInd/>
        <w:snapToGrid/>
        <w:spacing w:beforeLines="0" w:afterLines="0" w:line="360" w:lineRule="auto"/>
        <w:ind w:left="0" w:leftChars="0" w:right="0" w:firstLine="420" w:firstLineChars="200"/>
        <w:jc w:val="both"/>
        <w:textAlignment w:val="auto"/>
        <w:outlineLvl w:val="9"/>
        <w:rPr>
          <w:rFonts w:hint="eastAsia" w:ascii="仿宋_GB2312" w:hAnsi="仿宋_GB2312" w:eastAsia="仿宋_GB2312" w:cs="仿宋_GB2312"/>
          <w:b/>
          <w:bCs w:val="0"/>
          <w:color w:val="auto"/>
          <w:kern w:val="0"/>
          <w:sz w:val="21"/>
          <w:szCs w:val="21"/>
          <w:lang w:val="zh-CN" w:bidi="zh-CN"/>
        </w:rPr>
      </w:pPr>
      <w:r>
        <w:rPr>
          <w:rFonts w:hint="eastAsia" w:ascii="仿宋_GB2312" w:hAnsi="仿宋_GB2312" w:eastAsia="仿宋_GB2312" w:cs="仿宋_GB2312"/>
          <w:sz w:val="21"/>
          <w:szCs w:val="21"/>
        </w:rPr>
        <w:t>2020新年伊始，一场突如其来的疫情席卷中华大地。</w:t>
      </w:r>
      <w:r>
        <w:rPr>
          <w:rFonts w:hint="eastAsia" w:ascii="仿宋_GB2312" w:hAnsi="仿宋_GB2312" w:eastAsia="仿宋_GB2312" w:cs="仿宋_GB2312"/>
          <w:sz w:val="21"/>
          <w:szCs w:val="21"/>
          <w:lang w:eastAsia="zh-CN"/>
        </w:rPr>
        <w:t>杭州市中策职业学校</w:t>
      </w:r>
      <w:r>
        <w:rPr>
          <w:rFonts w:hint="eastAsia" w:ascii="仿宋_GB2312" w:hAnsi="仿宋_GB2312" w:eastAsia="仿宋_GB2312" w:cs="仿宋_GB2312"/>
          <w:sz w:val="21"/>
          <w:szCs w:val="21"/>
        </w:rPr>
        <w:t>迅速成立网络教学小组</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校长亲自挂帅担任组长，中层干部、骨干教师担任组员全面负责在线教育质量保障工作。全体中策师生群策群力，主动拥抱空中课堂“鸿”心战疫，制定《中策“鸿课堂”网络守则》《中策“鸿课堂”操作规范》等一系列规章制度，通过教师线上演示、微课展示的翻转课堂“线上学习”</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以成果为导向的“线下实操”为评价内容，通过多教学平台同步和互动，实时监测学习数据，线上监控线下弥补促进学生的技能学习，建立两级质控体系和在线听课制度，保障网络教学顺利实施，探索出了一条具有借鉴意义的防疫、抗疫“混合式教学”的新路。教学中依托各类网络资源，以备课组为单位进行集体网络备课，拿来主义+自主开发相结合，促进专业教学内容迭代更新。资源开发过程中既有以《妮说课程之一起</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照谣净</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》为代表的聚焦某一知识点进行精细化设计方便学生随时随地学习的“小而精”微课，又有以《吉刻雕》《雅餐厅》为代表的专题资源包。所有课程资源包围绕某一教学主题开设，同时提供相应的学习资料包</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满足学</w:t>
      </w:r>
      <w:r>
        <w:rPr>
          <w:rFonts w:hint="eastAsia" w:ascii="仿宋_GB2312" w:hAnsi="仿宋_GB2312" w:eastAsia="仿宋_GB2312" w:cs="仿宋_GB2312"/>
          <w:sz w:val="21"/>
          <w:szCs w:val="21"/>
          <w:lang w:eastAsia="zh-CN"/>
        </w:rPr>
        <w:t>生</w:t>
      </w:r>
      <w:r>
        <w:rPr>
          <w:rFonts w:hint="eastAsia" w:ascii="仿宋_GB2312" w:hAnsi="仿宋_GB2312" w:eastAsia="仿宋_GB2312" w:cs="仿宋_GB2312"/>
          <w:sz w:val="21"/>
          <w:szCs w:val="21"/>
        </w:rPr>
        <w:t>多样化学习需求。</w:t>
      </w:r>
    </w:p>
    <w:p>
      <w:pPr>
        <w:widowControl w:val="0"/>
        <w:wordWrap/>
        <w:adjustRightInd/>
        <w:snapToGrid/>
        <w:spacing w:before="157" w:beforeLines="50" w:afterLines="0" w:line="360" w:lineRule="auto"/>
        <w:ind w:left="0" w:leftChars="0" w:right="0" w:firstLine="0" w:firstLineChars="0"/>
        <w:jc w:val="both"/>
        <w:textAlignment w:val="auto"/>
        <w:outlineLvl w:val="9"/>
        <w:rPr>
          <w:rFonts w:hint="eastAsia" w:ascii="宋体" w:hAnsi="宋体" w:eastAsia="宋体" w:cs="宋体"/>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 xml:space="preserve">   </w:t>
      </w:r>
      <w:r>
        <w:rPr>
          <w:rFonts w:hint="eastAsia" w:ascii="宋体" w:hAnsi="宋体" w:eastAsia="宋体" w:cs="宋体"/>
          <w:b/>
          <w:bCs/>
          <w:color w:val="auto"/>
          <w:kern w:val="0"/>
          <w:sz w:val="21"/>
          <w:szCs w:val="21"/>
          <w:lang w:val="en-US" w:eastAsia="zh-CN" w:bidi="ar-SA"/>
        </w:rPr>
        <w:t xml:space="preserve"> 停课不停研</w:t>
      </w:r>
      <w:r>
        <w:rPr>
          <w:rFonts w:hint="eastAsia" w:ascii="宋体" w:hAnsi="宋体" w:cs="宋体"/>
          <w:b/>
          <w:bCs/>
          <w:color w:val="auto"/>
          <w:kern w:val="0"/>
          <w:sz w:val="21"/>
          <w:szCs w:val="21"/>
          <w:lang w:val="en-US" w:eastAsia="zh-CN" w:bidi="ar-SA"/>
        </w:rPr>
        <w:t>，全面展示“线上线下混合式教学”研究成果。</w:t>
      </w:r>
      <w:r>
        <w:rPr>
          <w:rFonts w:hint="eastAsia" w:ascii="宋体" w:hAnsi="宋体" w:eastAsia="宋体" w:cs="宋体"/>
          <w:color w:val="auto"/>
          <w:kern w:val="2"/>
          <w:sz w:val="21"/>
          <w:szCs w:val="21"/>
          <w:lang w:val="en-US" w:eastAsia="zh-CN" w:bidi="ar-SA"/>
        </w:rPr>
        <w:t xml:space="preserve">各专业（学科）充分依托教研大组，认真做好学校在线教学计划的指导工作；依据相关专业（学科）课程标准、学业水平测试要求，按照教学进度，研究制定线上教学计划；通过QQ、钉钉等平台在线教研方式，分层分批，有序组织名师、骨干教师等开展有针对性的线上教学设计、微课制作、资源整合等专题教研指导；充分挖掘全市各校的优质教学资源，做好线上教学资源的遴选、梳理，以及相关课程资源研发等工作，并遴选、推荐33门（项目）优秀教学资源送全省共享。 </w:t>
      </w:r>
    </w:p>
    <w:p>
      <w:pPr>
        <w:widowControl w:val="0"/>
        <w:wordWrap/>
        <w:adjustRightInd/>
        <w:snapToGrid/>
        <w:spacing w:beforeLines="0" w:afterLines="0" w:line="360" w:lineRule="auto"/>
        <w:ind w:left="0" w:leftChars="0" w:right="0" w:firstLine="420" w:firstLineChars="200"/>
        <w:jc w:val="both"/>
        <w:textAlignment w:val="auto"/>
        <w:outlineLvl w:val="9"/>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疫情期间，杭州中职先后完成了《杭州市中等职业学校“停课不停学”在线教学实施情况统计表》《杭州中职在线教学实施的现状、亮点与建议》《疫情危机下中职在线教学的应对、反思与创新》等调研及研究报告，发表了《在线教学，“应急之举”如何融入教改》（《中国教育报》2020年03月10日第9版）、《杭州中职“在线教学”注重提升课堂效果》（《光明日报》电子版 2020.3.31）《线上教学，未来职业教育的新思考》（《浙江教育报》2020年4月3日）。这些文章的发表，既体现了疫情期间杭州中职教育教学的深入研究，也对杭州职业教育起到了广泛的宣传效应。</w:t>
      </w:r>
    </w:p>
    <w:p>
      <w:pPr>
        <w:keepNext/>
        <w:keepLines/>
        <w:wordWrap/>
        <w:adjustRightInd/>
        <w:snapToGrid/>
        <w:spacing w:before="157" w:beforeLines="50" w:afterLines="0" w:line="360" w:lineRule="auto"/>
        <w:ind w:firstLine="421" w:firstLineChars="200"/>
        <w:textAlignment w:val="auto"/>
        <w:outlineLvl w:val="1"/>
        <w:rPr>
          <w:rFonts w:hint="eastAsia" w:ascii="楷体_GB2312" w:hAnsi="楷体_GB2312" w:eastAsia="楷体_GB2312" w:cs="楷体_GB2312"/>
          <w:b/>
          <w:bCs/>
          <w:color w:val="auto"/>
          <w:kern w:val="44"/>
          <w:sz w:val="21"/>
          <w:szCs w:val="21"/>
          <w:lang w:val="en-US" w:eastAsia="zh-CN" w:bidi="ar-SA"/>
        </w:rPr>
      </w:pPr>
      <w:r>
        <w:rPr>
          <w:rFonts w:hint="eastAsia" w:ascii="楷体_GB2312" w:hAnsi="楷体_GB2312" w:eastAsia="楷体_GB2312" w:cs="楷体_GB2312"/>
          <w:b/>
          <w:bCs/>
          <w:color w:val="auto"/>
          <w:kern w:val="44"/>
          <w:sz w:val="21"/>
          <w:szCs w:val="21"/>
          <w:lang w:val="zh-CN" w:eastAsia="zh-CN" w:bidi="ar-SA"/>
        </w:rPr>
        <w:t>【案例7-</w:t>
      </w:r>
      <w:r>
        <w:rPr>
          <w:rFonts w:hint="eastAsia" w:ascii="楷体_GB2312" w:hAnsi="楷体_GB2312" w:eastAsia="楷体_GB2312" w:cs="楷体_GB2312"/>
          <w:b/>
          <w:bCs/>
          <w:color w:val="auto"/>
          <w:kern w:val="44"/>
          <w:sz w:val="21"/>
          <w:szCs w:val="21"/>
          <w:lang w:val="en-US" w:eastAsia="zh-CN" w:bidi="ar-SA"/>
        </w:rPr>
        <w:t>2</w:t>
      </w:r>
      <w:r>
        <w:rPr>
          <w:rFonts w:hint="eastAsia" w:ascii="楷体_GB2312" w:hAnsi="楷体_GB2312" w:eastAsia="楷体_GB2312" w:cs="楷体_GB2312"/>
          <w:b/>
          <w:bCs/>
          <w:color w:val="auto"/>
          <w:kern w:val="44"/>
          <w:sz w:val="21"/>
          <w:szCs w:val="21"/>
          <w:lang w:val="zh-CN" w:eastAsia="zh-CN" w:bidi="ar-SA"/>
        </w:rPr>
        <w:t>】杭州市职教改革及疫情与教育专项研究成果成效显著</w:t>
      </w:r>
    </w:p>
    <w:p>
      <w:pPr>
        <w:widowControl w:val="0"/>
        <w:wordWrap/>
        <w:adjustRightInd/>
        <w:snapToGrid/>
        <w:spacing w:beforeLines="0" w:afterLines="0" w:line="360" w:lineRule="auto"/>
        <w:ind w:left="0" w:leftChars="0" w:right="0" w:firstLine="420" w:firstLineChars="200"/>
        <w:jc w:val="both"/>
        <w:textAlignment w:val="auto"/>
        <w:outlineLvl w:val="9"/>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杭州中职教育教学借“浙江省首届孵化项目申报和推进”“浙江省职业教育精品化课题申报”“杭州市职业教育课题立项”之机，将“教育科研做在祖国大地上”。在2020年浙江省职业教育改革优秀典型案例评选中，杭州有9个案例入选（全省共50个）；2020年浙江省职业教育改革典型案例，杭州有3个案例入选（全省33个）。在2020浙江省“疫情与教育”专项课题申报中，杭州市总计报送了81个相关课题，《整体设计：疫情背景下中职语文在线教学的策略研究 》等八项课题成功立项，立项数量在全省位居第一。</w:t>
      </w:r>
    </w:p>
    <w:p>
      <w:pPr>
        <w:spacing w:before="157" w:beforeLines="50" w:after="0" w:afterLines="0" w:line="360" w:lineRule="auto"/>
        <w:ind w:firstLine="450" w:firstLineChars="150"/>
        <w:rPr>
          <w:rFonts w:hint="eastAsia" w:ascii="黑体" w:hAnsi="黑体" w:eastAsia="黑体" w:cs="黑体"/>
          <w:b w:val="0"/>
          <w:color w:val="auto"/>
          <w:sz w:val="30"/>
          <w:szCs w:val="30"/>
        </w:rPr>
      </w:pPr>
      <w:bookmarkStart w:id="203" w:name="_Toc1812073602_WPSOffice_Level1"/>
      <w:bookmarkStart w:id="204" w:name="_Toc420035545_WPSOffice_Level1"/>
      <w:bookmarkStart w:id="205" w:name="_Toc717530092_WPSOffice_Level2"/>
      <w:r>
        <w:rPr>
          <w:rFonts w:hint="eastAsia" w:ascii="黑体" w:hAnsi="黑体" w:eastAsia="黑体" w:cs="黑体"/>
          <w:b w:val="0"/>
          <w:bCs w:val="0"/>
          <w:color w:val="auto"/>
          <w:kern w:val="44"/>
          <w:sz w:val="30"/>
          <w:szCs w:val="30"/>
          <w:lang w:val="en-US" w:eastAsia="zh-CN" w:bidi="ar-SA"/>
        </w:rPr>
        <w:t>7.2 持续推</w:t>
      </w:r>
      <w:r>
        <w:rPr>
          <w:rFonts w:hint="eastAsia" w:ascii="黑体" w:hAnsi="黑体" w:eastAsia="黑体" w:cs="黑体"/>
          <w:b w:val="0"/>
          <w:bCs w:val="0"/>
          <w:color w:val="auto"/>
          <w:kern w:val="44"/>
          <w:sz w:val="30"/>
          <w:szCs w:val="30"/>
          <w:lang w:val="en-US" w:eastAsia="zh-CN"/>
        </w:rPr>
        <w:t>进，将教学改革落到实处</w:t>
      </w:r>
      <w:bookmarkEnd w:id="203"/>
      <w:bookmarkEnd w:id="204"/>
      <w:bookmarkEnd w:id="205"/>
    </w:p>
    <w:p>
      <w:pPr>
        <w:wordWrap/>
        <w:adjustRightInd/>
        <w:snapToGrid/>
        <w:spacing w:beforeLines="0" w:beforeAutospacing="0" w:afterLines="0" w:afterAutospacing="0" w:line="360" w:lineRule="auto"/>
        <w:ind w:left="0" w:leftChars="0" w:right="0" w:firstLine="600"/>
        <w:textAlignment w:val="auto"/>
        <w:outlineLvl w:val="9"/>
        <w:rPr>
          <w:rFonts w:hint="eastAsia" w:ascii="宋体" w:hAnsi="宋体"/>
          <w:bCs/>
          <w:color w:val="auto"/>
          <w:sz w:val="21"/>
          <w:szCs w:val="21"/>
        </w:rPr>
      </w:pPr>
      <w:r>
        <w:rPr>
          <w:rFonts w:hint="eastAsia" w:ascii="宋体" w:hAnsi="宋体"/>
          <w:b/>
          <w:color w:val="auto"/>
          <w:sz w:val="21"/>
          <w:szCs w:val="21"/>
          <w:lang w:eastAsia="zh-CN"/>
        </w:rPr>
        <w:t>推进</w:t>
      </w:r>
      <w:r>
        <w:rPr>
          <w:rFonts w:hint="eastAsia" w:ascii="宋体" w:hAnsi="宋体"/>
          <w:b/>
          <w:color w:val="auto"/>
          <w:sz w:val="21"/>
          <w:szCs w:val="21"/>
        </w:rPr>
        <w:t>“1+X”证书制度试点。</w:t>
      </w:r>
      <w:r>
        <w:rPr>
          <w:rFonts w:hint="eastAsia" w:ascii="宋体" w:hAnsi="宋体"/>
          <w:bCs/>
          <w:sz w:val="21"/>
          <w:szCs w:val="21"/>
          <w:lang w:eastAsia="zh-CN"/>
        </w:rPr>
        <w:t>杭州</w:t>
      </w:r>
      <w:r>
        <w:rPr>
          <w:rFonts w:hint="eastAsia" w:ascii="宋体" w:hAnsi="宋体"/>
          <w:bCs/>
          <w:sz w:val="21"/>
          <w:szCs w:val="21"/>
        </w:rPr>
        <w:t>市积极贯彻落实职教20条，推动</w:t>
      </w:r>
      <w:r>
        <w:rPr>
          <w:rFonts w:hint="eastAsia" w:ascii="宋体" w:hAnsi="宋体"/>
          <w:bCs/>
          <w:sz w:val="21"/>
          <w:szCs w:val="21"/>
          <w:lang w:eastAsia="zh-CN"/>
        </w:rPr>
        <w:t>职业</w:t>
      </w:r>
      <w:r>
        <w:rPr>
          <w:rFonts w:hint="eastAsia" w:ascii="宋体" w:hAnsi="宋体"/>
          <w:bCs/>
          <w:sz w:val="21"/>
          <w:szCs w:val="21"/>
        </w:rPr>
        <w:t>学校积极参与“1+X”证书制度建设，并将试点工作作为重要抓手，全面深化职业教育改革，提高人才培养质量，提升学生就业本领。目前，</w:t>
      </w:r>
      <w:r>
        <w:rPr>
          <w:rFonts w:hint="eastAsia" w:asciiTheme="minorEastAsia" w:hAnsiTheme="minorEastAsia" w:eastAsiaTheme="minorEastAsia" w:cstheme="minorEastAsia"/>
          <w:sz w:val="21"/>
          <w:szCs w:val="21"/>
          <w:lang w:val="en-US" w:eastAsia="zh-CN"/>
        </w:rPr>
        <w:t>我市共有24所中职学校参与试点，涉及34个专业、57类(86项)证书，试点的学生规模达5650人次。</w:t>
      </w:r>
    </w:p>
    <w:p>
      <w:pPr>
        <w:keepNext/>
        <w:keepLines/>
        <w:wordWrap/>
        <w:adjustRightInd/>
        <w:snapToGrid/>
        <w:spacing w:before="157" w:beforeLines="50" w:afterLines="0" w:line="360" w:lineRule="auto"/>
        <w:ind w:firstLine="421" w:firstLineChars="200"/>
        <w:textAlignment w:val="auto"/>
        <w:outlineLvl w:val="1"/>
        <w:rPr>
          <w:rFonts w:hint="eastAsia" w:ascii="楷体_GB2312" w:hAnsi="楷体_GB2312" w:eastAsia="楷体_GB2312" w:cs="楷体_GB2312"/>
          <w:b/>
          <w:color w:val="auto"/>
          <w:kern w:val="0"/>
          <w:sz w:val="21"/>
          <w:szCs w:val="21"/>
          <w:lang w:val="en-US" w:eastAsia="zh-CN" w:bidi="ar-SA"/>
        </w:rPr>
      </w:pPr>
      <w:r>
        <w:rPr>
          <w:rFonts w:hint="eastAsia" w:ascii="楷体_GB2312" w:hAnsi="楷体_GB2312" w:eastAsia="楷体_GB2312" w:cs="楷体_GB2312"/>
          <w:b/>
          <w:bCs/>
          <w:color w:val="auto"/>
          <w:kern w:val="44"/>
          <w:sz w:val="21"/>
          <w:szCs w:val="21"/>
          <w:lang w:val="zh-CN" w:eastAsia="zh-CN" w:bidi="ar-SA"/>
        </w:rPr>
        <w:t>【案例7-</w:t>
      </w:r>
      <w:r>
        <w:rPr>
          <w:rFonts w:hint="eastAsia" w:ascii="楷体_GB2312" w:hAnsi="楷体_GB2312" w:eastAsia="楷体_GB2312" w:cs="楷体_GB2312"/>
          <w:b/>
          <w:bCs/>
          <w:color w:val="auto"/>
          <w:kern w:val="44"/>
          <w:sz w:val="21"/>
          <w:szCs w:val="21"/>
          <w:lang w:val="en-US" w:eastAsia="zh-CN" w:bidi="ar-SA"/>
        </w:rPr>
        <w:t>3</w:t>
      </w:r>
      <w:r>
        <w:rPr>
          <w:rFonts w:hint="eastAsia" w:ascii="楷体_GB2312" w:hAnsi="楷体_GB2312" w:eastAsia="楷体_GB2312" w:cs="楷体_GB2312"/>
          <w:b/>
          <w:bCs/>
          <w:color w:val="auto"/>
          <w:kern w:val="44"/>
          <w:sz w:val="21"/>
          <w:szCs w:val="21"/>
          <w:lang w:val="zh-CN" w:eastAsia="zh-CN" w:bidi="ar-SA"/>
        </w:rPr>
        <w:t>】杭州市交通职业高级中学</w:t>
      </w:r>
      <w:r>
        <w:rPr>
          <w:rFonts w:hint="eastAsia" w:ascii="楷体_GB2312" w:hAnsi="楷体_GB2312" w:eastAsia="楷体_GB2312" w:cs="楷体_GB2312"/>
          <w:b/>
          <w:bCs/>
          <w:color w:val="auto"/>
          <w:kern w:val="44"/>
          <w:sz w:val="21"/>
          <w:szCs w:val="21"/>
          <w:lang w:val="en-US" w:eastAsia="zh-CN" w:bidi="ar-SA"/>
        </w:rPr>
        <w:t>1+X人才培养</w:t>
      </w:r>
    </w:p>
    <w:p>
      <w:pPr>
        <w:wordWrap/>
        <w:adjustRightInd/>
        <w:snapToGrid/>
        <w:spacing w:beforeLines="0" w:afterLines="0" w:line="360" w:lineRule="auto"/>
        <w:ind w:left="0" w:leftChars="0" w:right="0" w:firstLine="420" w:firstLineChars="200"/>
        <w:textAlignment w:val="auto"/>
        <w:outlineLvl w:val="9"/>
        <w:rPr>
          <w:rFonts w:hint="eastAsia" w:ascii="仿宋_GB2312" w:hAnsi="仿宋_GB2312" w:eastAsia="仿宋_GB2312" w:cs="仿宋_GB2312"/>
          <w:b/>
          <w:color w:val="auto"/>
          <w:kern w:val="0"/>
          <w:sz w:val="21"/>
          <w:szCs w:val="21"/>
          <w:lang w:val="en-US" w:eastAsia="zh-CN" w:bidi="ar-SA"/>
        </w:rPr>
      </w:pPr>
      <w:r>
        <w:rPr>
          <w:rFonts w:hint="eastAsia" w:ascii="仿宋_GB2312" w:hAnsi="仿宋_GB2312" w:eastAsia="仿宋_GB2312" w:cs="仿宋_GB2312"/>
          <w:sz w:val="21"/>
          <w:szCs w:val="21"/>
        </w:rPr>
        <w:t>2020年，</w:t>
      </w:r>
      <w:r>
        <w:rPr>
          <w:rFonts w:hint="eastAsia" w:ascii="仿宋_GB2312" w:hAnsi="仿宋_GB2312" w:eastAsia="仿宋_GB2312" w:cs="仿宋_GB2312"/>
          <w:sz w:val="21"/>
          <w:szCs w:val="21"/>
          <w:lang w:eastAsia="zh-CN"/>
        </w:rPr>
        <w:t>杭州市交通职高</w:t>
      </w:r>
      <w:r>
        <w:rPr>
          <w:rFonts w:hint="eastAsia" w:ascii="仿宋_GB2312" w:hAnsi="仿宋_GB2312" w:eastAsia="仿宋_GB2312" w:cs="仿宋_GB2312"/>
          <w:sz w:val="21"/>
          <w:szCs w:val="21"/>
        </w:rPr>
        <w:t>新增智能网联汽车检测与运维、城市轨道交通乘务职业技能等两个1+X技能等级证书，实现现有专业1+X证书的全覆盖，将1+X证书制度试点与专业建设、课程建设、教师队伍建设等紧密结合，推进“1”和“X”的有机衔接，提升职业教育质量和学生就业能力。一是抓紧开展汽车领域 1+X 师资培训，组建1+X师资培训共同体，打造了一支高素质、高标准、有规模的1+X师资培训队伍；二是积极推进证书培训、考核与课程建设相结合，进一步完善了现有课程体系和课程标准；三是进一步关注课堂教学改革，关注在1+X证书试点、现代学徒制以及教学信息化背景下的专业课堂教学发展趋势，形成了精准教学、情境教学、混合学习等基于能力本位的适合于新形势下的课堂教学新模式；四是推进1+X试点项目建设和校企合作相结合，邀请企业技能大师参与资质考培、证书培训、证书考核；五是继续推进城轨专业建设，以“升学+就业”为目标，进一步优化“升学+就业”城轨专业双体系课程结构。经过一系列的专业建设和课程改革措施，学生的学习能力、岗位适应能力、职业能力和工匠精神显著提升。</w:t>
      </w:r>
    </w:p>
    <w:p>
      <w:pPr>
        <w:pStyle w:val="20"/>
        <w:widowControl/>
        <w:wordWrap/>
        <w:adjustRightInd/>
        <w:snapToGrid/>
        <w:spacing w:before="157" w:beforeLines="50" w:beforeAutospacing="0" w:after="0" w:afterLines="0" w:afterAutospacing="0" w:line="360" w:lineRule="auto"/>
        <w:ind w:left="0" w:leftChars="0" w:right="0"/>
        <w:textAlignment w:val="auto"/>
        <w:outlineLvl w:val="9"/>
        <w:rPr>
          <w:rFonts w:hint="eastAsia" w:ascii="宋体" w:hAnsi="宋体" w:eastAsia="宋体" w:cs="宋体"/>
          <w:bCs/>
          <w:kern w:val="0"/>
          <w:sz w:val="21"/>
          <w:szCs w:val="21"/>
          <w:lang w:val="en-US" w:eastAsia="zh-CN" w:bidi="ar-SA"/>
        </w:rPr>
      </w:pPr>
      <w:r>
        <w:rPr>
          <w:rFonts w:hint="eastAsia" w:cs="Times New Roman"/>
          <w:b/>
          <w:color w:val="auto"/>
          <w:kern w:val="0"/>
          <w:sz w:val="21"/>
          <w:szCs w:val="21"/>
          <w:lang w:val="en-US" w:eastAsia="zh-CN" w:bidi="ar-SA"/>
        </w:rPr>
        <w:t xml:space="preserve">    </w:t>
      </w:r>
      <w:r>
        <w:rPr>
          <w:rFonts w:hint="eastAsia" w:ascii="宋体" w:hAnsi="宋体" w:eastAsia="宋体" w:cs="Times New Roman"/>
          <w:b/>
          <w:color w:val="auto"/>
          <w:kern w:val="0"/>
          <w:sz w:val="21"/>
          <w:szCs w:val="21"/>
          <w:lang w:val="en-US" w:eastAsia="zh-CN" w:bidi="ar-SA"/>
        </w:rPr>
        <w:t>变革拓宽教学空间。</w:t>
      </w:r>
      <w:r>
        <w:rPr>
          <w:rFonts w:hint="eastAsia" w:ascii="宋体" w:hAnsi="宋体" w:eastAsia="宋体" w:cs="宋体"/>
          <w:bCs/>
          <w:kern w:val="0"/>
          <w:sz w:val="21"/>
          <w:szCs w:val="21"/>
          <w:lang w:val="en-US" w:eastAsia="zh-CN" w:bidi="ar-SA"/>
        </w:rPr>
        <w:t>职业教育的学习场所涉及企业与学校两大空间，横跨职业与教育两大领域的主体机构，其教育教学无法在“去情境化”的单一学校环境中实现，而是要在学校、企业或其他社会机构</w:t>
      </w:r>
      <w:r>
        <w:rPr>
          <w:rFonts w:hint="eastAsia" w:cs="宋体"/>
          <w:bCs/>
          <w:kern w:val="0"/>
          <w:sz w:val="21"/>
          <w:szCs w:val="21"/>
          <w:lang w:val="en-US" w:eastAsia="zh-CN" w:bidi="ar-SA"/>
        </w:rPr>
        <w:t>或云端</w:t>
      </w:r>
      <w:r>
        <w:rPr>
          <w:rFonts w:hint="eastAsia" w:ascii="宋体" w:hAnsi="宋体" w:eastAsia="宋体" w:cs="宋体"/>
          <w:bCs/>
          <w:kern w:val="0"/>
          <w:sz w:val="21"/>
          <w:szCs w:val="21"/>
          <w:lang w:val="en-US" w:eastAsia="zh-CN" w:bidi="ar-SA"/>
        </w:rPr>
        <w:t>两个以上的学习地点进行</w:t>
      </w:r>
      <w:r>
        <w:rPr>
          <w:rFonts w:hint="eastAsia" w:cs="宋体"/>
          <w:bCs/>
          <w:kern w:val="0"/>
          <w:sz w:val="21"/>
          <w:szCs w:val="21"/>
          <w:lang w:val="en-US" w:eastAsia="zh-CN" w:bidi="ar-SA"/>
        </w:rPr>
        <w:t>。中职</w:t>
      </w:r>
      <w:r>
        <w:rPr>
          <w:rFonts w:hint="eastAsia" w:ascii="宋体" w:hAnsi="宋体" w:eastAsia="宋体" w:cs="宋体"/>
          <w:bCs/>
          <w:kern w:val="0"/>
          <w:sz w:val="21"/>
          <w:szCs w:val="21"/>
          <w:lang w:val="en-US" w:eastAsia="zh-CN" w:bidi="ar-SA"/>
        </w:rPr>
        <w:t>学校</w:t>
      </w:r>
      <w:r>
        <w:rPr>
          <w:rFonts w:hint="eastAsia" w:cs="宋体"/>
          <w:bCs/>
          <w:kern w:val="0"/>
          <w:sz w:val="21"/>
          <w:szCs w:val="21"/>
          <w:lang w:val="en-US" w:eastAsia="zh-CN" w:bidi="ar-SA"/>
        </w:rPr>
        <w:t>必将</w:t>
      </w:r>
      <w:r>
        <w:rPr>
          <w:rFonts w:hint="eastAsia" w:ascii="宋体" w:hAnsi="宋体" w:eastAsia="宋体" w:cs="宋体"/>
          <w:bCs/>
          <w:kern w:val="0"/>
          <w:sz w:val="21"/>
          <w:szCs w:val="21"/>
          <w:lang w:val="en-US" w:eastAsia="zh-CN" w:bidi="ar-SA"/>
        </w:rPr>
        <w:t>向社会方方面面及用人单位延伸，构成多元、多样命运共同体之下的新型“学校”，其内涵和外延将发生根本性变化，更加多元、更加灵活、更加开放</w:t>
      </w:r>
      <w:r>
        <w:rPr>
          <w:rFonts w:hint="eastAsia" w:cs="宋体"/>
          <w:bCs/>
          <w:kern w:val="0"/>
          <w:sz w:val="21"/>
          <w:szCs w:val="21"/>
          <w:lang w:val="en-US" w:eastAsia="zh-CN" w:bidi="ar-SA"/>
        </w:rPr>
        <w:t>。2020年，杭州市各校在深化教育教学改革过程中，涌现出了很多值得推广的学校变革理念与做法。</w:t>
      </w:r>
    </w:p>
    <w:p>
      <w:pPr>
        <w:keepNext/>
        <w:keepLines/>
        <w:wordWrap/>
        <w:adjustRightInd/>
        <w:snapToGrid/>
        <w:spacing w:before="157" w:beforeLines="50" w:afterLines="0" w:line="360" w:lineRule="auto"/>
        <w:ind w:firstLine="421" w:firstLineChars="200"/>
        <w:textAlignment w:val="auto"/>
        <w:outlineLvl w:val="1"/>
        <w:rPr>
          <w:rFonts w:hint="eastAsia" w:ascii="楷体_GB2312" w:hAnsi="楷体_GB2312" w:eastAsia="楷体_GB2312" w:cs="楷体_GB2312"/>
          <w:b/>
          <w:bCs/>
          <w:color w:val="auto"/>
          <w:kern w:val="44"/>
          <w:sz w:val="21"/>
          <w:szCs w:val="21"/>
          <w:lang w:val="zh-CN" w:eastAsia="zh-CN" w:bidi="ar-SA"/>
        </w:rPr>
      </w:pPr>
      <w:r>
        <w:rPr>
          <w:rFonts w:hint="eastAsia" w:ascii="楷体_GB2312" w:hAnsi="楷体_GB2312" w:eastAsia="楷体_GB2312" w:cs="楷体_GB2312"/>
          <w:b/>
          <w:bCs/>
          <w:color w:val="auto"/>
          <w:kern w:val="44"/>
          <w:sz w:val="21"/>
          <w:szCs w:val="21"/>
          <w:lang w:val="zh-CN" w:eastAsia="zh-CN" w:bidi="ar-SA"/>
        </w:rPr>
        <w:t>【案例7-</w:t>
      </w:r>
      <w:r>
        <w:rPr>
          <w:rFonts w:hint="eastAsia" w:ascii="楷体_GB2312" w:hAnsi="楷体_GB2312" w:eastAsia="楷体_GB2312" w:cs="楷体_GB2312"/>
          <w:b/>
          <w:bCs/>
          <w:color w:val="auto"/>
          <w:kern w:val="44"/>
          <w:sz w:val="21"/>
          <w:szCs w:val="21"/>
          <w:lang w:val="en-US" w:eastAsia="zh-CN" w:bidi="ar-SA"/>
        </w:rPr>
        <w:t>4</w:t>
      </w:r>
      <w:r>
        <w:rPr>
          <w:rFonts w:hint="eastAsia" w:ascii="楷体_GB2312" w:hAnsi="楷体_GB2312" w:eastAsia="楷体_GB2312" w:cs="楷体_GB2312"/>
          <w:b/>
          <w:bCs/>
          <w:color w:val="auto"/>
          <w:kern w:val="44"/>
          <w:sz w:val="21"/>
          <w:szCs w:val="21"/>
          <w:lang w:val="zh-CN" w:eastAsia="zh-CN" w:bidi="ar-SA"/>
        </w:rPr>
        <w:t>】杭州市旅游职业学校“杭旅融平台”</w:t>
      </w:r>
    </w:p>
    <w:p>
      <w:pPr>
        <w:widowControl w:val="0"/>
        <w:wordWrap/>
        <w:adjustRightInd/>
        <w:snapToGrid/>
        <w:spacing w:beforeLines="0" w:afterLines="0" w:line="360" w:lineRule="auto"/>
        <w:ind w:left="0" w:leftChars="0" w:right="0" w:firstLine="480"/>
        <w:jc w:val="left"/>
        <w:textAlignment w:val="auto"/>
        <w:outlineLvl w:val="9"/>
        <w:rPr>
          <w:rFonts w:hint="eastAsia" w:ascii="仿宋_GB2312" w:hAnsi="仿宋_GB2312" w:eastAsia="仿宋_GB2312" w:cs="仿宋_GB2312"/>
          <w:b/>
          <w:bCs w:val="0"/>
          <w:color w:val="auto"/>
          <w:kern w:val="0"/>
          <w:sz w:val="21"/>
          <w:szCs w:val="21"/>
          <w:lang w:val="zh-CN" w:bidi="zh-CN"/>
        </w:rPr>
      </w:pPr>
      <w:r>
        <w:rPr>
          <w:rFonts w:hint="eastAsia" w:ascii="仿宋_GB2312" w:hAnsi="仿宋_GB2312" w:eastAsia="仿宋_GB2312" w:cs="仿宋_GB2312"/>
          <w:color w:val="auto"/>
          <w:sz w:val="21"/>
          <w:szCs w:val="21"/>
        </w:rPr>
        <w:t>旅游业与信息产业快速融合，培养具有适应旅游业态变化和终身发展品质的现代服务复合型人才日渐迫切。传统旅游实训场馆已无法满足新旅游产业人才培养需求，实训场馆亟需迭代升级。杭州市旅游职业学校立足现代服务复合型人才培养定位开展顶层设计，通过对标真实企业环境，满足“实训、体验、研学、智创”四位一体的多功能教学要求，依托“杭旅融”智慧学习平台，建设沉浸式学习环境，虚实融合构建多样化的学习空间，创设学生能力培养支持性的智能+实训环境，强化认知与能力的连接；引导学生在体验和探究活动中主动学习、深度学习，合理采用交互技术工具，使学生基于真环境开展沉浸式学习，基于真情境中创设支持个性化学习，基于真岗位技能训练实现交互式学习，推进真运作包岗轮学满足多元化成长，从而实现知识技能向职场岗位、现实生活的迁移；通过校企合作对接生产，共同设计全链式课程，学习内容全面覆盖岗位核心技能，技能学习实现全程可视化，学习评价与生产标准实现全方对接，跨界融合满足全景学习，从而实现</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四全育人</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。基于学校大脑数据支持的智慧实训模式，实现智慧实训一体化管理</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为中职复合型人才培养提供了可借鉴可模仿的新思路。</w:t>
      </w:r>
    </w:p>
    <w:p>
      <w:pPr>
        <w:keepNext/>
        <w:keepLines/>
        <w:wordWrap/>
        <w:adjustRightInd/>
        <w:snapToGrid/>
        <w:spacing w:before="157" w:beforeLines="50" w:afterLines="0" w:line="360" w:lineRule="auto"/>
        <w:ind w:firstLine="421" w:firstLineChars="200"/>
        <w:textAlignment w:val="auto"/>
        <w:outlineLvl w:val="1"/>
        <w:rPr>
          <w:rFonts w:hint="eastAsia" w:ascii="楷体_GB2312" w:hAnsi="楷体_GB2312" w:eastAsia="楷体_GB2312" w:cs="楷体_GB2312"/>
          <w:b/>
          <w:bCs/>
          <w:color w:val="auto"/>
          <w:kern w:val="44"/>
          <w:sz w:val="21"/>
          <w:szCs w:val="21"/>
          <w:lang w:val="en-US" w:eastAsia="zh-CN" w:bidi="ar-SA"/>
        </w:rPr>
      </w:pPr>
      <w:r>
        <w:rPr>
          <w:rFonts w:hint="eastAsia" w:ascii="楷体_GB2312" w:hAnsi="楷体_GB2312" w:eastAsia="楷体_GB2312" w:cs="楷体_GB2312"/>
          <w:b/>
          <w:bCs/>
          <w:color w:val="auto"/>
          <w:kern w:val="44"/>
          <w:sz w:val="21"/>
          <w:szCs w:val="21"/>
          <w:lang w:val="zh-CN" w:eastAsia="zh-CN" w:bidi="ar-SA"/>
        </w:rPr>
        <w:t>【案例7-</w:t>
      </w:r>
      <w:r>
        <w:rPr>
          <w:rFonts w:hint="eastAsia" w:ascii="楷体_GB2312" w:hAnsi="楷体_GB2312" w:eastAsia="楷体_GB2312" w:cs="楷体_GB2312"/>
          <w:b/>
          <w:bCs/>
          <w:color w:val="auto"/>
          <w:kern w:val="44"/>
          <w:sz w:val="21"/>
          <w:szCs w:val="21"/>
          <w:lang w:val="en-US" w:eastAsia="zh-CN" w:bidi="ar-SA"/>
        </w:rPr>
        <w:t>5</w:t>
      </w:r>
      <w:r>
        <w:rPr>
          <w:rFonts w:hint="eastAsia" w:ascii="楷体_GB2312" w:hAnsi="楷体_GB2312" w:eastAsia="楷体_GB2312" w:cs="楷体_GB2312"/>
          <w:b/>
          <w:bCs/>
          <w:color w:val="auto"/>
          <w:kern w:val="44"/>
          <w:sz w:val="21"/>
          <w:szCs w:val="21"/>
          <w:lang w:val="zh-CN" w:eastAsia="zh-CN" w:bidi="ar-SA"/>
        </w:rPr>
        <w:t>】杭州市开元商贸专业学校“实战场”</w:t>
      </w:r>
    </w:p>
    <w:p>
      <w:pPr>
        <w:widowControl w:val="0"/>
        <w:wordWrap/>
        <w:autoSpaceDE w:val="0"/>
        <w:autoSpaceDN w:val="0"/>
        <w:adjustRightInd/>
        <w:snapToGrid/>
        <w:spacing w:beforeLines="0" w:afterLines="0" w:line="360" w:lineRule="auto"/>
        <w:ind w:left="0" w:leftChars="0" w:right="0" w:firstLine="420" w:firstLineChars="200"/>
        <w:textAlignment w:val="auto"/>
        <w:outlineLvl w:val="9"/>
        <w:rPr>
          <w:rFonts w:hint="eastAsia" w:ascii="仿宋_GB2312" w:hAnsi="仿宋_GB2312" w:eastAsia="仿宋_GB2312" w:cs="仿宋_GB2312"/>
          <w:color w:val="auto"/>
          <w:kern w:val="0"/>
          <w:sz w:val="21"/>
          <w:szCs w:val="21"/>
          <w:lang w:val="zh-CN" w:bidi="zh-CN"/>
        </w:rPr>
      </w:pPr>
      <w:r>
        <w:rPr>
          <w:rFonts w:hint="eastAsia" w:ascii="仿宋_GB2312" w:hAnsi="仿宋_GB2312" w:eastAsia="仿宋_GB2312" w:cs="仿宋_GB2312"/>
          <w:color w:val="auto"/>
          <w:kern w:val="0"/>
          <w:sz w:val="21"/>
          <w:szCs w:val="21"/>
          <w:lang w:val="zh-CN" w:bidi="zh-CN"/>
        </w:rPr>
        <w:t>十余年来，杭州市开元商贸职业学校一直致力于在基于实战场的商贸类专业建设上不断创新，</w:t>
      </w:r>
      <w:r>
        <w:rPr>
          <w:rFonts w:hint="eastAsia" w:ascii="仿宋_GB2312" w:hAnsi="仿宋_GB2312" w:eastAsia="仿宋_GB2312" w:cs="仿宋_GB2312"/>
          <w:color w:val="auto"/>
          <w:kern w:val="0"/>
          <w:sz w:val="21"/>
          <w:szCs w:val="21"/>
          <w:lang w:val="zh-CN" w:eastAsia="zh-CN" w:bidi="zh-CN"/>
        </w:rPr>
        <w:t>以</w:t>
      </w:r>
      <w:r>
        <w:rPr>
          <w:rFonts w:hint="eastAsia" w:ascii="仿宋_GB2312" w:hAnsi="仿宋_GB2312" w:eastAsia="仿宋_GB2312" w:cs="仿宋_GB2312"/>
          <w:color w:val="auto"/>
          <w:kern w:val="0"/>
          <w:sz w:val="21"/>
          <w:szCs w:val="21"/>
          <w:lang w:val="zh-CN" w:bidi="zh-CN"/>
        </w:rPr>
        <w:t>适应互联网+时代对新商科跨界人才的新要求</w:t>
      </w:r>
      <w:r>
        <w:rPr>
          <w:rFonts w:hint="eastAsia" w:ascii="仿宋_GB2312" w:hAnsi="仿宋_GB2312" w:eastAsia="仿宋_GB2312" w:cs="仿宋_GB2312"/>
          <w:color w:val="auto"/>
          <w:kern w:val="0"/>
          <w:sz w:val="21"/>
          <w:szCs w:val="21"/>
          <w:lang w:val="en-US" w:eastAsia="zh-CN" w:bidi="zh-CN"/>
        </w:rPr>
        <w:t>。“实战场”以</w:t>
      </w:r>
      <w:r>
        <w:rPr>
          <w:rFonts w:hint="eastAsia" w:ascii="仿宋_GB2312" w:hAnsi="仿宋_GB2312" w:eastAsia="仿宋_GB2312" w:cs="仿宋_GB2312"/>
          <w:color w:val="auto"/>
          <w:kern w:val="0"/>
          <w:sz w:val="21"/>
          <w:szCs w:val="21"/>
          <w:lang w:val="zh-CN" w:bidi="zh-CN"/>
        </w:rPr>
        <w:t>全真递进的实战工作情境</w:t>
      </w:r>
      <w:r>
        <w:rPr>
          <w:rFonts w:hint="eastAsia" w:ascii="仿宋_GB2312" w:hAnsi="仿宋_GB2312" w:eastAsia="仿宋_GB2312" w:cs="仿宋_GB2312"/>
          <w:color w:val="auto"/>
          <w:kern w:val="0"/>
          <w:sz w:val="21"/>
          <w:szCs w:val="21"/>
          <w:lang w:val="zh-CN" w:eastAsia="zh-CN" w:bidi="zh-CN"/>
        </w:rPr>
        <w:t>、</w:t>
      </w:r>
      <w:r>
        <w:rPr>
          <w:rFonts w:hint="eastAsia" w:ascii="仿宋_GB2312" w:hAnsi="仿宋_GB2312" w:eastAsia="仿宋_GB2312" w:cs="仿宋_GB2312"/>
          <w:color w:val="auto"/>
          <w:kern w:val="0"/>
          <w:sz w:val="21"/>
          <w:szCs w:val="21"/>
          <w:lang w:val="zh-CN" w:bidi="zh-CN"/>
        </w:rPr>
        <w:t>动静结合的实战课程体系和多维多元的实战评价体系</w:t>
      </w:r>
      <w:r>
        <w:rPr>
          <w:rFonts w:hint="eastAsia" w:ascii="仿宋_GB2312" w:hAnsi="仿宋_GB2312" w:eastAsia="仿宋_GB2312" w:cs="仿宋_GB2312"/>
          <w:color w:val="auto"/>
          <w:kern w:val="0"/>
          <w:sz w:val="21"/>
          <w:szCs w:val="21"/>
          <w:lang w:val="zh-CN" w:eastAsia="zh-CN" w:bidi="zh-CN"/>
        </w:rPr>
        <w:t>为核心，</w:t>
      </w:r>
      <w:r>
        <w:rPr>
          <w:rFonts w:hint="eastAsia" w:ascii="仿宋_GB2312" w:hAnsi="仿宋_GB2312" w:eastAsia="仿宋_GB2312" w:cs="仿宋_GB2312"/>
          <w:color w:val="auto"/>
          <w:kern w:val="0"/>
          <w:sz w:val="21"/>
          <w:szCs w:val="21"/>
          <w:lang w:val="zh-CN" w:bidi="zh-CN"/>
        </w:rPr>
        <w:t>强调产业跨界融合、线上线下融通、虚拟实体互动。创设全程全真的“学生主体参与”的实战情境，构建三级递进式“实战场”：初级“魔方组合式”专题实战场，加强专业基本技能训练；中级“贸易展演式”经营实战场，创设真实贸易场景，全方位训练专业综合技能；高级“精细数字化”决策实战场，针对性开展商品数字化、营销精准化等商战进阶训练。</w:t>
      </w:r>
      <w:r>
        <w:rPr>
          <w:rFonts w:hint="eastAsia" w:ascii="仿宋_GB2312" w:hAnsi="仿宋_GB2312" w:eastAsia="仿宋_GB2312" w:cs="仿宋_GB2312"/>
          <w:color w:val="auto"/>
          <w:kern w:val="0"/>
          <w:sz w:val="21"/>
          <w:szCs w:val="21"/>
          <w:lang w:val="zh-CN" w:eastAsia="zh-CN" w:bidi="zh-CN"/>
        </w:rPr>
        <w:t>为适应实战场建设需求，</w:t>
      </w:r>
      <w:r>
        <w:rPr>
          <w:rFonts w:hint="eastAsia" w:ascii="仿宋_GB2312" w:hAnsi="仿宋_GB2312" w:eastAsia="仿宋_GB2312" w:cs="仿宋_GB2312"/>
          <w:color w:val="auto"/>
          <w:kern w:val="0"/>
          <w:sz w:val="21"/>
          <w:szCs w:val="21"/>
          <w:lang w:val="zh-CN" w:bidi="zh-CN"/>
        </w:rPr>
        <w:t>在确定主干课程的基础上，开发瞄准消费升级换代的短课程、围绕品类多样化的小教程及适应技术升级的快攻略，建构商贸大类“实战”课程体系；形成“六一”任务驱动的“析—做—理—用—思—优”六步实战教学法，探索实战高效课堂，落实阶梯渐进式实战培养模式；建构“实战KPI”评价体系，形成学校商贸专业“1+X”证书认证</w:t>
      </w:r>
      <w:r>
        <w:rPr>
          <w:rFonts w:hint="eastAsia" w:ascii="仿宋_GB2312" w:hAnsi="仿宋_GB2312" w:eastAsia="仿宋_GB2312" w:cs="仿宋_GB2312"/>
          <w:color w:val="auto"/>
          <w:kern w:val="0"/>
          <w:sz w:val="21"/>
          <w:szCs w:val="21"/>
          <w:lang w:val="zh-CN" w:eastAsia="zh-CN" w:bidi="zh-CN"/>
        </w:rPr>
        <w:t>体系</w:t>
      </w:r>
      <w:r>
        <w:rPr>
          <w:rFonts w:hint="eastAsia" w:ascii="仿宋_GB2312" w:hAnsi="仿宋_GB2312" w:eastAsia="仿宋_GB2312" w:cs="仿宋_GB2312"/>
          <w:color w:val="auto"/>
          <w:kern w:val="0"/>
          <w:sz w:val="21"/>
          <w:szCs w:val="21"/>
          <w:lang w:val="zh-CN" w:bidi="zh-CN"/>
        </w:rPr>
        <w:t>。学校依托实战场建设，整合政府、高校、行业、企业资源，服务中职商贸人才培养和师资队伍建设，将整个专业建设推上主动适应行业企业迭代的快车道。</w:t>
      </w:r>
    </w:p>
    <w:p>
      <w:pPr>
        <w:keepNext/>
        <w:keepLines/>
        <w:wordWrap/>
        <w:adjustRightInd/>
        <w:snapToGrid/>
        <w:spacing w:before="157" w:beforeLines="50" w:afterLines="0" w:line="360" w:lineRule="auto"/>
        <w:ind w:firstLine="421" w:firstLineChars="200"/>
        <w:textAlignment w:val="auto"/>
        <w:outlineLvl w:val="1"/>
        <w:rPr>
          <w:rFonts w:hint="eastAsia" w:ascii="楷体_GB2312" w:hAnsi="楷体_GB2312" w:eastAsia="楷体_GB2312" w:cs="楷体_GB2312"/>
          <w:b/>
          <w:bCs/>
          <w:color w:val="auto"/>
          <w:kern w:val="44"/>
          <w:sz w:val="21"/>
          <w:szCs w:val="21"/>
          <w:lang w:val="en-US" w:eastAsia="zh-CN" w:bidi="ar-SA"/>
        </w:rPr>
      </w:pPr>
      <w:r>
        <w:rPr>
          <w:rFonts w:hint="eastAsia" w:ascii="楷体_GB2312" w:hAnsi="楷体_GB2312" w:eastAsia="楷体_GB2312" w:cs="楷体_GB2312"/>
          <w:b/>
          <w:bCs/>
          <w:color w:val="auto"/>
          <w:kern w:val="44"/>
          <w:sz w:val="21"/>
          <w:szCs w:val="21"/>
          <w:lang w:val="zh-CN" w:eastAsia="zh-CN" w:bidi="ar-SA"/>
        </w:rPr>
        <w:t>【案例7-</w:t>
      </w:r>
      <w:r>
        <w:rPr>
          <w:rFonts w:hint="eastAsia" w:ascii="楷体_GB2312" w:hAnsi="楷体_GB2312" w:eastAsia="楷体_GB2312" w:cs="楷体_GB2312"/>
          <w:b/>
          <w:bCs/>
          <w:color w:val="auto"/>
          <w:kern w:val="44"/>
          <w:sz w:val="21"/>
          <w:szCs w:val="21"/>
          <w:lang w:val="en-US" w:eastAsia="zh-CN" w:bidi="ar-SA"/>
        </w:rPr>
        <w:t>6</w:t>
      </w:r>
      <w:r>
        <w:rPr>
          <w:rFonts w:hint="eastAsia" w:ascii="楷体_GB2312" w:hAnsi="楷体_GB2312" w:eastAsia="楷体_GB2312" w:cs="楷体_GB2312"/>
          <w:b/>
          <w:bCs/>
          <w:color w:val="auto"/>
          <w:kern w:val="44"/>
          <w:sz w:val="21"/>
          <w:szCs w:val="21"/>
          <w:lang w:val="zh-CN" w:eastAsia="zh-CN" w:bidi="ar-SA"/>
        </w:rPr>
        <w:t>】杭州市闲林职业高级中学“学习岛”</w:t>
      </w:r>
      <w:r>
        <w:rPr>
          <w:rFonts w:hint="eastAsia" w:ascii="楷体_GB2312" w:hAnsi="楷体_GB2312" w:eastAsia="楷体_GB2312" w:cs="楷体_GB2312"/>
          <w:b/>
          <w:bCs/>
          <w:color w:val="auto"/>
          <w:kern w:val="44"/>
          <w:sz w:val="21"/>
          <w:szCs w:val="21"/>
          <w:lang w:val="en-US" w:eastAsia="zh-CN" w:bidi="ar-SA"/>
        </w:rPr>
        <w:t>案例阐述</w:t>
      </w:r>
    </w:p>
    <w:p>
      <w:pPr>
        <w:widowControl w:val="0"/>
        <w:wordWrap/>
        <w:adjustRightInd/>
        <w:snapToGrid/>
        <w:spacing w:beforeLines="0" w:afterLines="0" w:line="360" w:lineRule="auto"/>
        <w:ind w:left="0" w:leftChars="0" w:right="0" w:firstLine="420" w:firstLineChars="200"/>
        <w:jc w:val="left"/>
        <w:textAlignment w:val="auto"/>
        <w:outlineLvl w:val="9"/>
        <w:rPr>
          <w:rFonts w:hint="eastAsia" w:ascii="仿宋_GB2312" w:hAnsi="仿宋_GB2312" w:eastAsia="仿宋_GB2312" w:cs="仿宋_GB2312"/>
          <w:bCs/>
          <w:color w:val="auto"/>
          <w:sz w:val="21"/>
          <w:szCs w:val="21"/>
          <w:lang w:val="en-US" w:eastAsia="zh-CN"/>
        </w:rPr>
      </w:pPr>
      <w:r>
        <w:rPr>
          <w:rFonts w:hint="eastAsia" w:ascii="仿宋_GB2312" w:hAnsi="仿宋_GB2312" w:eastAsia="仿宋_GB2312" w:cs="仿宋_GB2312"/>
          <w:bCs/>
          <w:color w:val="auto"/>
          <w:sz w:val="21"/>
          <w:szCs w:val="21"/>
          <w:lang w:val="en-US" w:eastAsia="zh-CN"/>
        </w:rPr>
        <w:t>杭州市闲林职业高级中学积极探索实践“杭派教法”，集教学、发明创造、产品研发、课题研究、电梯技能实训、成果应用为一体的“智能学习岛”研究在电梯安装与维修保养专业上取得突破性的进展。“学习岛”实训平台将教学项目分解成若干微项目，实训中由教师协同“导生”共同对其他学生进行适时指导和及时过程评价。“学习岛”以</w:t>
      </w:r>
      <w:r>
        <w:rPr>
          <w:rFonts w:hint="eastAsia" w:ascii="仿宋_GB2312" w:hAnsi="仿宋_GB2312" w:eastAsia="仿宋_GB2312" w:cs="仿宋_GB2312"/>
          <w:bCs/>
          <w:color w:val="auto"/>
          <w:sz w:val="21"/>
          <w:szCs w:val="21"/>
        </w:rPr>
        <w:t>“5W”</w:t>
      </w:r>
      <w:r>
        <w:rPr>
          <w:rFonts w:hint="eastAsia" w:ascii="仿宋_GB2312" w:hAnsi="仿宋_GB2312" w:eastAsia="仿宋_GB2312" w:cs="仿宋_GB2312"/>
          <w:bCs/>
          <w:color w:val="auto"/>
          <w:sz w:val="21"/>
          <w:szCs w:val="21"/>
          <w:lang w:val="en-US" w:eastAsia="zh-CN"/>
        </w:rPr>
        <w:t>{什么时间（when）、什么地方（where）、跟什么人（who）、学什么（ what）、为什么学（why）}</w:t>
      </w:r>
      <w:r>
        <w:rPr>
          <w:rFonts w:hint="eastAsia" w:ascii="仿宋_GB2312" w:hAnsi="仿宋_GB2312" w:eastAsia="仿宋_GB2312" w:cs="仿宋_GB2312"/>
          <w:bCs/>
          <w:color w:val="auto"/>
          <w:sz w:val="21"/>
          <w:szCs w:val="21"/>
        </w:rPr>
        <w:t>为教学途径，力争培养具有“4C”</w:t>
      </w:r>
      <w:r>
        <w:rPr>
          <w:rFonts w:hint="eastAsia" w:ascii="仿宋_GB2312" w:hAnsi="仿宋_GB2312" w:eastAsia="仿宋_GB2312" w:cs="仿宋_GB2312"/>
          <w:bCs/>
          <w:color w:val="auto"/>
          <w:sz w:val="21"/>
          <w:szCs w:val="21"/>
          <w:lang w:val="en-US" w:eastAsia="zh-CN"/>
        </w:rPr>
        <w:t>{创新能力（Creativity）、合作能力（Collaborationi）、沟通能力（Communication）、批判性思维能力（Criticalthinking）}</w:t>
      </w:r>
      <w:r>
        <w:rPr>
          <w:rFonts w:hint="eastAsia" w:ascii="仿宋_GB2312" w:hAnsi="仿宋_GB2312" w:eastAsia="仿宋_GB2312" w:cs="仿宋_GB2312"/>
          <w:bCs/>
          <w:color w:val="auto"/>
          <w:sz w:val="21"/>
          <w:szCs w:val="21"/>
        </w:rPr>
        <w:t>核心能力的未来电子电工专业高技能高层次人才</w:t>
      </w:r>
      <w:r>
        <w:rPr>
          <w:rFonts w:hint="eastAsia" w:ascii="仿宋_GB2312" w:hAnsi="仿宋_GB2312" w:eastAsia="仿宋_GB2312" w:cs="仿宋_GB2312"/>
          <w:bCs/>
          <w:color w:val="auto"/>
          <w:sz w:val="21"/>
          <w:szCs w:val="21"/>
          <w:lang w:val="en-US" w:eastAsia="zh-CN"/>
        </w:rPr>
        <w:t>为核心理念。</w:t>
      </w:r>
      <w:r>
        <w:rPr>
          <w:rFonts w:hint="eastAsia" w:ascii="仿宋_GB2312" w:hAnsi="仿宋_GB2312" w:eastAsia="仿宋_GB2312" w:cs="仿宋_GB2312"/>
          <w:bCs/>
          <w:color w:val="auto"/>
          <w:sz w:val="21"/>
          <w:szCs w:val="21"/>
        </w:rPr>
        <w:t>平台</w:t>
      </w:r>
      <w:r>
        <w:rPr>
          <w:rFonts w:hint="eastAsia" w:ascii="仿宋_GB2312" w:hAnsi="仿宋_GB2312" w:eastAsia="仿宋_GB2312" w:cs="仿宋_GB2312"/>
          <w:bCs/>
          <w:color w:val="auto"/>
          <w:sz w:val="21"/>
          <w:szCs w:val="21"/>
          <w:lang w:val="en-US" w:eastAsia="zh-CN"/>
        </w:rPr>
        <w:t>不仅能</w:t>
      </w:r>
      <w:r>
        <w:rPr>
          <w:rFonts w:hint="eastAsia" w:ascii="仿宋_GB2312" w:hAnsi="仿宋_GB2312" w:eastAsia="仿宋_GB2312" w:cs="仿宋_GB2312"/>
          <w:bCs/>
          <w:color w:val="auto"/>
          <w:sz w:val="21"/>
          <w:szCs w:val="21"/>
        </w:rPr>
        <w:t>将视频传送到“学习岛”空间</w:t>
      </w:r>
      <w:r>
        <w:rPr>
          <w:rFonts w:hint="eastAsia" w:ascii="仿宋_GB2312" w:hAnsi="仿宋_GB2312" w:eastAsia="仿宋_GB2312" w:cs="仿宋_GB2312"/>
          <w:bCs/>
          <w:color w:val="auto"/>
          <w:sz w:val="21"/>
          <w:szCs w:val="21"/>
          <w:lang w:val="en-US" w:eastAsia="zh-CN"/>
        </w:rPr>
        <w:t>站</w:t>
      </w:r>
      <w:r>
        <w:rPr>
          <w:rFonts w:hint="eastAsia" w:ascii="仿宋_GB2312" w:hAnsi="仿宋_GB2312" w:eastAsia="仿宋_GB2312" w:cs="仿宋_GB2312"/>
          <w:bCs/>
          <w:color w:val="auto"/>
          <w:sz w:val="21"/>
          <w:szCs w:val="21"/>
          <w:lang w:eastAsia="zh-CN"/>
        </w:rPr>
        <w:t>，</w:t>
      </w:r>
      <w:r>
        <w:rPr>
          <w:rFonts w:hint="eastAsia" w:ascii="仿宋_GB2312" w:hAnsi="仿宋_GB2312" w:eastAsia="仿宋_GB2312" w:cs="仿宋_GB2312"/>
          <w:bCs/>
          <w:color w:val="auto"/>
          <w:sz w:val="21"/>
          <w:szCs w:val="21"/>
          <w:lang w:val="en-US" w:eastAsia="zh-CN"/>
        </w:rPr>
        <w:t>与“岛”外同学共享资源；更能</w:t>
      </w:r>
      <w:r>
        <w:rPr>
          <w:rFonts w:hint="eastAsia" w:ascii="仿宋_GB2312" w:hAnsi="仿宋_GB2312" w:eastAsia="仿宋_GB2312" w:cs="仿宋_GB2312"/>
          <w:bCs/>
          <w:color w:val="auto"/>
          <w:sz w:val="21"/>
          <w:szCs w:val="21"/>
        </w:rPr>
        <w:t>实时连线企业、高校专家远程指导与评价</w:t>
      </w:r>
      <w:r>
        <w:rPr>
          <w:rFonts w:hint="eastAsia" w:ascii="仿宋_GB2312" w:hAnsi="仿宋_GB2312" w:eastAsia="仿宋_GB2312" w:cs="仿宋_GB2312"/>
          <w:bCs/>
          <w:color w:val="auto"/>
          <w:sz w:val="21"/>
          <w:szCs w:val="21"/>
          <w:lang w:eastAsia="zh-CN"/>
        </w:rPr>
        <w:t>，</w:t>
      </w:r>
      <w:r>
        <w:rPr>
          <w:rFonts w:hint="eastAsia" w:ascii="仿宋_GB2312" w:hAnsi="仿宋_GB2312" w:eastAsia="仿宋_GB2312" w:cs="仿宋_GB2312"/>
          <w:bCs/>
          <w:color w:val="auto"/>
          <w:sz w:val="21"/>
          <w:szCs w:val="21"/>
          <w:lang w:val="en-US" w:eastAsia="zh-CN"/>
        </w:rPr>
        <w:t>促进实训学习过程智能化。“导师助理”的创设，实现一举多得。“挑战不可能”“闯岛”等项目，带领“学习岛”内检测工、安装工、焊接工、调试工高效深入掌握电子产品的不同技能学习。多项国家新型发明专利推动项目纵深发展，“两平台两车间两系统”实现实训迭代升级，多维度教学资源线上整合提高产教融合，“智能学习岛”为</w:t>
      </w:r>
      <w:r>
        <w:rPr>
          <w:rFonts w:hint="eastAsia" w:ascii="仿宋_GB2312" w:hAnsi="仿宋_GB2312" w:eastAsia="仿宋_GB2312" w:cs="仿宋_GB2312"/>
          <w:bCs/>
          <w:color w:val="auto"/>
          <w:sz w:val="21"/>
          <w:szCs w:val="21"/>
        </w:rPr>
        <w:t>全省乃至全国</w:t>
      </w:r>
      <w:r>
        <w:rPr>
          <w:rFonts w:hint="eastAsia" w:ascii="仿宋_GB2312" w:hAnsi="仿宋_GB2312" w:eastAsia="仿宋_GB2312" w:cs="仿宋_GB2312"/>
          <w:bCs/>
          <w:color w:val="auto"/>
          <w:sz w:val="21"/>
          <w:szCs w:val="21"/>
          <w:lang w:val="en-US" w:eastAsia="zh-CN"/>
        </w:rPr>
        <w:t>中职电梯专业教学</w:t>
      </w:r>
      <w:r>
        <w:rPr>
          <w:rFonts w:hint="eastAsia" w:ascii="仿宋_GB2312" w:hAnsi="仿宋_GB2312" w:eastAsia="仿宋_GB2312" w:cs="仿宋_GB2312"/>
          <w:bCs/>
          <w:color w:val="auto"/>
          <w:sz w:val="21"/>
          <w:szCs w:val="21"/>
        </w:rPr>
        <w:t>发展</w:t>
      </w:r>
      <w:r>
        <w:rPr>
          <w:rFonts w:hint="eastAsia" w:ascii="仿宋_GB2312" w:hAnsi="仿宋_GB2312" w:eastAsia="仿宋_GB2312" w:cs="仿宋_GB2312"/>
          <w:bCs/>
          <w:color w:val="auto"/>
          <w:sz w:val="21"/>
          <w:szCs w:val="21"/>
          <w:lang w:val="en-US" w:eastAsia="zh-CN"/>
        </w:rPr>
        <w:t>提供新思路。</w:t>
      </w:r>
    </w:p>
    <w:p>
      <w:pPr>
        <w:keepNext/>
        <w:keepLines/>
        <w:wordWrap/>
        <w:adjustRightInd/>
        <w:snapToGrid/>
        <w:spacing w:before="157" w:beforeLines="50" w:afterLines="0" w:line="360" w:lineRule="auto"/>
        <w:ind w:firstLine="421" w:firstLineChars="200"/>
        <w:textAlignment w:val="auto"/>
        <w:outlineLvl w:val="1"/>
        <w:rPr>
          <w:rFonts w:hint="eastAsia" w:ascii="楷体_GB2312" w:hAnsi="楷体_GB2312" w:eastAsia="楷体_GB2312" w:cs="楷体_GB2312"/>
          <w:b/>
          <w:bCs/>
          <w:color w:val="auto"/>
          <w:kern w:val="44"/>
          <w:sz w:val="21"/>
          <w:szCs w:val="21"/>
          <w:lang w:val="en-US" w:eastAsia="zh-CN" w:bidi="ar-SA"/>
        </w:rPr>
      </w:pPr>
      <w:r>
        <w:rPr>
          <w:rFonts w:hint="eastAsia" w:ascii="楷体_GB2312" w:hAnsi="楷体_GB2312" w:eastAsia="楷体_GB2312" w:cs="楷体_GB2312"/>
          <w:b/>
          <w:bCs/>
          <w:color w:val="auto"/>
          <w:kern w:val="44"/>
          <w:sz w:val="21"/>
          <w:szCs w:val="21"/>
          <w:lang w:val="zh-CN" w:eastAsia="zh-CN" w:bidi="ar-SA"/>
        </w:rPr>
        <w:t>【案例7-</w:t>
      </w:r>
      <w:r>
        <w:rPr>
          <w:rFonts w:hint="eastAsia" w:ascii="楷体_GB2312" w:hAnsi="楷体_GB2312" w:eastAsia="楷体_GB2312" w:cs="楷体_GB2312"/>
          <w:b/>
          <w:bCs/>
          <w:color w:val="auto"/>
          <w:kern w:val="44"/>
          <w:sz w:val="21"/>
          <w:szCs w:val="21"/>
          <w:lang w:val="en-US" w:eastAsia="zh-CN" w:bidi="ar-SA"/>
        </w:rPr>
        <w:t>7</w:t>
      </w:r>
      <w:r>
        <w:rPr>
          <w:rFonts w:hint="eastAsia" w:ascii="楷体_GB2312" w:hAnsi="楷体_GB2312" w:eastAsia="楷体_GB2312" w:cs="楷体_GB2312"/>
          <w:b/>
          <w:bCs/>
          <w:color w:val="auto"/>
          <w:kern w:val="44"/>
          <w:sz w:val="21"/>
          <w:szCs w:val="21"/>
          <w:lang w:val="zh-CN" w:eastAsia="zh-CN" w:bidi="ar-SA"/>
        </w:rPr>
        <w:t>】</w:t>
      </w:r>
      <w:r>
        <w:rPr>
          <w:rFonts w:hint="eastAsia" w:ascii="楷体_GB2312" w:hAnsi="楷体_GB2312" w:eastAsia="楷体_GB2312" w:cs="楷体_GB2312"/>
          <w:b/>
          <w:bCs/>
          <w:color w:val="auto"/>
          <w:kern w:val="44"/>
          <w:sz w:val="21"/>
          <w:szCs w:val="21"/>
          <w:lang w:val="en-US" w:eastAsia="zh-CN" w:bidi="ar-SA"/>
        </w:rPr>
        <w:t>杭州市财经商贸教研大组打造“泛在学习”生态圈</w:t>
      </w:r>
    </w:p>
    <w:p>
      <w:pPr>
        <w:widowControl w:val="0"/>
        <w:wordWrap/>
        <w:adjustRightInd/>
        <w:snapToGrid/>
        <w:spacing w:beforeLines="0" w:afterLines="0" w:line="360" w:lineRule="auto"/>
        <w:ind w:left="0" w:leftChars="0" w:right="0" w:firstLine="420" w:firstLineChars="200"/>
        <w:jc w:val="both"/>
        <w:textAlignment w:val="auto"/>
        <w:outlineLvl w:val="9"/>
        <w:rPr>
          <w:rFonts w:hint="eastAsia" w:ascii="仿宋_GB2312" w:hAnsi="仿宋_GB2312" w:eastAsia="仿宋_GB2312" w:cs="仿宋_GB2312"/>
          <w:bCs/>
          <w:color w:val="auto"/>
          <w:sz w:val="21"/>
          <w:szCs w:val="21"/>
          <w:lang w:val="en-US" w:eastAsia="zh-CN"/>
        </w:rPr>
      </w:pPr>
      <w:r>
        <w:rPr>
          <w:rFonts w:hint="eastAsia" w:ascii="仿宋_GB2312" w:hAnsi="仿宋_GB2312" w:eastAsia="仿宋_GB2312" w:cs="仿宋_GB2312"/>
          <w:kern w:val="0"/>
          <w:sz w:val="21"/>
          <w:szCs w:val="21"/>
        </w:rPr>
        <w:t>杭州市中职财经商贸专业致力于探寻中职学生专业学习模式创新和发展的有效路径，针对中职学生专业学习的困境与痛点，以产教融合理念为依据，集聚区域内院校行企多方资源，打造区域性泛在学习空间，以沙盘模拟经营为主线，融通财经商贸类专业实训项目，建设区域性、数字化、游戏化、进阶式的对战平台，形成专业学习共同体（校园合伙人），推动学习模式的变革与创新。通过对学习空间“大数据”的“泛在计算”精准支撑个性化学习的发生、发展和深入，形成创新性的具有区域联动、融合培养、资源聚集、共同学习、精准评测等特性的泛在学习生态圈。从2008年开始，财经商贸专业便开始整体构思设计：2008—2012年开展的《沙盘模拟企业经营》课程教学实践探索，形成了“二段三阶多岗”的能力进阶体系；2013—2017年区域内全面实践该课程，推进教学实践和资源的开发；2018年来，创建并开始实践运用“积分换学分、空间即战区”的区域性职岗学习对战平台—“校园合伙人”。通过12年的不断研究实践，架设并运营了中职财经商贸类专业的区域性泛在学习空间，取得良好效果。探索并形成了一种职岗学习对战平台的运行机制与实施方案，构建了梯度化、进阶式的策略性知识学习系统，创设了精准的能力评测及学分转换机制，搭建了多层面、全方位的立体校、企合作平台，为职业院校学生专业学习模式创新提供了实践范本。</w:t>
      </w:r>
    </w:p>
    <w:p>
      <w:pPr>
        <w:pStyle w:val="20"/>
        <w:widowControl/>
        <w:wordWrap/>
        <w:adjustRightInd/>
        <w:snapToGrid/>
        <w:spacing w:before="0" w:beforeLines="0" w:beforeAutospacing="0" w:after="0" w:afterLines="0" w:afterAutospacing="0" w:line="360" w:lineRule="auto"/>
        <w:ind w:left="0" w:leftChars="0" w:right="0" w:firstLine="421" w:firstLineChars="200"/>
        <w:jc w:val="left"/>
        <w:textAlignment w:val="auto"/>
        <w:outlineLvl w:val="9"/>
        <w:rPr>
          <w:rFonts w:hint="eastAsia" w:ascii="宋体" w:hAnsi="宋体" w:cs="Times New Roman"/>
          <w:b/>
          <w:color w:val="auto"/>
          <w:kern w:val="0"/>
          <w:sz w:val="21"/>
          <w:szCs w:val="21"/>
          <w:lang w:val="en-US" w:eastAsia="zh-CN" w:bidi="ar-SA"/>
        </w:rPr>
      </w:pPr>
      <w:r>
        <w:rPr>
          <w:rFonts w:hint="eastAsia" w:ascii="宋体" w:hAnsi="宋体" w:cs="Times New Roman"/>
          <w:b/>
          <w:color w:val="auto"/>
          <w:kern w:val="0"/>
          <w:sz w:val="21"/>
          <w:szCs w:val="21"/>
          <w:lang w:val="en-US" w:eastAsia="zh-CN" w:bidi="ar-SA"/>
        </w:rPr>
        <w:t>提质赋能中职课堂。</w:t>
      </w:r>
      <w:r>
        <w:rPr>
          <w:sz w:val="21"/>
          <w:szCs w:val="21"/>
        </w:rPr>
        <w:t>职业教育大改革大发展进入爬坡过坎、提质培优的历史关键期。</w:t>
      </w:r>
      <w:r>
        <w:rPr>
          <w:rFonts w:hint="eastAsia"/>
          <w:sz w:val="21"/>
          <w:szCs w:val="21"/>
          <w:lang w:val="en-US" w:eastAsia="zh-CN"/>
        </w:rPr>
        <w:t>2020年</w:t>
      </w:r>
      <w:r>
        <w:rPr>
          <w:sz w:val="21"/>
          <w:szCs w:val="21"/>
        </w:rPr>
        <w:t>《</w:t>
      </w:r>
      <w:r>
        <w:rPr>
          <w:rFonts w:hint="eastAsia"/>
          <w:sz w:val="21"/>
          <w:szCs w:val="21"/>
          <w:lang w:eastAsia="zh-CN"/>
        </w:rPr>
        <w:t>职业教育提质培优</w:t>
      </w:r>
      <w:r>
        <w:rPr>
          <w:sz w:val="21"/>
          <w:szCs w:val="21"/>
        </w:rPr>
        <w:t>行动计划》</w:t>
      </w:r>
      <w:r>
        <w:rPr>
          <w:rFonts w:hint="eastAsia"/>
          <w:sz w:val="21"/>
          <w:szCs w:val="21"/>
          <w:lang w:eastAsia="zh-CN"/>
        </w:rPr>
        <w:t>明确指出要</w:t>
      </w:r>
      <w:r>
        <w:rPr>
          <w:sz w:val="21"/>
          <w:szCs w:val="21"/>
        </w:rPr>
        <w:t>聚焦重点、疏通堵点、破解难点，将“职教20条”部署的改革任务转化为举措和行动</w:t>
      </w:r>
      <w:r>
        <w:rPr>
          <w:rFonts w:hint="eastAsia"/>
          <w:sz w:val="21"/>
          <w:szCs w:val="21"/>
          <w:lang w:eastAsia="zh-CN"/>
        </w:rPr>
        <w:t>，持续深入推进三教改革，提升职业教育课程教学质量，不断改革课堂教学，提高中职生学习品质。</w:t>
      </w:r>
    </w:p>
    <w:p>
      <w:pPr>
        <w:keepNext/>
        <w:keepLines/>
        <w:wordWrap/>
        <w:adjustRightInd/>
        <w:snapToGrid/>
        <w:spacing w:before="157" w:beforeLines="50" w:afterLines="0" w:line="360" w:lineRule="auto"/>
        <w:ind w:firstLine="421" w:firstLineChars="200"/>
        <w:textAlignment w:val="auto"/>
        <w:outlineLvl w:val="1"/>
        <w:rPr>
          <w:rFonts w:hint="eastAsia" w:ascii="楷体_GB2312" w:hAnsi="楷体_GB2312" w:eastAsia="楷体_GB2312" w:cs="楷体_GB2312"/>
          <w:b/>
          <w:bCs/>
          <w:color w:val="auto"/>
          <w:kern w:val="44"/>
          <w:sz w:val="21"/>
          <w:szCs w:val="21"/>
          <w:lang w:val="zh-CN" w:eastAsia="zh-CN" w:bidi="ar-SA"/>
        </w:rPr>
      </w:pPr>
      <w:r>
        <w:rPr>
          <w:rFonts w:hint="eastAsia" w:ascii="楷体_GB2312" w:hAnsi="楷体_GB2312" w:eastAsia="楷体_GB2312" w:cs="楷体_GB2312"/>
          <w:b/>
          <w:bCs/>
          <w:color w:val="auto"/>
          <w:kern w:val="44"/>
          <w:sz w:val="21"/>
          <w:szCs w:val="21"/>
          <w:lang w:val="zh-CN" w:eastAsia="zh-CN" w:bidi="ar-SA"/>
        </w:rPr>
        <w:t>【案例7-</w:t>
      </w:r>
      <w:r>
        <w:rPr>
          <w:rFonts w:hint="eastAsia" w:ascii="楷体_GB2312" w:hAnsi="楷体_GB2312" w:eastAsia="楷体_GB2312" w:cs="楷体_GB2312"/>
          <w:b/>
          <w:bCs/>
          <w:color w:val="auto"/>
          <w:kern w:val="44"/>
          <w:sz w:val="21"/>
          <w:szCs w:val="21"/>
          <w:lang w:val="en-US" w:eastAsia="zh-CN" w:bidi="ar-SA"/>
        </w:rPr>
        <w:t>8</w:t>
      </w:r>
      <w:r>
        <w:rPr>
          <w:rFonts w:hint="eastAsia" w:ascii="楷体_GB2312" w:hAnsi="楷体_GB2312" w:eastAsia="楷体_GB2312" w:cs="楷体_GB2312"/>
          <w:b/>
          <w:bCs/>
          <w:color w:val="auto"/>
          <w:kern w:val="44"/>
          <w:sz w:val="21"/>
          <w:szCs w:val="21"/>
          <w:lang w:val="zh-CN" w:eastAsia="zh-CN" w:bidi="ar-SA"/>
        </w:rPr>
        <w:t>】杭州市英语教研大组教育戏剧教学探索</w:t>
      </w:r>
    </w:p>
    <w:p>
      <w:pPr>
        <w:widowControl w:val="0"/>
        <w:wordWrap/>
        <w:adjustRightInd/>
        <w:snapToGrid/>
        <w:spacing w:beforeLines="0" w:afterLines="0" w:line="360" w:lineRule="auto"/>
        <w:ind w:left="0" w:leftChars="0" w:right="0" w:firstLine="420" w:firstLineChars="200"/>
        <w:textAlignment w:val="auto"/>
        <w:outlineLvl w:val="9"/>
        <w:rPr>
          <w:rFonts w:hint="eastAsia" w:ascii="仿宋_GB2312" w:hAnsi="仿宋_GB2312" w:eastAsia="仿宋_GB2312" w:cs="仿宋_GB2312"/>
          <w:b/>
          <w:bCs w:val="0"/>
          <w:color w:val="auto"/>
          <w:kern w:val="0"/>
          <w:sz w:val="21"/>
          <w:szCs w:val="21"/>
          <w:lang w:val="zh-CN" w:bidi="zh-CN"/>
        </w:rPr>
      </w:pPr>
      <w:r>
        <w:rPr>
          <w:rFonts w:hint="eastAsia" w:ascii="仿宋_GB2312" w:hAnsi="仿宋_GB2312" w:eastAsia="仿宋_GB2312" w:cs="仿宋_GB2312"/>
          <w:color w:val="auto"/>
          <w:sz w:val="21"/>
          <w:szCs w:val="21"/>
        </w:rPr>
        <w:t>2014年浙江省单考单招取消英语高职考以来，杭州市中职英语团队大胆引入“教育戏剧”理念，以人民职校和临平职校为基地，由点及面开展教学实践，撬动了中职英语学科课堂教学方式变革。首创</w:t>
      </w:r>
      <w:r>
        <w:rPr>
          <w:rFonts w:hint="eastAsia" w:ascii="仿宋_GB2312" w:hAnsi="仿宋_GB2312" w:eastAsia="仿宋_GB2312" w:cs="仿宋_GB2312"/>
          <w:bCs/>
          <w:color w:val="auto"/>
          <w:sz w:val="21"/>
          <w:szCs w:val="21"/>
        </w:rPr>
        <w:t>编撰《中职英语教育戏剧指导手册》，提供标准化的技术支持，让教师的教有章可循，学生的学立体生动，具化了戏剧课程内容与方式；</w:t>
      </w:r>
      <w:r>
        <w:rPr>
          <w:rFonts w:hint="eastAsia" w:ascii="仿宋_GB2312" w:hAnsi="仿宋_GB2312" w:eastAsia="仿宋_GB2312" w:cs="仿宋_GB2312"/>
          <w:color w:val="auto"/>
          <w:sz w:val="21"/>
          <w:szCs w:val="21"/>
        </w:rPr>
        <w:t>建构渗透性教育戏剧和活动性教育戏剧的英语戏剧课堂教学基本模型，寓教于“演”，</w:t>
      </w:r>
      <w:r>
        <w:rPr>
          <w:rFonts w:hint="eastAsia" w:ascii="仿宋_GB2312" w:hAnsi="仿宋_GB2312" w:eastAsia="仿宋_GB2312" w:cs="仿宋_GB2312"/>
          <w:bCs/>
          <w:color w:val="auto"/>
          <w:sz w:val="21"/>
          <w:szCs w:val="21"/>
        </w:rPr>
        <w:t>能力与知识并重，学生在演绎戏剧中体验经典语言、感受文化魅力中发现自我、肯定自我、悦纳自我，</w:t>
      </w:r>
      <w:r>
        <w:rPr>
          <w:rFonts w:hint="eastAsia" w:ascii="仿宋_GB2312" w:hAnsi="仿宋_GB2312" w:eastAsia="仿宋_GB2312" w:cs="仿宋_GB2312"/>
          <w:color w:val="auto"/>
          <w:sz w:val="21"/>
          <w:szCs w:val="21"/>
        </w:rPr>
        <w:t>优化了教学流程；</w:t>
      </w:r>
      <w:r>
        <w:rPr>
          <w:rFonts w:hint="eastAsia" w:ascii="仿宋_GB2312" w:hAnsi="仿宋_GB2312" w:eastAsia="仿宋_GB2312" w:cs="仿宋_GB2312"/>
          <w:bCs/>
          <w:color w:val="auto"/>
          <w:sz w:val="21"/>
          <w:szCs w:val="21"/>
        </w:rPr>
        <w:t>形成中职英语“课本剧”、“情境剧”和“舞台剧”的“三剧”课堂范式，课程是“剧本”，戏剧为手段，教室亦是“剧场”，师生是“剧中人”，表演过程即教与学，教师和学生的身份发生转变，学生是导演、演员、观众和编剧，而老师是引导者、观察者、支持者、研究者，从而变革了学教方式；借鉴麻省理工学院研究设计的一种最新的教学评价系统——“嬉戏评价系统”（Playful Assessments），实施“嬉戏评价标准”，动态化评价内容，多样化评价方式，培养了未来必备“软技能”。通过6年的教育戏剧教学实践，探索出一条能复制、可推广的集“生活化、趣味化、应用性”于一体的中职英语教改之路。</w:t>
      </w:r>
    </w:p>
    <w:p>
      <w:pPr>
        <w:keepNext/>
        <w:keepLines/>
        <w:wordWrap/>
        <w:adjustRightInd/>
        <w:snapToGrid/>
        <w:spacing w:before="157" w:beforeLines="50" w:afterLines="0" w:line="360" w:lineRule="auto"/>
        <w:ind w:firstLine="421" w:firstLineChars="200"/>
        <w:textAlignment w:val="auto"/>
        <w:outlineLvl w:val="1"/>
        <w:rPr>
          <w:rFonts w:hint="eastAsia" w:ascii="楷体_GB2312" w:hAnsi="楷体_GB2312" w:eastAsia="楷体_GB2312" w:cs="楷体_GB2312"/>
          <w:b/>
          <w:bCs/>
          <w:color w:val="auto"/>
          <w:kern w:val="44"/>
          <w:sz w:val="21"/>
          <w:szCs w:val="21"/>
          <w:lang w:val="en-US" w:eastAsia="zh-CN" w:bidi="ar-SA"/>
        </w:rPr>
      </w:pPr>
      <w:r>
        <w:rPr>
          <w:rFonts w:hint="eastAsia" w:ascii="楷体_GB2312" w:hAnsi="楷体_GB2312" w:eastAsia="楷体_GB2312" w:cs="楷体_GB2312"/>
          <w:b/>
          <w:bCs/>
          <w:color w:val="auto"/>
          <w:kern w:val="44"/>
          <w:sz w:val="21"/>
          <w:szCs w:val="21"/>
          <w:lang w:val="zh-CN" w:eastAsia="zh-CN" w:bidi="ar-SA"/>
        </w:rPr>
        <w:t>【案例7-</w:t>
      </w:r>
      <w:r>
        <w:rPr>
          <w:rFonts w:hint="eastAsia" w:ascii="楷体_GB2312" w:hAnsi="楷体_GB2312" w:eastAsia="楷体_GB2312" w:cs="楷体_GB2312"/>
          <w:b/>
          <w:bCs/>
          <w:color w:val="auto"/>
          <w:kern w:val="44"/>
          <w:sz w:val="21"/>
          <w:szCs w:val="21"/>
          <w:lang w:val="en-US" w:eastAsia="zh-CN" w:bidi="ar-SA"/>
        </w:rPr>
        <w:t>9</w:t>
      </w:r>
      <w:r>
        <w:rPr>
          <w:rFonts w:hint="eastAsia" w:ascii="楷体_GB2312" w:hAnsi="楷体_GB2312" w:eastAsia="楷体_GB2312" w:cs="楷体_GB2312"/>
          <w:b/>
          <w:bCs/>
          <w:color w:val="auto"/>
          <w:kern w:val="44"/>
          <w:sz w:val="21"/>
          <w:szCs w:val="21"/>
          <w:lang w:val="zh-CN" w:eastAsia="zh-CN" w:bidi="ar-SA"/>
        </w:rPr>
        <w:t>】</w:t>
      </w:r>
      <w:r>
        <w:rPr>
          <w:rFonts w:hint="eastAsia" w:ascii="楷体_GB2312" w:hAnsi="楷体_GB2312" w:eastAsia="楷体_GB2312" w:cs="楷体_GB2312"/>
          <w:b/>
          <w:bCs/>
          <w:color w:val="auto"/>
          <w:kern w:val="44"/>
          <w:sz w:val="21"/>
          <w:szCs w:val="21"/>
          <w:lang w:val="en-US" w:eastAsia="zh-CN" w:bidi="ar-SA"/>
        </w:rPr>
        <w:t>杭州市西湖职业高级中学基于中职生学习质量优化策略的校本探索</w:t>
      </w:r>
    </w:p>
    <w:p>
      <w:pPr>
        <w:widowControl w:val="0"/>
        <w:wordWrap/>
        <w:adjustRightInd/>
        <w:snapToGrid/>
        <w:spacing w:beforeLines="0" w:afterLines="0" w:line="360" w:lineRule="auto"/>
        <w:ind w:left="0" w:leftChars="0" w:right="0"/>
        <w:textAlignment w:val="auto"/>
        <w:outlineLvl w:val="9"/>
        <w:rPr>
          <w:rFonts w:hint="eastAsia"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lang w:val="en-US" w:eastAsia="zh-CN"/>
        </w:rPr>
        <w:t xml:space="preserve">     2016年学校明确提出“改革课堂教学，优化中职生学习质量”的目标。学校依据学习者职业素养养成的逻辑，提取指向专业核心问题的课程大概念，以工作思维养成为序化逻辑，确立以能力进阶为依据的课程大概念序列。围绕大概念梳理问题清单，设计以解决大概念基本问题为主线的任务序列，根据学习者对于大概念理解的规律进行螺旋上升的任务序化：根据系统性动作技能学习特征采用基础技能优先序列；根据技能复杂的熟手阶段的学习特征采用关键概念优先序列；根据完成完整工作项目的能手至熟手阶段特征采用工作流程优先序列。设计针对技能学习的从边缘到中心的螺旋式学习环，形成以理解大概念为核心的学习方式序列。不同的学习共同体构成了多类多类情境，创设以实践驱动任务为中心的学习场景序列。由此从整体、标准、场景、方式等四个角度，重构了中职专业课的设计链、任务链、场景链和学习链，将课堂从局部性设计、线性任务、串联场景和模仿性学习中解放出来，形成了基于学习规律的整体课程设计、迭代任务设计、并联场景设计和探索学习设计。本案例对于“三教改革”背景下中职专业课的重构提供了可借鉴的路径。</w:t>
      </w:r>
    </w:p>
    <w:p>
      <w:pPr>
        <w:keepNext/>
        <w:keepLines/>
        <w:widowControl w:val="0"/>
        <w:spacing w:before="157" w:beforeLines="50" w:after="0" w:afterLines="0" w:line="360" w:lineRule="auto"/>
        <w:ind w:left="0" w:right="0" w:firstLine="450" w:firstLineChars="150"/>
        <w:jc w:val="both"/>
        <w:outlineLvl w:val="1"/>
        <w:rPr>
          <w:rFonts w:hint="eastAsia" w:ascii="Times New Roman" w:hAnsi="Times New Roman" w:eastAsia="宋体" w:cs="Times New Roman"/>
          <w:b/>
          <w:bCs/>
          <w:color w:val="auto"/>
          <w:kern w:val="44"/>
          <w:sz w:val="21"/>
          <w:szCs w:val="21"/>
          <w:lang w:val="en-US" w:eastAsia="zh-CN" w:bidi="ar-SA"/>
        </w:rPr>
      </w:pPr>
      <w:bookmarkStart w:id="206" w:name="_Toc349082514_WPSOffice_Level1"/>
      <w:bookmarkStart w:id="207" w:name="_Toc1156424345_WPSOffice_Level1"/>
      <w:bookmarkStart w:id="208" w:name="_Toc28351863"/>
      <w:bookmarkStart w:id="209" w:name="_Toc1526817662_WPSOffice_Level2"/>
      <w:bookmarkStart w:id="210" w:name="_Toc28668"/>
      <w:bookmarkStart w:id="211" w:name="_Toc29047000"/>
      <w:r>
        <w:rPr>
          <w:rFonts w:hint="eastAsia" w:ascii="黑体" w:hAnsi="黑体" w:eastAsia="黑体" w:cs="黑体"/>
          <w:b w:val="0"/>
          <w:bCs w:val="0"/>
          <w:color w:val="auto"/>
          <w:kern w:val="44"/>
          <w:sz w:val="30"/>
          <w:szCs w:val="30"/>
          <w:lang w:val="en-US" w:eastAsia="zh-CN" w:bidi="ar-SA"/>
        </w:rPr>
        <w:t xml:space="preserve">7.3 </w:t>
      </w:r>
      <w:r>
        <w:rPr>
          <w:rFonts w:hint="eastAsia" w:ascii="黑体" w:hAnsi="黑体" w:eastAsia="黑体" w:cs="黑体"/>
          <w:sz w:val="30"/>
          <w:szCs w:val="30"/>
        </w:rPr>
        <w:t>深入课堂一线，纵深推进教学诊改工作</w:t>
      </w:r>
      <w:bookmarkEnd w:id="206"/>
      <w:bookmarkEnd w:id="207"/>
      <w:bookmarkEnd w:id="208"/>
      <w:bookmarkEnd w:id="209"/>
      <w:bookmarkEnd w:id="210"/>
      <w:bookmarkEnd w:id="211"/>
    </w:p>
    <w:p>
      <w:pPr>
        <w:adjustRightInd/>
        <w:snapToGrid/>
        <w:spacing w:beforeLines="0" w:afterLines="0" w:line="360" w:lineRule="auto"/>
        <w:ind w:firstLine="420" w:firstLineChars="200"/>
        <w:rPr>
          <w:rFonts w:hint="eastAsia" w:ascii="宋体" w:hAnsi="宋体" w:cs="宋体"/>
          <w:kern w:val="0"/>
          <w:sz w:val="21"/>
          <w:szCs w:val="21"/>
          <w:lang w:val="en-US" w:eastAsia="zh-CN" w:bidi="ar-SA"/>
        </w:rPr>
      </w:pPr>
      <w:r>
        <w:rPr>
          <w:rFonts w:hint="eastAsia" w:ascii="宋体" w:hAnsi="宋体" w:cs="宋体"/>
          <w:kern w:val="0"/>
          <w:sz w:val="21"/>
          <w:szCs w:val="21"/>
          <w:lang w:val="en-US" w:eastAsia="zh-CN" w:bidi="ar-SA"/>
        </w:rPr>
        <w:t>2020年</w:t>
      </w:r>
      <w:r>
        <w:rPr>
          <w:rFonts w:hint="eastAsia" w:ascii="宋体" w:hAnsi="宋体" w:eastAsia="宋体" w:cs="宋体"/>
          <w:kern w:val="0"/>
          <w:sz w:val="21"/>
          <w:szCs w:val="21"/>
          <w:lang w:val="en-US" w:eastAsia="zh-CN" w:bidi="ar-SA"/>
        </w:rPr>
        <w:t>全市各中职学校</w:t>
      </w:r>
      <w:r>
        <w:rPr>
          <w:rFonts w:hint="eastAsia" w:ascii="宋体" w:hAnsi="宋体" w:cs="宋体"/>
          <w:kern w:val="0"/>
          <w:sz w:val="21"/>
          <w:szCs w:val="21"/>
          <w:lang w:val="en-US" w:eastAsia="zh-CN" w:bidi="ar-SA"/>
        </w:rPr>
        <w:t>全面推进</w:t>
      </w:r>
      <w:r>
        <w:rPr>
          <w:rFonts w:hint="eastAsia" w:ascii="宋体" w:hAnsi="宋体" w:eastAsia="宋体" w:cs="宋体"/>
          <w:kern w:val="0"/>
          <w:sz w:val="21"/>
          <w:szCs w:val="21"/>
          <w:lang w:val="en-US" w:eastAsia="zh-CN" w:bidi="ar-SA"/>
        </w:rPr>
        <w:t>教学诊断与改进工作，学校自主诊断、教育行政部门复核、学校落实改进三步走扎实有效。全面推进教学诊改工作的年度任务落实，做好各项数据采集，确保数据真实、完整、准确，根据任务方案及进程按时完成数据录入和备案工作。同时，建立内外联合监控机制：内部监控由学校及其教师进行，主要对学校教学过程进行监控；外部监控由杭州市教科院职成教研究室负责，通过</w:t>
      </w:r>
      <w:r>
        <w:rPr>
          <w:rFonts w:hint="eastAsia" w:ascii="宋体" w:hAnsi="宋体" w:cs="宋体"/>
          <w:kern w:val="0"/>
          <w:sz w:val="21"/>
          <w:szCs w:val="21"/>
          <w:lang w:val="en-US" w:eastAsia="zh-CN" w:bidi="ar-SA"/>
        </w:rPr>
        <w:t>教学调研、</w:t>
      </w:r>
      <w:r>
        <w:rPr>
          <w:rFonts w:hint="eastAsia" w:ascii="宋体" w:hAnsi="宋体" w:eastAsia="宋体" w:cs="宋体"/>
          <w:kern w:val="0"/>
          <w:sz w:val="21"/>
          <w:szCs w:val="21"/>
          <w:lang w:val="en-US" w:eastAsia="zh-CN" w:bidi="ar-SA"/>
        </w:rPr>
        <w:t>主题教研、座谈会、专题讲座等形式，依托统测信息管理平台，借鉴大赛技术标准和高职考试要求,形成赛项模块，逐步构建实训、竞赛、抽测一体的专业技能模块考核评价体系，我市基本建立起一套相对健全有效的教学评价信息反馈机制，以诊促改，</w:t>
      </w:r>
      <w:r>
        <w:rPr>
          <w:rFonts w:hint="eastAsia" w:ascii="宋体" w:hAnsi="宋体" w:cs="宋体"/>
          <w:kern w:val="0"/>
          <w:sz w:val="21"/>
          <w:szCs w:val="21"/>
          <w:lang w:val="en-US" w:eastAsia="zh-CN" w:bidi="ar-SA"/>
        </w:rPr>
        <w:t>形成</w:t>
      </w:r>
      <w:r>
        <w:rPr>
          <w:rFonts w:hint="eastAsia" w:ascii="宋体" w:hAnsi="宋体" w:eastAsia="宋体" w:cs="宋体"/>
          <w:kern w:val="0"/>
          <w:sz w:val="21"/>
          <w:szCs w:val="21"/>
          <w:lang w:val="en-US" w:eastAsia="zh-CN" w:bidi="ar-SA"/>
        </w:rPr>
        <w:t>良性循环</w:t>
      </w:r>
      <w:r>
        <w:rPr>
          <w:rFonts w:hint="eastAsia" w:ascii="宋体" w:hAnsi="宋体" w:cs="宋体"/>
          <w:kern w:val="0"/>
          <w:sz w:val="21"/>
          <w:szCs w:val="21"/>
          <w:lang w:val="en-US" w:eastAsia="zh-CN" w:bidi="ar-SA"/>
        </w:rPr>
        <w:t>。</w:t>
      </w:r>
    </w:p>
    <w:p>
      <w:pPr>
        <w:adjustRightInd/>
        <w:snapToGrid/>
        <w:spacing w:before="157" w:beforeLines="50" w:afterLines="0" w:line="360" w:lineRule="auto"/>
        <w:ind w:firstLine="421" w:firstLineChars="200"/>
        <w:rPr>
          <w:rFonts w:hint="eastAsia" w:ascii="楷体_GB2312" w:hAnsi="楷体_GB2312" w:eastAsia="楷体_GB2312" w:cs="楷体_GB2312"/>
          <w:b/>
          <w:bCs/>
          <w:color w:val="auto"/>
          <w:kern w:val="44"/>
          <w:sz w:val="21"/>
          <w:szCs w:val="21"/>
          <w:lang w:val="zh-CN" w:eastAsia="zh-CN" w:bidi="ar-SA"/>
        </w:rPr>
      </w:pPr>
      <w:r>
        <w:rPr>
          <w:rFonts w:hint="eastAsia" w:ascii="楷体_GB2312" w:hAnsi="楷体_GB2312" w:eastAsia="楷体_GB2312" w:cs="楷体_GB2312"/>
          <w:b/>
          <w:bCs/>
          <w:color w:val="auto"/>
          <w:kern w:val="44"/>
          <w:sz w:val="21"/>
          <w:szCs w:val="21"/>
          <w:lang w:val="zh-CN" w:eastAsia="zh-CN" w:bidi="ar-SA"/>
        </w:rPr>
        <w:t>【案例7-</w:t>
      </w:r>
      <w:r>
        <w:rPr>
          <w:rFonts w:hint="eastAsia" w:ascii="楷体_GB2312" w:hAnsi="楷体_GB2312" w:eastAsia="楷体_GB2312" w:cs="楷体_GB2312"/>
          <w:b/>
          <w:bCs/>
          <w:color w:val="auto"/>
          <w:kern w:val="44"/>
          <w:sz w:val="21"/>
          <w:szCs w:val="21"/>
          <w:lang w:val="en-US" w:eastAsia="zh-CN" w:bidi="ar-SA"/>
        </w:rPr>
        <w:t>10</w:t>
      </w:r>
      <w:r>
        <w:rPr>
          <w:rFonts w:hint="eastAsia" w:ascii="楷体_GB2312" w:hAnsi="楷体_GB2312" w:eastAsia="楷体_GB2312" w:cs="楷体_GB2312"/>
          <w:b/>
          <w:bCs/>
          <w:color w:val="auto"/>
          <w:kern w:val="44"/>
          <w:sz w:val="21"/>
          <w:szCs w:val="21"/>
          <w:lang w:val="zh-CN" w:eastAsia="zh-CN" w:bidi="ar-SA"/>
        </w:rPr>
        <w:t>】杭州市电子信息职业学校对毕业生发展状况的调查</w:t>
      </w:r>
    </w:p>
    <w:p>
      <w:pPr>
        <w:widowControl w:val="0"/>
        <w:wordWrap/>
        <w:adjustRightInd/>
        <w:spacing w:before="0" w:beforeLines="0" w:after="0" w:afterLines="0" w:line="360" w:lineRule="auto"/>
        <w:ind w:left="0" w:leftChars="0" w:right="0" w:firstLine="438" w:firstLineChars="209"/>
        <w:jc w:val="both"/>
        <w:textAlignment w:val="auto"/>
        <w:outlineLvl w:val="9"/>
        <w:rPr>
          <w:rFonts w:hint="eastAsia" w:ascii="仿宋_GB2312" w:hAnsi="仿宋_GB2312" w:eastAsia="仿宋_GB2312" w:cs="仿宋_GB2312"/>
          <w:b w:val="0"/>
          <w:color w:val="auto"/>
          <w:kern w:val="2"/>
          <w:sz w:val="21"/>
          <w:szCs w:val="21"/>
          <w:lang w:val="en-US" w:eastAsia="zh-CN" w:bidi="ar-SA"/>
        </w:rPr>
      </w:pPr>
      <w:r>
        <w:rPr>
          <w:rFonts w:hint="eastAsia" w:ascii="仿宋_GB2312" w:hAnsi="仿宋_GB2312" w:eastAsia="仿宋_GB2312" w:cs="仿宋_GB2312"/>
          <w:color w:val="auto"/>
          <w:sz w:val="21"/>
          <w:szCs w:val="21"/>
          <w:lang w:eastAsia="zh-CN"/>
        </w:rPr>
        <w:t>学校对</w:t>
      </w:r>
      <w:r>
        <w:rPr>
          <w:rFonts w:hint="eastAsia" w:ascii="仿宋_GB2312" w:hAnsi="仿宋_GB2312" w:eastAsia="仿宋_GB2312" w:cs="仿宋_GB2312"/>
          <w:color w:val="auto"/>
          <w:sz w:val="21"/>
          <w:szCs w:val="21"/>
        </w:rPr>
        <w:t xml:space="preserve"> 2019 届中职毕业生的跟踪调查中，共有 690 名毕业生完成了调查问卷的有效作答，占学校总人数的 84.98%，有效作答率在参与调研的全省 170 所中职学校中排名第 66 位。毕业生对母校的满意度评价是学校课程设置、教育教学、育人环境等实际情况的直接反映。690 名被调查毕业生中，650 名学生对学校表示“非常满意”“满意”或“比较满意”，满意率为 94.20%，仅有 6 名学生对学校表示“不太满意”“不满意”或“非常不满意”。</w:t>
      </w:r>
      <w:bookmarkStart w:id="212" w:name="_Toc16527"/>
      <w:bookmarkStart w:id="213" w:name="_Toc29047002"/>
      <w:bookmarkStart w:id="214" w:name="_Toc28351865"/>
      <w:r>
        <w:rPr>
          <w:rFonts w:hint="eastAsia" w:ascii="仿宋_GB2312" w:hAnsi="仿宋_GB2312" w:eastAsia="仿宋_GB2312" w:cs="仿宋_GB2312"/>
          <w:b w:val="0"/>
          <w:color w:val="auto"/>
          <w:kern w:val="2"/>
          <w:sz w:val="21"/>
          <w:szCs w:val="21"/>
          <w:lang w:val="en-US" w:eastAsia="zh-CN" w:bidi="ar-SA"/>
        </w:rPr>
        <w:t>对学校“课程设置”“语数英等文化课”“德育类课程”“体育课”“公共艺术课”等 18 项内容的满意度分别进行调研。调查结果显示，学校毕业生对母校课程、教师、学习环境等满意度位列前四的分别是“专业课教师专业知识与技能水平”（6.42 分）、“专业课教师的教学水平”（6.41 分）、“专业技能课”（6.38 分）、“学校风气”（6.36 分），而对“公共艺术课”（6.15 分）的满意度最低。与全省相比，学校毕业生对学校课程、教师、学习环境等各项内容满意度与全省满意度分布基本一致，且均高于全省平均分。</w:t>
      </w:r>
    </w:p>
    <w:p>
      <w:pPr>
        <w:keepNext/>
        <w:keepLines/>
        <w:widowControl w:val="0"/>
        <w:spacing w:before="157" w:beforeLines="50" w:after="0" w:afterLines="0" w:line="360" w:lineRule="auto"/>
        <w:ind w:right="0"/>
        <w:jc w:val="both"/>
        <w:outlineLvl w:val="2"/>
        <w:rPr>
          <w:rFonts w:hint="eastAsia" w:ascii="宋体" w:hAnsi="宋体" w:eastAsia="宋体" w:cs="宋体"/>
          <w:color w:val="auto"/>
          <w:kern w:val="0"/>
          <w:sz w:val="21"/>
          <w:szCs w:val="21"/>
          <w:lang w:val="en-US" w:eastAsia="zh-CN" w:bidi="ar-SA"/>
        </w:rPr>
      </w:pPr>
      <w:r>
        <w:rPr>
          <w:rFonts w:hint="eastAsia" w:ascii="宋体" w:hAnsi="宋体" w:cs="Times New Roman"/>
          <w:b/>
          <w:color w:val="auto"/>
          <w:kern w:val="0"/>
          <w:sz w:val="21"/>
          <w:szCs w:val="21"/>
          <w:lang w:val="en-US" w:eastAsia="zh-CN" w:bidi="ar-SA"/>
        </w:rPr>
        <w:t xml:space="preserve">    </w:t>
      </w:r>
      <w:r>
        <w:rPr>
          <w:rFonts w:hint="eastAsia" w:ascii="宋体" w:hAnsi="宋体" w:eastAsia="宋体" w:cs="Times New Roman"/>
          <w:b/>
          <w:color w:val="auto"/>
          <w:kern w:val="0"/>
          <w:sz w:val="21"/>
          <w:szCs w:val="21"/>
          <w:lang w:val="en-US" w:eastAsia="zh-CN" w:bidi="ar-SA"/>
        </w:rPr>
        <w:t>推进质量提升工程，提升办学质量</w:t>
      </w:r>
      <w:bookmarkEnd w:id="212"/>
      <w:bookmarkEnd w:id="213"/>
      <w:bookmarkEnd w:id="214"/>
      <w:r>
        <w:rPr>
          <w:rFonts w:hint="eastAsia" w:ascii="宋体" w:hAnsi="宋体" w:cs="Times New Roman"/>
          <w:b/>
          <w:color w:val="auto"/>
          <w:kern w:val="0"/>
          <w:sz w:val="21"/>
          <w:szCs w:val="21"/>
          <w:lang w:val="en-US" w:eastAsia="zh-CN" w:bidi="ar-SA"/>
        </w:rPr>
        <w:t>。</w:t>
      </w:r>
      <w:r>
        <w:rPr>
          <w:rFonts w:hint="eastAsia" w:ascii="宋体" w:hAnsi="宋体" w:eastAsia="宋体" w:cs="宋体"/>
          <w:kern w:val="0"/>
          <w:sz w:val="21"/>
          <w:szCs w:val="21"/>
          <w:lang w:val="en-US" w:eastAsia="zh-CN" w:bidi="ar-SA"/>
        </w:rPr>
        <w:t>实施省市中等职业教育质量提升工程，着力打造职业教育新品牌。积极组织开展项目申报，评审认定市中职教育质量提升工程</w:t>
      </w:r>
      <w:r>
        <w:rPr>
          <w:rFonts w:hint="eastAsia" w:ascii="宋体" w:hAnsi="宋体" w:cs="宋体"/>
          <w:kern w:val="0"/>
          <w:sz w:val="21"/>
          <w:szCs w:val="21"/>
          <w:lang w:val="en-US" w:eastAsia="zh-CN" w:bidi="ar-SA"/>
        </w:rPr>
        <w:t>25</w:t>
      </w:r>
      <w:r>
        <w:rPr>
          <w:rFonts w:hint="eastAsia" w:ascii="宋体" w:hAnsi="宋体" w:eastAsia="宋体" w:cs="宋体"/>
          <w:kern w:val="0"/>
          <w:sz w:val="21"/>
          <w:szCs w:val="21"/>
          <w:lang w:val="en-US" w:eastAsia="zh-CN" w:bidi="ar-SA"/>
        </w:rPr>
        <w:t>个项目；成功创建2020年省“中职质量提升行动计划”建设项目</w:t>
      </w:r>
      <w:r>
        <w:rPr>
          <w:rFonts w:hint="eastAsia" w:ascii="宋体" w:hAnsi="宋体" w:cs="宋体"/>
          <w:color w:val="auto"/>
          <w:kern w:val="0"/>
          <w:sz w:val="21"/>
          <w:szCs w:val="21"/>
          <w:lang w:val="en-US" w:eastAsia="zh-CN" w:bidi="ar-SA"/>
        </w:rPr>
        <w:t>35</w:t>
      </w:r>
      <w:r>
        <w:rPr>
          <w:rFonts w:hint="eastAsia" w:ascii="宋体" w:hAnsi="宋体" w:eastAsia="宋体" w:cs="宋体"/>
          <w:color w:val="auto"/>
          <w:kern w:val="0"/>
          <w:sz w:val="21"/>
          <w:szCs w:val="21"/>
          <w:lang w:val="en-US" w:eastAsia="zh-CN" w:bidi="ar-SA"/>
        </w:rPr>
        <w:t>个，其中校企合作共同体</w:t>
      </w:r>
      <w:r>
        <w:rPr>
          <w:rFonts w:hint="eastAsia" w:ascii="宋体" w:hAnsi="宋体" w:cs="宋体"/>
          <w:color w:val="auto"/>
          <w:kern w:val="0"/>
          <w:sz w:val="21"/>
          <w:szCs w:val="21"/>
          <w:lang w:val="en-US" w:eastAsia="zh-CN" w:bidi="ar-SA"/>
        </w:rPr>
        <w:t>4</w:t>
      </w:r>
      <w:r>
        <w:rPr>
          <w:rFonts w:hint="eastAsia" w:ascii="宋体" w:hAnsi="宋体" w:eastAsia="宋体" w:cs="宋体"/>
          <w:color w:val="auto"/>
          <w:kern w:val="0"/>
          <w:sz w:val="21"/>
          <w:szCs w:val="21"/>
          <w:lang w:val="en-US" w:eastAsia="zh-CN" w:bidi="ar-SA"/>
        </w:rPr>
        <w:t>个、德育品牌</w:t>
      </w:r>
      <w:r>
        <w:rPr>
          <w:rFonts w:hint="eastAsia" w:ascii="宋体" w:hAnsi="宋体" w:cs="宋体"/>
          <w:color w:val="auto"/>
          <w:kern w:val="0"/>
          <w:sz w:val="21"/>
          <w:szCs w:val="21"/>
          <w:lang w:val="en-US" w:eastAsia="zh-CN" w:bidi="ar-SA"/>
        </w:rPr>
        <w:t>4</w:t>
      </w:r>
      <w:r>
        <w:rPr>
          <w:rFonts w:hint="eastAsia" w:ascii="宋体" w:hAnsi="宋体" w:eastAsia="宋体" w:cs="宋体"/>
          <w:color w:val="auto"/>
          <w:kern w:val="0"/>
          <w:sz w:val="21"/>
          <w:szCs w:val="21"/>
          <w:lang w:val="en-US" w:eastAsia="zh-CN" w:bidi="ar-SA"/>
        </w:rPr>
        <w:t>个、创新创业教育实验室</w:t>
      </w:r>
      <w:r>
        <w:rPr>
          <w:rFonts w:hint="eastAsia" w:ascii="宋体" w:hAnsi="宋体" w:cs="宋体"/>
          <w:color w:val="auto"/>
          <w:kern w:val="0"/>
          <w:sz w:val="21"/>
          <w:szCs w:val="21"/>
          <w:lang w:val="en-US" w:eastAsia="zh-CN" w:bidi="ar-SA"/>
        </w:rPr>
        <w:t>4</w:t>
      </w:r>
      <w:r>
        <w:rPr>
          <w:rFonts w:hint="eastAsia" w:ascii="宋体" w:hAnsi="宋体" w:eastAsia="宋体" w:cs="宋体"/>
          <w:color w:val="auto"/>
          <w:kern w:val="0"/>
          <w:sz w:val="21"/>
          <w:szCs w:val="21"/>
          <w:lang w:val="en-US" w:eastAsia="zh-CN" w:bidi="ar-SA"/>
        </w:rPr>
        <w:t>个、优秀毕业生典型</w:t>
      </w:r>
      <w:r>
        <w:rPr>
          <w:rFonts w:hint="eastAsia" w:ascii="宋体" w:hAnsi="宋体" w:cs="宋体"/>
          <w:color w:val="auto"/>
          <w:kern w:val="0"/>
          <w:sz w:val="21"/>
          <w:szCs w:val="21"/>
          <w:lang w:val="en-US" w:eastAsia="zh-CN" w:bidi="ar-SA"/>
        </w:rPr>
        <w:t>4</w:t>
      </w:r>
      <w:r>
        <w:rPr>
          <w:rFonts w:hint="eastAsia" w:ascii="宋体" w:hAnsi="宋体" w:eastAsia="宋体" w:cs="宋体"/>
          <w:color w:val="auto"/>
          <w:kern w:val="0"/>
          <w:sz w:val="21"/>
          <w:szCs w:val="21"/>
          <w:lang w:val="en-US" w:eastAsia="zh-CN" w:bidi="ar-SA"/>
        </w:rPr>
        <w:t>个、学习型城市</w:t>
      </w:r>
      <w:r>
        <w:rPr>
          <w:rFonts w:hint="eastAsia" w:ascii="宋体" w:hAnsi="宋体" w:cs="宋体"/>
          <w:color w:val="auto"/>
          <w:kern w:val="0"/>
          <w:sz w:val="21"/>
          <w:szCs w:val="21"/>
          <w:lang w:val="en-US" w:eastAsia="zh-CN" w:bidi="ar-SA"/>
        </w:rPr>
        <w:t>2</w:t>
      </w:r>
      <w:r>
        <w:rPr>
          <w:rFonts w:hint="eastAsia" w:ascii="宋体" w:hAnsi="宋体" w:eastAsia="宋体" w:cs="宋体"/>
          <w:color w:val="auto"/>
          <w:kern w:val="0"/>
          <w:sz w:val="21"/>
          <w:szCs w:val="21"/>
          <w:lang w:val="en-US" w:eastAsia="zh-CN" w:bidi="ar-SA"/>
        </w:rPr>
        <w:t>个、现代化成人学校</w:t>
      </w:r>
      <w:r>
        <w:rPr>
          <w:rFonts w:hint="eastAsia" w:ascii="宋体" w:hAnsi="宋体" w:cs="宋体"/>
          <w:color w:val="auto"/>
          <w:kern w:val="0"/>
          <w:sz w:val="21"/>
          <w:szCs w:val="21"/>
          <w:lang w:val="en-US" w:eastAsia="zh-CN" w:bidi="ar-SA"/>
        </w:rPr>
        <w:t>8</w:t>
      </w:r>
      <w:r>
        <w:rPr>
          <w:rFonts w:hint="eastAsia" w:ascii="宋体" w:hAnsi="宋体" w:eastAsia="宋体" w:cs="宋体"/>
          <w:color w:val="auto"/>
          <w:kern w:val="0"/>
          <w:sz w:val="21"/>
          <w:szCs w:val="21"/>
          <w:lang w:val="en-US" w:eastAsia="zh-CN" w:bidi="ar-SA"/>
        </w:rPr>
        <w:t>所、成教品牌项目</w:t>
      </w:r>
      <w:r>
        <w:rPr>
          <w:rFonts w:hint="eastAsia" w:ascii="宋体" w:hAnsi="宋体" w:cs="宋体"/>
          <w:color w:val="auto"/>
          <w:kern w:val="0"/>
          <w:sz w:val="21"/>
          <w:szCs w:val="21"/>
          <w:lang w:val="en-US" w:eastAsia="zh-CN" w:bidi="ar-SA"/>
        </w:rPr>
        <w:t>9</w:t>
      </w:r>
      <w:r>
        <w:rPr>
          <w:rFonts w:hint="eastAsia" w:ascii="宋体" w:hAnsi="宋体" w:eastAsia="宋体" w:cs="宋体"/>
          <w:color w:val="auto"/>
          <w:kern w:val="0"/>
          <w:sz w:val="21"/>
          <w:szCs w:val="21"/>
          <w:lang w:val="en-US" w:eastAsia="zh-CN" w:bidi="ar-SA"/>
        </w:rPr>
        <w:t>个。</w:t>
      </w:r>
    </w:p>
    <w:p>
      <w:pPr>
        <w:adjustRightInd/>
        <w:snapToGrid/>
        <w:spacing w:before="0" w:beforeLines="0" w:afterLines="0" w:line="360" w:lineRule="auto"/>
        <w:ind w:firstLine="420" w:firstLineChars="200"/>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加强建设过程督导，顺利完成了2019 年市中职教育质量提升工程项目第二轮年度绩效考核检查工作和2018 年市中职教育质量提升工程项目学校第三轮年度绩效考核实地检查工作。认真做好 2020 年省</w:t>
      </w:r>
      <w:r>
        <w:rPr>
          <w:rFonts w:hint="eastAsia" w:ascii="宋体" w:hAnsi="宋体" w:cs="宋体"/>
          <w:kern w:val="0"/>
          <w:sz w:val="21"/>
          <w:szCs w:val="21"/>
          <w:lang w:val="en-US" w:eastAsia="zh-CN" w:bidi="ar-SA"/>
        </w:rPr>
        <w:t>中等职业教育</w:t>
      </w:r>
      <w:r>
        <w:rPr>
          <w:rFonts w:hint="eastAsia" w:ascii="宋体" w:hAnsi="宋体" w:eastAsia="宋体" w:cs="宋体"/>
          <w:kern w:val="0"/>
          <w:sz w:val="21"/>
          <w:szCs w:val="21"/>
          <w:lang w:val="en-US" w:eastAsia="zh-CN" w:bidi="ar-SA"/>
        </w:rPr>
        <w:t>“三名工程”</w:t>
      </w:r>
      <w:r>
        <w:rPr>
          <w:rFonts w:hint="eastAsia" w:ascii="宋体" w:hAnsi="宋体" w:cs="宋体"/>
          <w:color w:val="auto"/>
          <w:kern w:val="0"/>
          <w:sz w:val="21"/>
          <w:szCs w:val="21"/>
          <w:lang w:val="en-US" w:eastAsia="zh-CN" w:bidi="ar-SA"/>
        </w:rPr>
        <w:t>项目终期验收考核</w:t>
      </w:r>
      <w:r>
        <w:rPr>
          <w:rFonts w:hint="eastAsia" w:ascii="宋体" w:hAnsi="宋体" w:eastAsia="宋体" w:cs="宋体"/>
          <w:kern w:val="0"/>
          <w:sz w:val="21"/>
          <w:szCs w:val="21"/>
          <w:lang w:val="en-US" w:eastAsia="zh-CN" w:bidi="ar-SA"/>
        </w:rPr>
        <w:t>工作,各项目完成建设任务，全部通过考核，优良率位居全省前列。</w:t>
      </w:r>
      <w:r>
        <w:rPr>
          <w:rFonts w:hint="eastAsia" w:ascii="宋体" w:hAnsi="宋体" w:cs="宋体"/>
          <w:kern w:val="0"/>
          <w:sz w:val="21"/>
          <w:szCs w:val="21"/>
          <w:lang w:val="en-US" w:eastAsia="zh-CN" w:bidi="ar-SA"/>
        </w:rPr>
        <w:t>其中6所名校验收等级优秀4所，良好2所，优良率100%，优秀率66.67%（全省50所名校验收等级优良率68.00%,优秀率24.00%）。</w:t>
      </w:r>
    </w:p>
    <w:p>
      <w:pPr>
        <w:adjustRightInd/>
        <w:snapToGrid/>
        <w:spacing w:before="157" w:beforeLines="50" w:afterLines="0" w:line="360" w:lineRule="auto"/>
        <w:ind w:firstLine="421" w:firstLineChars="200"/>
        <w:rPr>
          <w:rFonts w:hint="eastAsia" w:ascii="宋体" w:hAnsi="宋体" w:eastAsia="宋体" w:cs="宋体"/>
          <w:color w:val="auto"/>
          <w:kern w:val="0"/>
          <w:sz w:val="21"/>
          <w:szCs w:val="21"/>
          <w:lang w:val="en-US" w:eastAsia="zh-CN" w:bidi="ar-SA"/>
        </w:rPr>
      </w:pPr>
      <w:r>
        <w:rPr>
          <w:rFonts w:hint="eastAsia" w:ascii="楷体_GB2312" w:hAnsi="楷体_GB2312" w:eastAsia="楷体_GB2312" w:cs="楷体_GB2312"/>
          <w:b/>
          <w:bCs/>
          <w:color w:val="auto"/>
          <w:kern w:val="44"/>
          <w:sz w:val="21"/>
          <w:szCs w:val="21"/>
          <w:lang w:val="zh-CN" w:eastAsia="zh-CN" w:bidi="ar-SA"/>
        </w:rPr>
        <w:t>【案例7-</w:t>
      </w:r>
      <w:r>
        <w:rPr>
          <w:rFonts w:hint="eastAsia" w:ascii="楷体_GB2312" w:hAnsi="楷体_GB2312" w:eastAsia="楷体_GB2312" w:cs="楷体_GB2312"/>
          <w:b/>
          <w:bCs/>
          <w:color w:val="auto"/>
          <w:kern w:val="44"/>
          <w:sz w:val="21"/>
          <w:szCs w:val="21"/>
          <w:lang w:val="en-US" w:eastAsia="zh-CN" w:bidi="ar-SA"/>
        </w:rPr>
        <w:t>11</w:t>
      </w:r>
      <w:r>
        <w:rPr>
          <w:rFonts w:hint="eastAsia" w:ascii="楷体_GB2312" w:hAnsi="楷体_GB2312" w:eastAsia="楷体_GB2312" w:cs="楷体_GB2312"/>
          <w:b/>
          <w:bCs/>
          <w:color w:val="auto"/>
          <w:kern w:val="44"/>
          <w:sz w:val="21"/>
          <w:szCs w:val="21"/>
          <w:lang w:val="zh-CN" w:eastAsia="zh-CN" w:bidi="ar-SA"/>
        </w:rPr>
        <w:t>】省“三名工程”项目终期验收杭州取得优异成绩</w:t>
      </w:r>
    </w:p>
    <w:p>
      <w:pPr>
        <w:widowControl w:val="0"/>
        <w:wordWrap/>
        <w:adjustRightInd/>
        <w:snapToGrid/>
        <w:spacing w:beforeLines="0" w:afterLines="0" w:line="360" w:lineRule="auto"/>
        <w:ind w:left="0" w:leftChars="0" w:right="0" w:firstLine="420" w:firstLineChars="200"/>
        <w:jc w:val="both"/>
        <w:textAlignment w:val="auto"/>
        <w:outlineLvl w:val="9"/>
        <w:rPr>
          <w:rFonts w:hint="eastAsia" w:ascii="仿宋_GB2312" w:hAnsi="仿宋_GB2312" w:eastAsia="仿宋_GB2312" w:cs="仿宋_GB2312"/>
          <w:b w:val="0"/>
          <w:bCs w:val="0"/>
          <w:i w:val="0"/>
          <w:caps w:val="0"/>
          <w:color w:val="000000"/>
          <w:spacing w:val="0"/>
          <w:sz w:val="21"/>
          <w:szCs w:val="21"/>
          <w:shd w:val="clear" w:fill="FFFFFF"/>
          <w:lang w:val="en-US" w:eastAsia="zh-CN"/>
        </w:rPr>
      </w:pPr>
      <w:r>
        <w:rPr>
          <w:rFonts w:hint="eastAsia" w:ascii="仿宋_GB2312" w:hAnsi="仿宋_GB2312" w:eastAsia="仿宋_GB2312" w:cs="仿宋_GB2312"/>
          <w:b w:val="0"/>
          <w:bCs w:val="0"/>
          <w:i w:val="0"/>
          <w:caps w:val="0"/>
          <w:color w:val="000000"/>
          <w:spacing w:val="0"/>
          <w:sz w:val="21"/>
          <w:szCs w:val="21"/>
          <w:shd w:val="clear" w:fill="FFFFFF"/>
          <w:lang w:val="en-US" w:eastAsia="zh-CN"/>
        </w:rPr>
        <w:t>2021年2月5日，</w:t>
      </w:r>
      <w:r>
        <w:rPr>
          <w:rFonts w:hint="eastAsia" w:ascii="仿宋_GB2312" w:hAnsi="仿宋_GB2312" w:eastAsia="仿宋_GB2312" w:cs="仿宋_GB2312"/>
          <w:b w:val="0"/>
          <w:bCs w:val="0"/>
          <w:i w:val="0"/>
          <w:caps w:val="0"/>
          <w:color w:val="000000"/>
          <w:spacing w:val="0"/>
          <w:sz w:val="21"/>
          <w:szCs w:val="21"/>
          <w:shd w:val="clear" w:fill="FFFFFF"/>
        </w:rPr>
        <w:t>浙江省2020年中等职业教育“三名工程”终期验收结果公示</w:t>
      </w:r>
      <w:r>
        <w:rPr>
          <w:rFonts w:hint="eastAsia" w:ascii="仿宋_GB2312" w:hAnsi="仿宋_GB2312" w:eastAsia="仿宋_GB2312" w:cs="仿宋_GB2312"/>
          <w:b w:val="0"/>
          <w:bCs w:val="0"/>
          <w:i w:val="0"/>
          <w:caps w:val="0"/>
          <w:color w:val="000000"/>
          <w:spacing w:val="0"/>
          <w:sz w:val="21"/>
          <w:szCs w:val="21"/>
          <w:shd w:val="clear" w:fill="FFFFFF"/>
          <w:lang w:eastAsia="zh-CN"/>
        </w:rPr>
        <w:t>，杭州市建设项目验收成绩喜人。名校项目：优秀</w:t>
      </w:r>
      <w:r>
        <w:rPr>
          <w:rFonts w:hint="eastAsia" w:ascii="仿宋_GB2312" w:hAnsi="仿宋_GB2312" w:eastAsia="仿宋_GB2312" w:cs="仿宋_GB2312"/>
          <w:b w:val="0"/>
          <w:bCs w:val="0"/>
          <w:i w:val="0"/>
          <w:caps w:val="0"/>
          <w:color w:val="000000"/>
          <w:spacing w:val="0"/>
          <w:sz w:val="21"/>
          <w:szCs w:val="21"/>
          <w:shd w:val="clear" w:fill="FFFFFF"/>
          <w:lang w:val="en-US" w:eastAsia="zh-CN"/>
        </w:rPr>
        <w:t>4所、良好2所；名师工作室项目：优秀2个、良好2个、合格7个；大师工作室项目：优秀4个、良好6个、合格4个；品牌专业项目：优秀5个、良好7个、合格5个；优势特色专业项目：优秀6个、良好5个、合格4个，建设项目验收合格率100%，优良率68.25%，优秀率33.33%（全省优秀率为21.97%）。</w:t>
      </w:r>
    </w:p>
    <w:p>
      <w:pPr>
        <w:spacing w:before="157" w:beforeLines="50" w:after="0" w:afterLines="0" w:line="360" w:lineRule="auto"/>
        <w:ind w:firstLine="450" w:firstLineChars="150"/>
        <w:rPr>
          <w:rFonts w:hint="eastAsia" w:ascii="黑体" w:hAnsi="黑体" w:eastAsia="黑体" w:cs="黑体"/>
          <w:b w:val="0"/>
          <w:bCs w:val="0"/>
          <w:color w:val="auto"/>
          <w:kern w:val="44"/>
          <w:sz w:val="30"/>
          <w:szCs w:val="30"/>
          <w:lang w:val="en-US" w:eastAsia="zh-CN" w:bidi="ar-SA"/>
        </w:rPr>
      </w:pPr>
      <w:bookmarkStart w:id="215" w:name="_Toc2030503309_WPSOffice_Level1"/>
      <w:bookmarkStart w:id="216" w:name="_Toc619442647_WPSOffice_Level1"/>
      <w:bookmarkStart w:id="217" w:name="_Toc2094808370_WPSOffice_Level2"/>
      <w:r>
        <w:rPr>
          <w:rFonts w:hint="eastAsia" w:ascii="黑体" w:hAnsi="黑体" w:eastAsia="黑体" w:cs="黑体"/>
          <w:b w:val="0"/>
          <w:bCs w:val="0"/>
          <w:color w:val="auto"/>
          <w:kern w:val="44"/>
          <w:sz w:val="30"/>
          <w:szCs w:val="30"/>
          <w:lang w:val="en-US" w:eastAsia="zh-CN" w:bidi="ar-SA"/>
        </w:rPr>
        <w:t>7.</w:t>
      </w:r>
      <w:bookmarkStart w:id="218" w:name="OLE_LINK4"/>
      <w:bookmarkStart w:id="219" w:name="OLE_LINK2"/>
      <w:bookmarkStart w:id="220" w:name="OLE_LINK7"/>
      <w:r>
        <w:rPr>
          <w:rFonts w:hint="eastAsia" w:ascii="黑体" w:hAnsi="黑体" w:eastAsia="黑体" w:cs="黑体"/>
          <w:b w:val="0"/>
          <w:bCs w:val="0"/>
          <w:color w:val="auto"/>
          <w:kern w:val="44"/>
          <w:sz w:val="30"/>
          <w:szCs w:val="30"/>
          <w:lang w:val="en-US" w:eastAsia="zh-CN" w:bidi="ar-SA"/>
        </w:rPr>
        <w:t>4 全面展示杭州美好教育</w:t>
      </w:r>
      <w:bookmarkEnd w:id="215"/>
      <w:bookmarkEnd w:id="216"/>
      <w:bookmarkEnd w:id="217"/>
    </w:p>
    <w:p>
      <w:pPr>
        <w:widowControl w:val="0"/>
        <w:wordWrap/>
        <w:adjustRightInd/>
        <w:snapToGrid/>
        <w:spacing w:beforeLines="0" w:afterLines="0" w:line="360" w:lineRule="auto"/>
        <w:ind w:left="0" w:leftChars="0" w:right="0" w:firstLine="420" w:firstLineChars="200"/>
        <w:jc w:val="left"/>
        <w:textAlignment w:val="auto"/>
        <w:outlineLvl w:val="9"/>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立足杭州职教改革与发展，服务广大职教工作者，搭建信息交流沟通的宣传平台，进一步扩大职教宣传的影响力</w:t>
      </w:r>
      <w:r>
        <w:rPr>
          <w:rFonts w:hint="eastAsia" w:ascii="宋体" w:hAnsi="宋体" w:cs="宋体"/>
          <w:color w:val="auto"/>
          <w:kern w:val="2"/>
          <w:sz w:val="21"/>
          <w:szCs w:val="21"/>
          <w:lang w:val="en-US" w:eastAsia="zh-CN" w:bidi="ar-SA"/>
        </w:rPr>
        <w:t>，成为展示杭州美好教育的重要窗口。</w:t>
      </w:r>
    </w:p>
    <w:p>
      <w:pPr>
        <w:widowControl w:val="0"/>
        <w:wordWrap/>
        <w:adjustRightInd/>
        <w:snapToGrid/>
        <w:spacing w:beforeLines="0" w:afterLines="0" w:line="360" w:lineRule="auto"/>
        <w:ind w:left="0" w:leftChars="0" w:right="0" w:firstLine="420" w:firstLineChars="200"/>
        <w:jc w:val="left"/>
        <w:textAlignment w:val="auto"/>
        <w:outlineLvl w:val="9"/>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2020年，</w:t>
      </w:r>
      <w:r>
        <w:rPr>
          <w:rFonts w:hint="eastAsia" w:ascii="宋体" w:hAnsi="宋体" w:cs="宋体"/>
          <w:color w:val="auto"/>
          <w:kern w:val="2"/>
          <w:sz w:val="21"/>
          <w:szCs w:val="21"/>
          <w:lang w:val="en-US" w:eastAsia="zh-CN" w:bidi="ar-SA"/>
        </w:rPr>
        <w:t>杭州市中等职业教育</w:t>
      </w:r>
      <w:r>
        <w:rPr>
          <w:rFonts w:hint="eastAsia" w:ascii="宋体" w:hAnsi="宋体" w:eastAsia="宋体" w:cs="宋体"/>
          <w:color w:val="auto"/>
          <w:kern w:val="2"/>
          <w:sz w:val="21"/>
          <w:szCs w:val="21"/>
          <w:lang w:val="en-US" w:eastAsia="zh-CN" w:bidi="ar-SA"/>
        </w:rPr>
        <w:t>积极利用网站、微信平台、《杭州职教》杂志、各类教育教学平台，宣传杭州职教取得的丰厚成绩。“杭州职教”微信公众号2020全年共采编发布176条信息，涵盖共享课堂、职教教研、产教融合、学校风采、教学研究等十余个栏目内容。其中，为有效应对疫情期间“停课不停学”的工作要求，公众号自2月4日起，共采编101篇“共享课堂”的内容，推介332节课，</w:t>
      </w:r>
      <w:r>
        <w:rPr>
          <w:rFonts w:hint="eastAsia" w:ascii="宋体" w:hAnsi="宋体" w:cs="宋体"/>
          <w:color w:val="auto"/>
          <w:kern w:val="2"/>
          <w:sz w:val="21"/>
          <w:szCs w:val="21"/>
          <w:lang w:val="en-US" w:eastAsia="zh-CN" w:bidi="ar-SA"/>
        </w:rPr>
        <w:t>深</w:t>
      </w:r>
      <w:r>
        <w:rPr>
          <w:rFonts w:hint="eastAsia" w:ascii="宋体" w:hAnsi="宋体" w:eastAsia="宋体" w:cs="宋体"/>
          <w:color w:val="auto"/>
          <w:kern w:val="2"/>
          <w:sz w:val="21"/>
          <w:szCs w:val="21"/>
          <w:lang w:val="en-US" w:eastAsia="zh-CN" w:bidi="ar-SA"/>
        </w:rPr>
        <w:t>受全市中职学校师生欢迎。在此基础上编印《风雨同舟，共克时艰——杭州市中职抗击新冠“共享课堂”纪实》一辑，为2020年杭州中职宣传留下浓墨重彩。同时在《光明日报》《中国教育报》《浙江日报》《浙江教育报》《职业教育》等报纸、杂志相继发表文章10余篇，涉及线上教学4篇、产教融合5篇、未来课堂教学3篇、美好教育3篇。2020年度《杭州职教》杂志共出版四期，发行8800本</w:t>
      </w:r>
      <w:r>
        <w:rPr>
          <w:rFonts w:hint="eastAsia" w:ascii="宋体" w:hAnsi="宋体" w:cs="宋体"/>
          <w:color w:val="auto"/>
          <w:kern w:val="2"/>
          <w:sz w:val="21"/>
          <w:szCs w:val="21"/>
          <w:lang w:val="en-US" w:eastAsia="zh-CN" w:bidi="ar-SA"/>
        </w:rPr>
        <w:t>，</w:t>
      </w:r>
      <w:r>
        <w:rPr>
          <w:rFonts w:hint="eastAsia" w:ascii="宋体" w:hAnsi="宋体" w:eastAsia="宋体" w:cs="宋体"/>
          <w:color w:val="auto"/>
          <w:kern w:val="2"/>
          <w:sz w:val="21"/>
          <w:szCs w:val="21"/>
          <w:lang w:val="en-US" w:eastAsia="zh-CN" w:bidi="ar-SA"/>
        </w:rPr>
        <w:t>发表文章88 篇。</w:t>
      </w:r>
    </w:p>
    <w:p>
      <w:pPr>
        <w:keepNext/>
        <w:keepLines/>
        <w:wordWrap/>
        <w:adjustRightInd/>
        <w:snapToGrid/>
        <w:spacing w:before="157" w:beforeLines="50" w:afterLines="0" w:line="360" w:lineRule="auto"/>
        <w:ind w:firstLine="421" w:firstLineChars="200"/>
        <w:textAlignment w:val="auto"/>
        <w:outlineLvl w:val="1"/>
        <w:rPr>
          <w:rFonts w:hint="eastAsia" w:ascii="楷体_GB2312" w:hAnsi="楷体_GB2312" w:eastAsia="楷体_GB2312" w:cs="楷体_GB2312"/>
          <w:b/>
          <w:bCs/>
          <w:color w:val="auto"/>
          <w:kern w:val="44"/>
          <w:sz w:val="21"/>
          <w:szCs w:val="21"/>
          <w:lang w:val="zh-CN" w:eastAsia="zh-CN" w:bidi="ar-SA"/>
        </w:rPr>
      </w:pPr>
      <w:r>
        <w:rPr>
          <w:rFonts w:hint="eastAsia" w:ascii="楷体_GB2312" w:hAnsi="楷体_GB2312" w:eastAsia="楷体_GB2312" w:cs="楷体_GB2312"/>
          <w:b/>
          <w:bCs/>
          <w:color w:val="auto"/>
          <w:kern w:val="44"/>
          <w:sz w:val="21"/>
          <w:szCs w:val="21"/>
          <w:lang w:val="zh-CN" w:eastAsia="zh-CN" w:bidi="ar-SA"/>
        </w:rPr>
        <w:t>【案例7-</w:t>
      </w:r>
      <w:r>
        <w:rPr>
          <w:rFonts w:hint="eastAsia" w:ascii="楷体_GB2312" w:hAnsi="楷体_GB2312" w:eastAsia="楷体_GB2312" w:cs="楷体_GB2312"/>
          <w:b/>
          <w:bCs/>
          <w:color w:val="auto"/>
          <w:kern w:val="44"/>
          <w:sz w:val="21"/>
          <w:szCs w:val="21"/>
          <w:lang w:val="en-US" w:eastAsia="zh-CN" w:bidi="ar-SA"/>
        </w:rPr>
        <w:t>12</w:t>
      </w:r>
      <w:r>
        <w:rPr>
          <w:rFonts w:hint="eastAsia" w:ascii="楷体_GB2312" w:hAnsi="楷体_GB2312" w:eastAsia="楷体_GB2312" w:cs="楷体_GB2312"/>
          <w:b/>
          <w:bCs/>
          <w:color w:val="auto"/>
          <w:kern w:val="44"/>
          <w:sz w:val="21"/>
          <w:szCs w:val="21"/>
          <w:lang w:val="zh-CN" w:eastAsia="zh-CN" w:bidi="ar-SA"/>
        </w:rPr>
        <w:t>】</w:t>
      </w:r>
      <w:bookmarkEnd w:id="218"/>
      <w:bookmarkEnd w:id="219"/>
      <w:bookmarkEnd w:id="220"/>
      <w:r>
        <w:rPr>
          <w:rFonts w:hint="eastAsia" w:ascii="楷体_GB2312" w:hAnsi="楷体_GB2312" w:eastAsia="楷体_GB2312" w:cs="楷体_GB2312"/>
          <w:b/>
          <w:bCs/>
          <w:color w:val="auto"/>
          <w:kern w:val="44"/>
          <w:sz w:val="21"/>
          <w:szCs w:val="21"/>
          <w:lang w:val="zh-CN" w:eastAsia="zh-CN" w:bidi="ar-SA"/>
        </w:rPr>
        <w:t>《在线教学，“应急之举”如何融入教改》</w:t>
      </w:r>
    </w:p>
    <w:p>
      <w:pPr>
        <w:widowControl w:val="0"/>
        <w:wordWrap/>
        <w:adjustRightInd/>
        <w:snapToGrid/>
        <w:spacing w:beforeLines="0" w:afterLines="0" w:line="360" w:lineRule="auto"/>
        <w:ind w:left="0" w:leftChars="0" w:right="0" w:firstLine="420" w:firstLineChars="200"/>
        <w:jc w:val="both"/>
        <w:textAlignment w:val="auto"/>
        <w:outlineLvl w:val="9"/>
        <w:rPr>
          <w:rFonts w:hint="eastAsia" w:ascii="楷体" w:hAnsi="楷体" w:eastAsia="仿宋_GB2312" w:cs="宋体"/>
          <w:b w:val="0"/>
          <w:bCs/>
          <w:color w:val="auto"/>
          <w:kern w:val="0"/>
          <w:sz w:val="21"/>
          <w:szCs w:val="21"/>
          <w:lang w:val="zh-CN" w:bidi="zh-CN"/>
        </w:rPr>
      </w:pPr>
      <w:r>
        <w:rPr>
          <w:rFonts w:hint="eastAsia" w:ascii="楷体" w:hAnsi="楷体" w:eastAsia="仿宋_GB2312" w:cs="宋体"/>
          <w:b w:val="0"/>
          <w:bCs/>
          <w:color w:val="auto"/>
          <w:kern w:val="0"/>
          <w:sz w:val="21"/>
          <w:szCs w:val="21"/>
          <w:lang w:val="zh-CN" w:bidi="zh-CN"/>
        </w:rPr>
        <w:t>在线教学犹如“逆行的勇士”，决战于教育防疫战。各职业学校要进一步推进在线教学的可持续发展，实现下面三个转变。</w:t>
      </w:r>
    </w:p>
    <w:p>
      <w:pPr>
        <w:widowControl w:val="0"/>
        <w:wordWrap/>
        <w:adjustRightInd/>
        <w:snapToGrid/>
        <w:spacing w:beforeLines="0" w:afterLines="0" w:line="360" w:lineRule="auto"/>
        <w:ind w:left="0" w:leftChars="0" w:right="0" w:firstLine="420" w:firstLineChars="200"/>
        <w:jc w:val="both"/>
        <w:textAlignment w:val="auto"/>
        <w:outlineLvl w:val="9"/>
        <w:rPr>
          <w:rFonts w:hint="eastAsia" w:ascii="楷体" w:hAnsi="楷体" w:eastAsia="仿宋_GB2312" w:cs="宋体"/>
          <w:b w:val="0"/>
          <w:bCs/>
          <w:color w:val="auto"/>
          <w:kern w:val="0"/>
          <w:sz w:val="21"/>
          <w:szCs w:val="21"/>
          <w:lang w:val="zh-CN" w:bidi="zh-CN"/>
        </w:rPr>
      </w:pPr>
      <w:r>
        <w:rPr>
          <w:rFonts w:hint="eastAsia" w:ascii="楷体" w:hAnsi="楷体" w:eastAsia="仿宋_GB2312" w:cs="宋体"/>
          <w:b w:val="0"/>
          <w:bCs/>
          <w:color w:val="auto"/>
          <w:kern w:val="0"/>
          <w:sz w:val="21"/>
          <w:szCs w:val="21"/>
          <w:lang w:val="zh-CN" w:bidi="zh-CN"/>
        </w:rPr>
        <w:t>一是从“应急之举”走向“前瞻规划”。中职学校要着眼于未来发展，做好教育信息化的长远规划——推动网络学习空间的建设与应用，以信息化教育教学改革引领教师信息技术应用能力提升培训，着力提升教师信息化素养，并将其视同教育科研能力纳入教师专业发展评价体系。做好数字化教学资源建设规划，形成数字资源的滚动发展机制，构建中职教育专业教学资源库，不断丰富职业教育的学习资源系统。</w:t>
      </w:r>
    </w:p>
    <w:p>
      <w:pPr>
        <w:widowControl w:val="0"/>
        <w:wordWrap/>
        <w:adjustRightInd/>
        <w:snapToGrid/>
        <w:spacing w:beforeLines="0" w:afterLines="0" w:line="360" w:lineRule="auto"/>
        <w:ind w:left="0" w:leftChars="0" w:right="0" w:firstLine="420" w:firstLineChars="200"/>
        <w:jc w:val="both"/>
        <w:textAlignment w:val="auto"/>
        <w:outlineLvl w:val="9"/>
        <w:rPr>
          <w:rFonts w:hint="eastAsia" w:ascii="楷体" w:hAnsi="楷体" w:eastAsia="仿宋_GB2312" w:cs="宋体"/>
          <w:b w:val="0"/>
          <w:bCs/>
          <w:color w:val="auto"/>
          <w:kern w:val="0"/>
          <w:sz w:val="21"/>
          <w:szCs w:val="21"/>
          <w:lang w:val="zh-CN" w:bidi="zh-CN"/>
        </w:rPr>
      </w:pPr>
      <w:r>
        <w:rPr>
          <w:rFonts w:hint="eastAsia" w:ascii="楷体" w:hAnsi="楷体" w:eastAsia="仿宋_GB2312" w:cs="宋体"/>
          <w:b w:val="0"/>
          <w:bCs/>
          <w:color w:val="auto"/>
          <w:kern w:val="0"/>
          <w:sz w:val="21"/>
          <w:szCs w:val="21"/>
          <w:lang w:val="zh-CN" w:bidi="zh-CN"/>
        </w:rPr>
        <w:t> 二是从“锦上添花”走向“辅车相依”。许多中职学校虽然早就探索精准教学、混合教学等教学模式，但从覆盖面和融合深度来看，在线教学仍是传统课堂教学的“锦上添花”。今后，中职学校要打造网络学习社区，挖掘数据红利，促进中职学生学习的科学化、精准化、个性化，提升中职教育质量，有效地将在线教学的优势融入到中职教学改革与管理之中。</w:t>
      </w:r>
    </w:p>
    <w:p>
      <w:pPr>
        <w:widowControl w:val="0"/>
        <w:wordWrap/>
        <w:adjustRightInd/>
        <w:snapToGrid/>
        <w:spacing w:beforeLines="0" w:afterLines="0" w:line="360" w:lineRule="auto"/>
        <w:ind w:left="0" w:leftChars="0" w:right="0" w:firstLine="420" w:firstLineChars="200"/>
        <w:jc w:val="both"/>
        <w:textAlignment w:val="auto"/>
        <w:outlineLvl w:val="9"/>
        <w:rPr>
          <w:rFonts w:hint="eastAsia" w:ascii="楷体" w:hAnsi="楷体" w:eastAsia="仿宋_GB2312" w:cs="宋体"/>
          <w:b w:val="0"/>
          <w:bCs/>
          <w:color w:val="auto"/>
          <w:kern w:val="0"/>
          <w:sz w:val="21"/>
          <w:szCs w:val="21"/>
          <w:lang w:val="zh-CN" w:bidi="zh-CN"/>
        </w:rPr>
      </w:pPr>
      <w:r>
        <w:rPr>
          <w:rFonts w:hint="eastAsia" w:ascii="楷体" w:hAnsi="楷体" w:eastAsia="仿宋_GB2312" w:cs="宋体"/>
          <w:b w:val="0"/>
          <w:bCs/>
          <w:color w:val="auto"/>
          <w:kern w:val="0"/>
          <w:sz w:val="21"/>
          <w:szCs w:val="21"/>
          <w:lang w:val="zh-CN" w:bidi="zh-CN"/>
        </w:rPr>
        <w:t> 三是从“超级单兵”走向“协同战队”。目前，中职学校在线课程开发积极性高，教师参与度也高，但也带来了两个问题，课程开发效率与质量有待提升和教师需要转变角色定位、实现轻负高质。为此应实现两个转变，一个转变是从“单个学校”走向“区域联合”。文化课类的通识课程应以区域联合研发为主，汇集区域内最优质师资，制作统一的课程资源包，辐射区域内所有中职学生，并对课程的教学实施进行教研跟踪与指导，在不断完善在线课程的过程中快速提升教师在线教学能力。专业类课程可以与行业企业联合研发，既凸显了类型教育的特色，也提升了专业课程的实践性与实效性。另一个转变是教师的转变，要从“单一主播”走向“协同战队”。在线教育不能过度增加教师负担，要实现教师之间的协同，由教学团队共同研发教学内容。在课程落地的过程中，有教师负责在线教学，有教师负责教学设计，有教师负责教育技术，有教师负责教学效果评估与反馈等，教学团队分工协作，为信息化教学提供必要的社群支持和技术支撑。更多的教师应该成为在线教学的辅助者，在课程实施过程中交流反馈，在课程组织过程中营造现场感，为学生提供后续学习支持和学习建议。</w:t>
      </w:r>
    </w:p>
    <w:p>
      <w:pPr>
        <w:widowControl w:val="0"/>
        <w:wordWrap/>
        <w:adjustRightInd/>
        <w:snapToGrid/>
        <w:spacing w:beforeLines="0" w:afterLines="0" w:line="360" w:lineRule="auto"/>
        <w:ind w:left="0" w:leftChars="0" w:right="0" w:firstLine="420" w:firstLineChars="200"/>
        <w:jc w:val="both"/>
        <w:textAlignment w:val="auto"/>
        <w:outlineLvl w:val="9"/>
        <w:rPr>
          <w:rFonts w:hint="eastAsia" w:ascii="楷体" w:hAnsi="楷体" w:eastAsia="仿宋_GB2312" w:cs="宋体"/>
          <w:b w:val="0"/>
          <w:bCs/>
          <w:color w:val="auto"/>
          <w:kern w:val="0"/>
          <w:sz w:val="21"/>
          <w:szCs w:val="21"/>
          <w:lang w:val="en-US" w:bidi="zh-CN"/>
        </w:rPr>
      </w:pPr>
      <w:r>
        <w:rPr>
          <w:rFonts w:hint="eastAsia" w:ascii="楷体" w:hAnsi="楷体" w:eastAsia="仿宋_GB2312" w:cs="宋体"/>
          <w:b w:val="0"/>
          <w:bCs/>
          <w:color w:val="auto"/>
          <w:kern w:val="0"/>
          <w:sz w:val="21"/>
          <w:szCs w:val="21"/>
          <w:lang w:val="en-US" w:bidi="zh-CN"/>
        </w:rPr>
        <w:t xml:space="preserve">                           （杭州市教育科学研究院 洪彬彬  </w:t>
      </w:r>
      <w:r>
        <w:rPr>
          <w:rFonts w:hint="eastAsia" w:ascii="楷体" w:hAnsi="楷体" w:eastAsia="仿宋_GB2312" w:cs="宋体"/>
          <w:b w:val="0"/>
          <w:bCs/>
          <w:color w:val="auto"/>
          <w:kern w:val="0"/>
          <w:sz w:val="21"/>
          <w:szCs w:val="21"/>
          <w:lang w:val="zh-CN" w:bidi="zh-CN"/>
        </w:rPr>
        <w:t>《中国教育报》</w:t>
      </w:r>
      <w:r>
        <w:rPr>
          <w:rFonts w:hint="eastAsia" w:ascii="楷体" w:hAnsi="楷体" w:eastAsia="仿宋_GB2312" w:cs="宋体"/>
          <w:b w:val="0"/>
          <w:bCs/>
          <w:color w:val="auto"/>
          <w:kern w:val="0"/>
          <w:sz w:val="21"/>
          <w:szCs w:val="21"/>
          <w:lang w:val="en-US" w:bidi="zh-CN"/>
        </w:rPr>
        <w:t>）</w:t>
      </w:r>
    </w:p>
    <w:p>
      <w:pPr>
        <w:wordWrap/>
        <w:adjustRightInd/>
        <w:snapToGrid/>
        <w:spacing w:before="313" w:beforeLines="100" w:after="157" w:afterLines="50" w:line="360" w:lineRule="auto"/>
        <w:ind w:firstLine="360" w:firstLineChars="100"/>
        <w:textAlignment w:val="auto"/>
        <w:outlineLvl w:val="9"/>
        <w:rPr>
          <w:rFonts w:hint="eastAsia" w:asciiTheme="minorEastAsia" w:hAnsiTheme="minorEastAsia" w:eastAsiaTheme="minorEastAsia" w:cstheme="minorEastAsia"/>
          <w:bCs/>
          <w:color w:val="auto"/>
          <w:sz w:val="21"/>
          <w:szCs w:val="21"/>
        </w:rPr>
      </w:pPr>
      <w:bookmarkStart w:id="221" w:name="_Toc242367033_WPSOffice_Level1"/>
      <w:bookmarkStart w:id="222" w:name="_Toc2073623019_WPSOffice_Level1"/>
      <w:bookmarkStart w:id="223" w:name="_Toc576763043_WPSOffice_Level2"/>
      <w:r>
        <w:rPr>
          <w:rFonts w:hint="eastAsia" w:ascii="黑体" w:hAnsi="黑体" w:eastAsia="黑体" w:cs="黑体"/>
          <w:color w:val="auto"/>
          <w:sz w:val="36"/>
          <w:szCs w:val="36"/>
        </w:rPr>
        <w:t>8</w:t>
      </w:r>
      <w:r>
        <w:rPr>
          <w:rFonts w:hint="eastAsia" w:ascii="黑体" w:hAnsi="黑体" w:eastAsia="黑体" w:cs="黑体"/>
          <w:color w:val="auto"/>
          <w:sz w:val="36"/>
          <w:szCs w:val="36"/>
          <w:lang w:eastAsia="zh-CN"/>
        </w:rPr>
        <w:t>.</w:t>
      </w:r>
      <w:r>
        <w:rPr>
          <w:rFonts w:hint="eastAsia" w:ascii="黑体" w:hAnsi="黑体" w:eastAsia="黑体" w:cs="黑体"/>
          <w:color w:val="auto"/>
          <w:sz w:val="36"/>
          <w:szCs w:val="36"/>
        </w:rPr>
        <w:t>党建</w:t>
      </w:r>
      <w:bookmarkEnd w:id="201"/>
      <w:bookmarkEnd w:id="202"/>
      <w:r>
        <w:rPr>
          <w:rFonts w:hint="eastAsia" w:ascii="黑体" w:hAnsi="黑体" w:eastAsia="黑体" w:cs="黑体"/>
          <w:color w:val="auto"/>
          <w:sz w:val="36"/>
          <w:szCs w:val="36"/>
          <w:lang w:eastAsia="zh-CN"/>
        </w:rPr>
        <w:t>工作</w:t>
      </w:r>
      <w:bookmarkEnd w:id="221"/>
      <w:bookmarkEnd w:id="222"/>
      <w:bookmarkEnd w:id="223"/>
      <w:bookmarkStart w:id="224" w:name="_Toc7770"/>
    </w:p>
    <w:p>
      <w:pPr>
        <w:wordWrap/>
        <w:adjustRightInd/>
        <w:snapToGrid/>
        <w:spacing w:beforeLines="0" w:afterLines="0" w:line="360" w:lineRule="auto"/>
        <w:ind w:firstLine="420" w:firstLineChars="200"/>
        <w:textAlignment w:val="auto"/>
        <w:rPr>
          <w:rFonts w:hint="eastAsia" w:ascii="宋体" w:hAnsi="宋体" w:eastAsia="宋体" w:cs="宋体"/>
          <w:bCs/>
          <w:color w:val="auto"/>
          <w:sz w:val="21"/>
          <w:szCs w:val="21"/>
        </w:rPr>
      </w:pPr>
      <w:r>
        <w:rPr>
          <w:rFonts w:hint="eastAsia" w:ascii="宋体" w:hAnsi="宋体" w:eastAsia="宋体" w:cs="宋体"/>
          <w:sz w:val="21"/>
          <w:szCs w:val="21"/>
          <w:lang w:val="en-US" w:eastAsia="zh-CN" w:bidi="ar-SA"/>
        </w:rPr>
        <w:t>2020年，</w:t>
      </w:r>
      <w:r>
        <w:rPr>
          <w:rFonts w:hint="eastAsia" w:ascii="宋体" w:hAnsi="宋体" w:eastAsia="宋体" w:cs="宋体"/>
          <w:sz w:val="21"/>
          <w:szCs w:val="21"/>
        </w:rPr>
        <w:t>市教育局党委、市教育局</w:t>
      </w:r>
      <w:r>
        <w:rPr>
          <w:rFonts w:hint="eastAsia" w:ascii="宋体" w:hAnsi="宋体" w:eastAsia="宋体" w:cs="宋体"/>
          <w:sz w:val="21"/>
          <w:szCs w:val="21"/>
          <w:lang w:val="en-US" w:eastAsia="zh-CN"/>
        </w:rPr>
        <w:t>在市委市政府的坚强领导下，</w:t>
      </w:r>
      <w:r>
        <w:rPr>
          <w:rFonts w:hint="eastAsia" w:ascii="宋体" w:hAnsi="宋体" w:eastAsia="宋体" w:cs="宋体"/>
          <w:sz w:val="21"/>
          <w:szCs w:val="21"/>
          <w:lang w:val="en-US" w:eastAsia="zh-CN" w:bidi="ar-SA"/>
        </w:rPr>
        <w:t>坚持以习近平新时代中国特色社会主义思想为指导，深入学习贯彻党的十九大和十九届二中、三中、四中、五中全会精神，统筹抓好疫情防控与教育事业发展，高水平建设“美好教育”，努力在服务“六稳”“六保”大局、展现“重要窗口”头雁风采中贡献教育力量。</w:t>
      </w:r>
      <w:r>
        <w:rPr>
          <w:rFonts w:hint="eastAsia" w:ascii="宋体" w:hAnsi="宋体" w:eastAsia="宋体" w:cs="宋体"/>
          <w:bCs/>
          <w:color w:val="auto"/>
          <w:sz w:val="21"/>
          <w:szCs w:val="21"/>
        </w:rPr>
        <w:t>杭州市各中等职业学校全面加强党的领导，结合中等职业教育具体工作，结十三五硕果，谋十四五新篇，为杭州职业教育高质量发展提供坚强的组织保证、思想保证、舆论支持和精神动力。</w:t>
      </w:r>
    </w:p>
    <w:p>
      <w:pPr>
        <w:keepNext/>
        <w:keepLines/>
        <w:wordWrap/>
        <w:adjustRightInd/>
        <w:snapToGrid/>
        <w:spacing w:before="157" w:beforeLines="50" w:after="0" w:afterLines="0" w:line="360" w:lineRule="auto"/>
        <w:ind w:left="0" w:leftChars="0" w:right="0" w:firstLine="450" w:firstLineChars="150"/>
        <w:textAlignment w:val="auto"/>
        <w:outlineLvl w:val="1"/>
        <w:rPr>
          <w:rFonts w:hint="eastAsia" w:ascii="Times New Roman" w:hAnsi="Times New Roman"/>
          <w:b/>
          <w:bCs/>
          <w:color w:val="auto"/>
          <w:kern w:val="44"/>
          <w:sz w:val="28"/>
          <w:szCs w:val="28"/>
        </w:rPr>
      </w:pPr>
      <w:bookmarkStart w:id="225" w:name="_Toc2796"/>
      <w:bookmarkStart w:id="226" w:name="_Toc29047048"/>
      <w:bookmarkStart w:id="227" w:name="_Toc1717673607_WPSOffice_Level2"/>
      <w:r>
        <w:rPr>
          <w:rFonts w:hint="eastAsia" w:ascii="黑体" w:hAnsi="黑体" w:eastAsia="黑体" w:cs="黑体"/>
          <w:b w:val="0"/>
          <w:bCs w:val="0"/>
          <w:color w:val="auto"/>
          <w:kern w:val="44"/>
          <w:sz w:val="30"/>
          <w:szCs w:val="30"/>
        </w:rPr>
        <w:t>8.1</w:t>
      </w:r>
      <w:r>
        <w:rPr>
          <w:rFonts w:hint="eastAsia" w:ascii="黑体" w:hAnsi="黑体" w:eastAsia="黑体" w:cs="黑体"/>
          <w:b w:val="0"/>
          <w:bCs w:val="0"/>
          <w:sz w:val="30"/>
          <w:szCs w:val="30"/>
          <w:lang w:val="en-US" w:eastAsia="zh-CN"/>
        </w:rPr>
        <w:t>进一步强化理论武装</w:t>
      </w:r>
      <w:bookmarkEnd w:id="225"/>
      <w:bookmarkEnd w:id="226"/>
      <w:bookmarkEnd w:id="227"/>
    </w:p>
    <w:p>
      <w:pPr>
        <w:wordWrap/>
        <w:adjustRightInd/>
        <w:snapToGrid/>
        <w:spacing w:beforeLines="0" w:afterLines="0" w:line="360" w:lineRule="auto"/>
        <w:ind w:firstLine="396" w:firstLineChars="200"/>
        <w:jc w:val="left"/>
        <w:textAlignment w:val="auto"/>
        <w:outlineLvl w:val="9"/>
        <w:rPr>
          <w:rFonts w:hint="eastAsia" w:ascii="宋体" w:hAnsi="宋体" w:eastAsia="宋体" w:cs="宋体"/>
          <w:bCs/>
          <w:color w:val="auto"/>
          <w:sz w:val="24"/>
          <w:szCs w:val="24"/>
        </w:rPr>
      </w:pPr>
      <w:bookmarkStart w:id="228" w:name="_Toc29047049"/>
      <w:bookmarkStart w:id="229" w:name="_Toc21114"/>
      <w:r>
        <w:rPr>
          <w:rFonts w:hint="eastAsia" w:ascii="宋体" w:hAnsi="宋体" w:eastAsia="宋体" w:cs="宋体"/>
          <w:b w:val="0"/>
          <w:bCs/>
          <w:spacing w:val="-6"/>
          <w:sz w:val="21"/>
          <w:szCs w:val="21"/>
        </w:rPr>
        <w:t>认真抓好党员春训冬训</w:t>
      </w:r>
      <w:r>
        <w:rPr>
          <w:rFonts w:hint="eastAsia" w:ascii="宋体" w:hAnsi="宋体" w:eastAsia="宋体" w:cs="宋体"/>
          <w:b w:val="0"/>
          <w:bCs/>
          <w:spacing w:val="-6"/>
          <w:sz w:val="21"/>
          <w:szCs w:val="21"/>
          <w:lang w:eastAsia="zh-CN"/>
        </w:rPr>
        <w:t>，线上</w:t>
      </w:r>
      <w:r>
        <w:rPr>
          <w:rFonts w:hint="eastAsia" w:ascii="宋体" w:hAnsi="宋体" w:eastAsia="宋体" w:cs="宋体"/>
          <w:b w:val="0"/>
          <w:bCs/>
          <w:sz w:val="21"/>
          <w:szCs w:val="21"/>
          <w:highlight w:val="none"/>
          <w:lang w:val="en-US" w:eastAsia="zh-CN"/>
        </w:rPr>
        <w:t>分两级开展党员春训冬训工作，</w:t>
      </w:r>
      <w:r>
        <w:rPr>
          <w:rFonts w:hint="eastAsia" w:ascii="宋体" w:hAnsi="宋体" w:eastAsia="宋体" w:cs="宋体"/>
          <w:b w:val="0"/>
          <w:bCs/>
          <w:sz w:val="21"/>
          <w:szCs w:val="21"/>
        </w:rPr>
        <w:t>通过钉钉视频的方式组织</w:t>
      </w:r>
      <w:r>
        <w:rPr>
          <w:rFonts w:hint="eastAsia" w:ascii="宋体" w:hAnsi="宋体" w:eastAsia="宋体" w:cs="宋体"/>
          <w:b w:val="0"/>
          <w:bCs/>
          <w:sz w:val="21"/>
          <w:szCs w:val="21"/>
          <w:lang w:eastAsia="zh-CN"/>
        </w:rPr>
        <w:t>轮训，</w:t>
      </w:r>
      <w:r>
        <w:rPr>
          <w:rFonts w:hint="eastAsia" w:ascii="宋体" w:hAnsi="宋体" w:eastAsia="宋体" w:cs="宋体"/>
          <w:b w:val="0"/>
          <w:bCs/>
          <w:sz w:val="21"/>
          <w:szCs w:val="21"/>
        </w:rPr>
        <w:t>做到党员干部全覆盖。组织开展专题学习</w:t>
      </w:r>
      <w:r>
        <w:rPr>
          <w:rFonts w:hint="eastAsia" w:ascii="宋体" w:hAnsi="宋体" w:eastAsia="宋体" w:cs="宋体"/>
          <w:b w:val="0"/>
          <w:bCs/>
          <w:sz w:val="21"/>
          <w:szCs w:val="21"/>
          <w:lang w:val="en-US" w:eastAsia="zh-CN"/>
        </w:rPr>
        <w:t>教育</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建立健全</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不忘初心、牢记使命</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长效机制</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lang w:val="en-US" w:eastAsia="zh-CN"/>
        </w:rPr>
        <w:t>组织直属学校（单位）局管干部专题学习习近平总书记</w:t>
      </w:r>
      <w:r>
        <w:rPr>
          <w:rFonts w:hint="eastAsia" w:ascii="宋体" w:hAnsi="宋体" w:eastAsia="宋体" w:cs="宋体"/>
          <w:b w:val="0"/>
          <w:bCs/>
          <w:i w:val="0"/>
          <w:caps w:val="0"/>
          <w:color w:val="auto"/>
          <w:spacing w:val="0"/>
          <w:sz w:val="21"/>
          <w:szCs w:val="21"/>
          <w:shd w:val="clear" w:color="auto" w:fill="auto"/>
        </w:rPr>
        <w:t>考察浙江</w:t>
      </w:r>
      <w:r>
        <w:rPr>
          <w:rFonts w:hint="eastAsia" w:ascii="宋体" w:hAnsi="宋体" w:eastAsia="宋体" w:cs="宋体"/>
          <w:b w:val="0"/>
          <w:bCs/>
          <w:i w:val="0"/>
          <w:caps w:val="0"/>
          <w:color w:val="auto"/>
          <w:spacing w:val="0"/>
          <w:sz w:val="21"/>
          <w:szCs w:val="21"/>
          <w:shd w:val="clear" w:color="auto" w:fill="auto"/>
          <w:lang w:eastAsia="zh-CN"/>
        </w:rPr>
        <w:t>、</w:t>
      </w:r>
      <w:r>
        <w:rPr>
          <w:rFonts w:hint="eastAsia" w:ascii="宋体" w:hAnsi="宋体" w:eastAsia="宋体" w:cs="宋体"/>
          <w:b w:val="0"/>
          <w:bCs/>
          <w:i w:val="0"/>
          <w:caps w:val="0"/>
          <w:color w:val="auto"/>
          <w:spacing w:val="0"/>
          <w:sz w:val="21"/>
          <w:szCs w:val="21"/>
          <w:shd w:val="clear" w:color="auto" w:fill="auto"/>
        </w:rPr>
        <w:t>杭州时的讲话精神</w:t>
      </w:r>
      <w:r>
        <w:rPr>
          <w:rFonts w:hint="eastAsia" w:ascii="宋体" w:hAnsi="宋体" w:eastAsia="宋体" w:cs="宋体"/>
          <w:b w:val="0"/>
          <w:bCs/>
          <w:sz w:val="21"/>
          <w:szCs w:val="21"/>
          <w:lang w:val="en-US" w:eastAsia="zh-CN"/>
        </w:rPr>
        <w:t>、《习近平总书记教育重要论述讲义》、党的十九届五中全会精神等，用党的创新理论武装思想指导实践。</w:t>
      </w:r>
      <w:r>
        <w:rPr>
          <w:rFonts w:hint="eastAsia" w:ascii="宋体" w:hAnsi="宋体" w:eastAsia="宋体" w:cs="宋体"/>
          <w:b w:val="0"/>
          <w:bCs/>
          <w:sz w:val="21"/>
          <w:szCs w:val="21"/>
        </w:rPr>
        <w:t>认真抓好示范培训</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lang w:val="en-US" w:eastAsia="zh-CN"/>
        </w:rPr>
        <w:t>组织党务干部和基层党支部书记开展专题培训，不断提升学校党务干部的党建工作能力。</w:t>
      </w:r>
    </w:p>
    <w:p>
      <w:pPr>
        <w:keepNext/>
        <w:keepLines/>
        <w:wordWrap/>
        <w:adjustRightInd/>
        <w:snapToGrid/>
        <w:spacing w:before="157" w:beforeLines="50" w:after="0" w:afterLines="0" w:line="360" w:lineRule="auto"/>
        <w:ind w:left="0" w:leftChars="0" w:right="0" w:firstLine="450" w:firstLineChars="150"/>
        <w:textAlignment w:val="auto"/>
        <w:outlineLvl w:val="1"/>
        <w:rPr>
          <w:rFonts w:hint="eastAsia" w:ascii="Times New Roman" w:hAnsi="Times New Roman"/>
          <w:b/>
          <w:bCs/>
          <w:color w:val="auto"/>
          <w:kern w:val="44"/>
          <w:sz w:val="28"/>
          <w:szCs w:val="28"/>
        </w:rPr>
      </w:pPr>
      <w:bookmarkStart w:id="230" w:name="_Toc296972508_WPSOffice_Level2"/>
      <w:r>
        <w:rPr>
          <w:rFonts w:hint="eastAsia" w:ascii="黑体" w:hAnsi="黑体" w:eastAsia="黑体" w:cs="黑体"/>
          <w:b w:val="0"/>
          <w:bCs w:val="0"/>
          <w:color w:val="auto"/>
          <w:kern w:val="44"/>
          <w:sz w:val="30"/>
          <w:szCs w:val="30"/>
        </w:rPr>
        <w:t xml:space="preserve">8.2 </w:t>
      </w:r>
      <w:r>
        <w:rPr>
          <w:rFonts w:hint="eastAsia" w:ascii="黑体" w:hAnsi="黑体" w:eastAsia="黑体" w:cs="黑体"/>
          <w:b w:val="0"/>
          <w:bCs w:val="0"/>
          <w:kern w:val="2"/>
          <w:sz w:val="30"/>
          <w:szCs w:val="30"/>
          <w:lang w:val="en-US" w:eastAsia="zh-CN" w:bidi="ar-SA"/>
        </w:rPr>
        <w:t>强化党组织的领导核心作用</w:t>
      </w:r>
      <w:bookmarkEnd w:id="228"/>
      <w:bookmarkEnd w:id="229"/>
      <w:bookmarkEnd w:id="230"/>
    </w:p>
    <w:p>
      <w:pPr>
        <w:pStyle w:val="9"/>
        <w:keepNext w:val="0"/>
        <w:keepLines w:val="0"/>
        <w:pageBreakBefore w:val="0"/>
        <w:widowControl w:val="0"/>
        <w:kinsoku/>
        <w:wordWrap/>
        <w:overflowPunct/>
        <w:topLinePunct w:val="0"/>
        <w:autoSpaceDE/>
        <w:autoSpaceDN/>
        <w:bidi w:val="0"/>
        <w:adjustRightInd/>
        <w:snapToGrid/>
        <w:spacing w:beforeLines="0" w:afterLines="0" w:line="360" w:lineRule="auto"/>
        <w:ind w:firstLine="420" w:firstLineChars="200"/>
        <w:jc w:val="left"/>
        <w:textAlignment w:val="auto"/>
        <w:outlineLvl w:val="9"/>
        <w:rPr>
          <w:rFonts w:hint="eastAsia" w:ascii="宋体" w:hAnsi="宋体" w:eastAsia="宋体" w:cs="宋体"/>
          <w:b w:val="0"/>
          <w:kern w:val="2"/>
          <w:sz w:val="21"/>
          <w:szCs w:val="21"/>
          <w:lang w:val="en-US" w:eastAsia="zh-CN" w:bidi="ar-SA"/>
        </w:rPr>
      </w:pPr>
      <w:r>
        <w:rPr>
          <w:rFonts w:hint="eastAsia" w:ascii="宋体" w:hAnsi="宋体" w:eastAsia="宋体" w:cs="宋体"/>
          <w:b w:val="0"/>
          <w:bCs w:val="0"/>
          <w:kern w:val="2"/>
          <w:sz w:val="21"/>
          <w:szCs w:val="21"/>
          <w:lang w:val="en-US" w:eastAsia="zh-CN" w:bidi="ar-SA"/>
        </w:rPr>
        <w:t>认真履行市委教育工作领导小组秘书组职能，</w:t>
      </w:r>
      <w:r>
        <w:rPr>
          <w:rFonts w:hint="eastAsia" w:ascii="宋体" w:hAnsi="宋体" w:eastAsia="宋体" w:cs="宋体"/>
          <w:b w:val="0"/>
          <w:kern w:val="2"/>
          <w:sz w:val="21"/>
          <w:szCs w:val="21"/>
          <w:lang w:val="en-US" w:eastAsia="zh-CN" w:bidi="ar-SA"/>
        </w:rPr>
        <w:t>协调推进市委市政府中心工作和重点改革任务在教育领域落地落实。</w:t>
      </w:r>
      <w:r>
        <w:rPr>
          <w:rFonts w:hint="eastAsia" w:ascii="宋体" w:hAnsi="宋体" w:eastAsia="宋体" w:cs="宋体"/>
          <w:b w:val="0"/>
          <w:bCs w:val="0"/>
          <w:kern w:val="2"/>
          <w:sz w:val="21"/>
          <w:szCs w:val="21"/>
          <w:lang w:val="en-US" w:eastAsia="zh-CN" w:bidi="ar-SA"/>
        </w:rPr>
        <w:t>压紧压实党建责任，</w:t>
      </w:r>
      <w:r>
        <w:rPr>
          <w:rFonts w:hint="eastAsia" w:ascii="宋体" w:hAnsi="宋体" w:eastAsia="宋体" w:cs="宋体"/>
          <w:b w:val="0"/>
          <w:kern w:val="2"/>
          <w:sz w:val="21"/>
          <w:szCs w:val="21"/>
          <w:lang w:val="en-US" w:eastAsia="zh-CN" w:bidi="ar-SA"/>
        </w:rPr>
        <w:t>制定《2020年党建工作要点》和《2020年“大党建”考核实施方案》，组织中职学校（单位）党组织开展年度党建工作述职，组织开展落实党建责任制情况专项检查并督促问题整改落实。</w:t>
      </w:r>
      <w:r>
        <w:rPr>
          <w:rFonts w:hint="eastAsia" w:ascii="宋体" w:hAnsi="宋体" w:eastAsia="宋体" w:cs="宋体"/>
          <w:b w:val="0"/>
          <w:bCs w:val="0"/>
          <w:sz w:val="21"/>
          <w:szCs w:val="21"/>
        </w:rPr>
        <w:t>深</w:t>
      </w:r>
      <w:r>
        <w:rPr>
          <w:rFonts w:hint="eastAsia" w:ascii="宋体" w:hAnsi="宋体" w:eastAsia="宋体" w:cs="宋体"/>
          <w:b w:val="0"/>
          <w:bCs w:val="0"/>
          <w:sz w:val="21"/>
          <w:szCs w:val="21"/>
          <w:lang w:eastAsia="zh-CN"/>
        </w:rPr>
        <w:t>入开展</w:t>
      </w:r>
      <w:r>
        <w:rPr>
          <w:rFonts w:hint="eastAsia" w:ascii="宋体" w:hAnsi="宋体" w:eastAsia="宋体" w:cs="宋体"/>
          <w:b w:val="0"/>
          <w:bCs w:val="0"/>
          <w:sz w:val="21"/>
          <w:szCs w:val="21"/>
        </w:rPr>
        <w:t>党组织领导下校长负责制试点工作</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组织开展</w:t>
      </w:r>
      <w:r>
        <w:rPr>
          <w:rFonts w:hint="eastAsia" w:ascii="宋体" w:hAnsi="宋体" w:eastAsia="宋体" w:cs="宋体"/>
          <w:b w:val="0"/>
          <w:bCs w:val="0"/>
          <w:sz w:val="21"/>
          <w:szCs w:val="21"/>
          <w:lang w:eastAsia="zh-CN"/>
        </w:rPr>
        <w:t>试点</w:t>
      </w:r>
      <w:r>
        <w:rPr>
          <w:rFonts w:hint="eastAsia" w:ascii="宋体" w:hAnsi="宋体" w:eastAsia="宋体" w:cs="宋体"/>
          <w:b w:val="0"/>
          <w:bCs w:val="0"/>
          <w:sz w:val="21"/>
          <w:szCs w:val="21"/>
        </w:rPr>
        <w:t>工作</w:t>
      </w:r>
      <w:r>
        <w:rPr>
          <w:rFonts w:hint="eastAsia" w:ascii="宋体" w:hAnsi="宋体" w:eastAsia="宋体" w:cs="宋体"/>
          <w:b w:val="0"/>
          <w:bCs w:val="0"/>
          <w:sz w:val="21"/>
          <w:szCs w:val="21"/>
          <w:lang w:eastAsia="zh-CN"/>
        </w:rPr>
        <w:t>情况</w:t>
      </w:r>
      <w:r>
        <w:rPr>
          <w:rFonts w:hint="eastAsia" w:ascii="宋体" w:hAnsi="宋体" w:eastAsia="宋体" w:cs="宋体"/>
          <w:b w:val="0"/>
          <w:bCs w:val="0"/>
          <w:sz w:val="21"/>
          <w:szCs w:val="21"/>
        </w:rPr>
        <w:t>调研，在总结试点经验的基础上，加强面上指导，</w:t>
      </w:r>
      <w:r>
        <w:rPr>
          <w:rFonts w:hint="eastAsia" w:ascii="宋体" w:hAnsi="宋体" w:eastAsia="宋体" w:cs="宋体"/>
          <w:b w:val="0"/>
          <w:bCs w:val="0"/>
          <w:sz w:val="21"/>
          <w:szCs w:val="21"/>
          <w:lang w:val="en-US" w:eastAsia="zh-CN"/>
        </w:rPr>
        <w:t>理顺</w:t>
      </w:r>
      <w:r>
        <w:rPr>
          <w:rFonts w:hint="eastAsia" w:ascii="宋体" w:hAnsi="宋体" w:eastAsia="宋体" w:cs="宋体"/>
          <w:b w:val="0"/>
          <w:bCs w:val="0"/>
          <w:sz w:val="21"/>
          <w:szCs w:val="21"/>
        </w:rPr>
        <w:t>管理体制</w:t>
      </w:r>
      <w:r>
        <w:rPr>
          <w:rFonts w:hint="eastAsia" w:ascii="宋体" w:hAnsi="宋体" w:eastAsia="宋体" w:cs="宋体"/>
          <w:b w:val="0"/>
          <w:kern w:val="2"/>
          <w:sz w:val="21"/>
          <w:szCs w:val="21"/>
          <w:lang w:val="en-US" w:eastAsia="zh-CN" w:bidi="ar-SA"/>
        </w:rPr>
        <w:t>。</w:t>
      </w:r>
      <w:r>
        <w:rPr>
          <w:rFonts w:hint="eastAsia" w:ascii="宋体" w:hAnsi="宋体" w:eastAsia="宋体" w:cs="宋体"/>
          <w:b w:val="0"/>
          <w:bCs w:val="0"/>
          <w:kern w:val="2"/>
          <w:sz w:val="21"/>
          <w:szCs w:val="21"/>
          <w:lang w:val="en-US" w:eastAsia="zh-CN" w:bidi="ar-SA"/>
        </w:rPr>
        <w:t>推进智慧党建应用，</w:t>
      </w:r>
      <w:r>
        <w:rPr>
          <w:rFonts w:hint="eastAsia" w:ascii="宋体" w:hAnsi="宋体" w:eastAsia="宋体" w:cs="宋体"/>
          <w:b w:val="0"/>
          <w:kern w:val="2"/>
          <w:sz w:val="21"/>
          <w:szCs w:val="21"/>
          <w:lang w:val="en-US" w:eastAsia="zh-CN" w:bidi="ar-SA"/>
        </w:rPr>
        <w:t>完善组织生活计划报备、活动纪实、党组织关系转接等信息，开展先锋码、党费网上收缴试点，提高党建管理信息化水平。</w:t>
      </w:r>
      <w:r>
        <w:rPr>
          <w:rFonts w:hint="eastAsia" w:ascii="宋体" w:hAnsi="宋体" w:eastAsia="宋体" w:cs="宋体"/>
          <w:b w:val="0"/>
          <w:bCs w:val="0"/>
          <w:kern w:val="2"/>
          <w:sz w:val="21"/>
          <w:szCs w:val="21"/>
          <w:lang w:val="en-US" w:eastAsia="zh-CN" w:bidi="ar-SA"/>
        </w:rPr>
        <w:t>深入推进思想政治工作，</w:t>
      </w:r>
      <w:r>
        <w:rPr>
          <w:rFonts w:hint="eastAsia" w:ascii="宋体" w:hAnsi="宋体" w:eastAsia="宋体" w:cs="宋体"/>
          <w:b w:val="0"/>
          <w:kern w:val="2"/>
          <w:sz w:val="21"/>
          <w:szCs w:val="21"/>
          <w:lang w:val="en-US" w:eastAsia="zh-CN" w:bidi="ar-SA"/>
        </w:rPr>
        <w:t>加强思政队伍的专业化职业化建设，发挥好课堂教学主渠道作用。</w:t>
      </w:r>
    </w:p>
    <w:p>
      <w:pPr>
        <w:keepNext/>
        <w:keepLines/>
        <w:wordWrap/>
        <w:adjustRightInd/>
        <w:snapToGrid/>
        <w:spacing w:before="157" w:beforeLines="50" w:after="0" w:afterLines="0" w:line="360" w:lineRule="auto"/>
        <w:ind w:left="0" w:leftChars="0" w:right="0" w:firstLine="450" w:firstLineChars="150"/>
        <w:textAlignment w:val="auto"/>
        <w:outlineLvl w:val="1"/>
        <w:rPr>
          <w:rFonts w:hint="eastAsia" w:ascii="黑体" w:hAnsi="黑体" w:eastAsia="黑体" w:cs="黑体"/>
          <w:b w:val="0"/>
          <w:bCs w:val="0"/>
          <w:color w:val="auto"/>
          <w:kern w:val="44"/>
          <w:sz w:val="30"/>
          <w:szCs w:val="30"/>
        </w:rPr>
      </w:pPr>
      <w:bookmarkStart w:id="231" w:name="_Toc19938"/>
      <w:bookmarkStart w:id="232" w:name="_Toc1088845048_WPSOffice_Level2"/>
      <w:bookmarkStart w:id="233" w:name="_Toc29047051"/>
      <w:r>
        <w:rPr>
          <w:rFonts w:hint="eastAsia" w:ascii="黑体" w:hAnsi="黑体" w:eastAsia="黑体" w:cs="黑体"/>
          <w:b w:val="0"/>
          <w:bCs w:val="0"/>
          <w:color w:val="auto"/>
          <w:kern w:val="44"/>
          <w:sz w:val="30"/>
          <w:szCs w:val="30"/>
        </w:rPr>
        <w:t>8.</w:t>
      </w:r>
      <w:r>
        <w:rPr>
          <w:rFonts w:hint="eastAsia" w:ascii="黑体" w:hAnsi="黑体" w:eastAsia="黑体" w:cs="黑体"/>
          <w:b w:val="0"/>
          <w:bCs w:val="0"/>
          <w:color w:val="auto"/>
          <w:kern w:val="44"/>
          <w:sz w:val="30"/>
          <w:szCs w:val="30"/>
          <w:lang w:eastAsia="zh-CN"/>
        </w:rPr>
        <w:t>3</w:t>
      </w:r>
      <w:r>
        <w:rPr>
          <w:rFonts w:hint="eastAsia" w:ascii="黑体" w:hAnsi="黑体" w:eastAsia="黑体" w:cs="黑体"/>
          <w:b w:val="0"/>
          <w:bCs w:val="0"/>
          <w:color w:val="auto"/>
          <w:kern w:val="44"/>
          <w:sz w:val="30"/>
          <w:szCs w:val="30"/>
        </w:rPr>
        <w:t xml:space="preserve"> </w:t>
      </w:r>
      <w:r>
        <w:rPr>
          <w:rFonts w:hint="eastAsia" w:ascii="黑体" w:hAnsi="黑体" w:eastAsia="黑体" w:cs="黑体"/>
          <w:b w:val="0"/>
          <w:bCs w:val="0"/>
          <w:color w:val="auto"/>
          <w:kern w:val="44"/>
          <w:sz w:val="30"/>
          <w:szCs w:val="30"/>
          <w:lang w:eastAsia="zh-CN"/>
        </w:rPr>
        <w:t>深入</w:t>
      </w:r>
      <w:r>
        <w:rPr>
          <w:rFonts w:hint="eastAsia" w:ascii="黑体" w:hAnsi="黑体" w:eastAsia="黑体" w:cs="黑体"/>
          <w:b w:val="0"/>
          <w:bCs w:val="0"/>
          <w:color w:val="auto"/>
          <w:kern w:val="44"/>
          <w:sz w:val="30"/>
          <w:szCs w:val="30"/>
        </w:rPr>
        <w:t>推进“清廉学校”建设</w:t>
      </w:r>
      <w:bookmarkEnd w:id="231"/>
      <w:bookmarkEnd w:id="232"/>
      <w:bookmarkEnd w:id="233"/>
    </w:p>
    <w:p>
      <w:pPr>
        <w:wordWrap/>
        <w:adjustRightInd/>
        <w:snapToGrid/>
        <w:spacing w:beforeLines="0" w:afterLines="0" w:line="360" w:lineRule="auto"/>
        <w:ind w:firstLine="396" w:firstLineChars="200"/>
        <w:jc w:val="left"/>
        <w:textAlignment w:val="auto"/>
        <w:outlineLvl w:val="9"/>
        <w:rPr>
          <w:rFonts w:hint="eastAsia" w:ascii="宋体" w:hAnsi="宋体" w:eastAsia="宋体" w:cs="宋体"/>
          <w:b w:val="0"/>
          <w:bCs w:val="0"/>
          <w:spacing w:val="-6"/>
          <w:kern w:val="2"/>
          <w:sz w:val="21"/>
          <w:szCs w:val="21"/>
          <w:lang w:val="en-US" w:eastAsia="zh-CN" w:bidi="ar-SA"/>
        </w:rPr>
      </w:pPr>
      <w:r>
        <w:rPr>
          <w:rFonts w:hint="eastAsia" w:ascii="宋体" w:hAnsi="宋体" w:eastAsia="宋体" w:cs="宋体"/>
          <w:b w:val="0"/>
          <w:bCs w:val="0"/>
          <w:spacing w:val="-6"/>
          <w:kern w:val="2"/>
          <w:sz w:val="21"/>
          <w:szCs w:val="21"/>
          <w:lang w:val="en-US" w:eastAsia="zh-CN" w:bidi="ar-SA"/>
        </w:rPr>
        <w:t>各中职学校全面推进“清廉学校”三年行动计划，</w:t>
      </w:r>
      <w:r>
        <w:rPr>
          <w:rFonts w:hint="eastAsia" w:ascii="宋体" w:hAnsi="宋体" w:eastAsia="宋体" w:cs="宋体"/>
          <w:b w:val="0"/>
          <w:bCs w:val="0"/>
          <w:i w:val="0"/>
          <w:caps w:val="0"/>
          <w:color w:val="000000"/>
          <w:spacing w:val="0"/>
          <w:kern w:val="0"/>
          <w:sz w:val="21"/>
          <w:szCs w:val="21"/>
          <w:shd w:val="clear" w:fill="FFFFFF"/>
          <w:lang w:val="en-US" w:eastAsia="zh-CN" w:bidi="ar"/>
        </w:rPr>
        <w:t>落实政治生态建设状况自查制度、党组织及主要负责人履行主体责任和“第一责任人”报告制度、党组织班子成员向党组织报告履行“一岗双责”情况制度，配齐配强纪检干部，强化“四责”协同</w:t>
      </w:r>
      <w:r>
        <w:rPr>
          <w:rFonts w:hint="eastAsia" w:ascii="宋体" w:hAnsi="宋体" w:eastAsia="宋体" w:cs="宋体"/>
          <w:b w:val="0"/>
          <w:bCs w:val="0"/>
          <w:spacing w:val="-6"/>
          <w:kern w:val="2"/>
          <w:sz w:val="21"/>
          <w:szCs w:val="21"/>
          <w:lang w:val="en-US" w:eastAsia="zh-CN" w:bidi="ar-SA"/>
        </w:rPr>
        <w:t>。</w:t>
      </w:r>
      <w:r>
        <w:rPr>
          <w:rFonts w:hint="eastAsia" w:ascii="宋体" w:hAnsi="宋体" w:eastAsia="宋体" w:cs="宋体"/>
          <w:b w:val="0"/>
          <w:bCs w:val="0"/>
          <w:i w:val="0"/>
          <w:caps w:val="0"/>
          <w:color w:val="000000"/>
          <w:spacing w:val="0"/>
          <w:kern w:val="0"/>
          <w:sz w:val="21"/>
          <w:szCs w:val="21"/>
          <w:shd w:val="clear" w:fill="FFFFFF"/>
          <w:lang w:val="en-US" w:eastAsia="zh-CN" w:bidi="ar"/>
        </w:rPr>
        <w:t>深化清廉学校建设成果，召开清廉学校建设现场会，组织教育系统清廉教育专题活动，培育一批清廉学校示范点，推进清廉文化进校园</w:t>
      </w:r>
      <w:r>
        <w:rPr>
          <w:rFonts w:hint="eastAsia" w:ascii="宋体" w:hAnsi="宋体" w:eastAsia="宋体" w:cs="宋体"/>
          <w:b w:val="0"/>
          <w:bCs w:val="0"/>
          <w:spacing w:val="-6"/>
          <w:kern w:val="2"/>
          <w:sz w:val="21"/>
          <w:szCs w:val="21"/>
          <w:lang w:val="en-US" w:eastAsia="zh-CN" w:bidi="ar-SA"/>
        </w:rPr>
        <w:t>。深入开展“清廉教育”行动，将清廉教育纳入德育工作整体规划，鼓励学校结合实际编写清廉教案、校本读本等，以学生喜闻乐见的形式推进清廉教育进课堂。不断深化“清廉文化”建设，采用“漫画说廉”方式开展清廉教育；指导学校挖掘校本文化资源，开展形式多样的清廉文化活动。</w:t>
      </w:r>
    </w:p>
    <w:p>
      <w:pPr>
        <w:keepNext/>
        <w:keepLines/>
        <w:wordWrap/>
        <w:adjustRightInd/>
        <w:snapToGrid/>
        <w:spacing w:before="157" w:beforeLines="50" w:after="0" w:afterLines="0" w:line="360" w:lineRule="auto"/>
        <w:ind w:left="0" w:leftChars="0" w:right="0" w:firstLine="450" w:firstLineChars="150"/>
        <w:textAlignment w:val="auto"/>
        <w:outlineLvl w:val="1"/>
        <w:rPr>
          <w:rFonts w:hint="eastAsia" w:ascii="黑体" w:hAnsi="黑体" w:eastAsia="黑体" w:cs="黑体"/>
          <w:b w:val="0"/>
          <w:bCs w:val="0"/>
          <w:color w:val="auto"/>
          <w:kern w:val="44"/>
          <w:sz w:val="30"/>
          <w:szCs w:val="30"/>
        </w:rPr>
      </w:pPr>
      <w:bookmarkStart w:id="234" w:name="_Toc1980275101_WPSOffice_Level2"/>
      <w:r>
        <w:rPr>
          <w:rFonts w:hint="eastAsia" w:ascii="黑体" w:hAnsi="黑体" w:eastAsia="黑体" w:cs="黑体"/>
          <w:b w:val="0"/>
          <w:bCs w:val="0"/>
          <w:color w:val="auto"/>
          <w:kern w:val="44"/>
          <w:sz w:val="30"/>
          <w:szCs w:val="30"/>
        </w:rPr>
        <w:t>8.</w:t>
      </w:r>
      <w:r>
        <w:rPr>
          <w:rFonts w:hint="eastAsia" w:ascii="黑体" w:hAnsi="黑体" w:eastAsia="黑体" w:cs="黑体"/>
          <w:b w:val="0"/>
          <w:bCs w:val="0"/>
          <w:color w:val="auto"/>
          <w:kern w:val="44"/>
          <w:sz w:val="30"/>
          <w:szCs w:val="30"/>
          <w:lang w:val="en-US" w:eastAsia="zh-CN"/>
        </w:rPr>
        <w:t>4</w:t>
      </w:r>
      <w:r>
        <w:rPr>
          <w:rFonts w:hint="eastAsia" w:ascii="黑体" w:hAnsi="黑体" w:eastAsia="黑体" w:cs="黑体"/>
          <w:b w:val="0"/>
          <w:bCs w:val="0"/>
          <w:color w:val="auto"/>
          <w:kern w:val="44"/>
          <w:sz w:val="30"/>
          <w:szCs w:val="30"/>
        </w:rPr>
        <w:t>大力加强干部队伍建设</w:t>
      </w:r>
      <w:bookmarkEnd w:id="234"/>
    </w:p>
    <w:p>
      <w:pPr>
        <w:widowControl/>
        <w:wordWrap/>
        <w:adjustRightInd/>
        <w:snapToGrid/>
        <w:spacing w:beforeLines="0" w:afterLines="0" w:line="360" w:lineRule="auto"/>
        <w:ind w:firstLine="420" w:firstLineChars="200"/>
        <w:jc w:val="left"/>
        <w:textAlignment w:val="auto"/>
        <w:outlineLvl w:val="9"/>
        <w:rPr>
          <w:rFonts w:hint="eastAsia" w:ascii="宋体" w:hAnsi="宋体" w:eastAsia="宋体" w:cs="宋体"/>
          <w:bCs/>
          <w:color w:val="auto"/>
          <w:sz w:val="24"/>
          <w:szCs w:val="24"/>
        </w:rPr>
      </w:pPr>
      <w:r>
        <w:rPr>
          <w:rFonts w:hint="eastAsia" w:ascii="宋体" w:hAnsi="宋体" w:eastAsia="宋体" w:cs="宋体"/>
          <w:b w:val="0"/>
          <w:bCs/>
          <w:sz w:val="21"/>
          <w:szCs w:val="21"/>
        </w:rPr>
        <w:t>认真做好干部</w:t>
      </w:r>
      <w:r>
        <w:rPr>
          <w:rFonts w:hint="eastAsia" w:ascii="宋体" w:hAnsi="宋体" w:eastAsia="宋体" w:cs="宋体"/>
          <w:b w:val="0"/>
          <w:bCs/>
          <w:sz w:val="21"/>
          <w:szCs w:val="21"/>
          <w:lang w:val="en-US" w:eastAsia="zh-CN"/>
        </w:rPr>
        <w:t>选拔任用</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推进</w:t>
      </w:r>
      <w:r>
        <w:rPr>
          <w:rFonts w:hint="eastAsia" w:ascii="宋体" w:hAnsi="宋体" w:eastAsia="宋体" w:cs="宋体"/>
          <w:b w:val="0"/>
          <w:bCs/>
          <w:sz w:val="21"/>
          <w:szCs w:val="21"/>
          <w:lang w:val="en-US" w:eastAsia="zh-CN"/>
        </w:rPr>
        <w:t>干部常态化交流。</w:t>
      </w:r>
      <w:r>
        <w:rPr>
          <w:rFonts w:hint="eastAsia" w:ascii="宋体" w:hAnsi="宋体" w:eastAsia="宋体" w:cs="宋体"/>
          <w:b w:val="0"/>
          <w:bCs/>
          <w:sz w:val="21"/>
          <w:szCs w:val="21"/>
        </w:rPr>
        <w:t>强化干部</w:t>
      </w:r>
      <w:r>
        <w:rPr>
          <w:rFonts w:hint="eastAsia" w:ascii="宋体" w:hAnsi="宋体" w:eastAsia="宋体" w:cs="宋体"/>
          <w:b w:val="0"/>
          <w:bCs/>
          <w:sz w:val="21"/>
          <w:szCs w:val="21"/>
          <w:lang w:val="en-US" w:eastAsia="zh-CN"/>
        </w:rPr>
        <w:t>日常</w:t>
      </w:r>
      <w:r>
        <w:rPr>
          <w:rFonts w:hint="eastAsia" w:ascii="宋体" w:hAnsi="宋体" w:eastAsia="宋体" w:cs="宋体"/>
          <w:b w:val="0"/>
          <w:bCs/>
          <w:sz w:val="21"/>
          <w:szCs w:val="21"/>
        </w:rPr>
        <w:t>监督</w:t>
      </w:r>
      <w:r>
        <w:rPr>
          <w:rFonts w:hint="eastAsia" w:ascii="宋体" w:hAnsi="宋体" w:eastAsia="宋体" w:cs="宋体"/>
          <w:b w:val="0"/>
          <w:bCs/>
          <w:sz w:val="21"/>
          <w:szCs w:val="21"/>
          <w:lang w:eastAsia="zh-CN"/>
        </w:rPr>
        <w:t>，组织开展</w:t>
      </w:r>
      <w:r>
        <w:rPr>
          <w:rFonts w:hint="eastAsia" w:ascii="宋体" w:hAnsi="宋体" w:eastAsia="宋体" w:cs="宋体"/>
          <w:b w:val="0"/>
          <w:bCs/>
          <w:sz w:val="21"/>
          <w:szCs w:val="21"/>
        </w:rPr>
        <w:t>直属学校(单位)专项检查</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lang w:val="en-US" w:eastAsia="zh-CN"/>
        </w:rPr>
        <w:t>强化整改落实</w:t>
      </w:r>
      <w:r>
        <w:rPr>
          <w:rFonts w:hint="eastAsia" w:ascii="宋体" w:hAnsi="宋体" w:eastAsia="宋体" w:cs="宋体"/>
          <w:b w:val="0"/>
          <w:bCs/>
          <w:sz w:val="21"/>
          <w:szCs w:val="21"/>
        </w:rPr>
        <w:t>。综合运用干部考核、考察、巡察、审计、信访核查等成果，强化干部的综合分析研判。认真做好干部考核工作</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对测评相对较低和评议意见比较多的学校</w:t>
      </w:r>
      <w:r>
        <w:rPr>
          <w:rFonts w:hint="eastAsia" w:ascii="宋体" w:hAnsi="宋体" w:eastAsia="宋体" w:cs="宋体"/>
          <w:b w:val="0"/>
          <w:bCs/>
          <w:sz w:val="21"/>
          <w:szCs w:val="21"/>
          <w:lang w:val="en-US" w:eastAsia="zh-CN"/>
        </w:rPr>
        <w:t>和干部及时反馈</w:t>
      </w:r>
      <w:r>
        <w:rPr>
          <w:rFonts w:hint="eastAsia" w:ascii="宋体" w:hAnsi="宋体" w:eastAsia="宋体" w:cs="宋体"/>
          <w:b w:val="0"/>
          <w:bCs/>
          <w:sz w:val="21"/>
          <w:szCs w:val="21"/>
        </w:rPr>
        <w:t>意见建议。</w:t>
      </w:r>
      <w:r>
        <w:rPr>
          <w:rFonts w:hint="eastAsia" w:ascii="宋体" w:hAnsi="宋体" w:eastAsia="宋体" w:cs="宋体"/>
          <w:b w:val="0"/>
          <w:bCs/>
          <w:color w:val="000000"/>
          <w:sz w:val="21"/>
          <w:szCs w:val="21"/>
          <w:lang w:val="en-US" w:eastAsia="zh-CN"/>
        </w:rPr>
        <w:t>圆满完成事业单位机构改革，</w:t>
      </w:r>
      <w:r>
        <w:rPr>
          <w:rFonts w:hint="eastAsia" w:ascii="宋体" w:hAnsi="宋体" w:eastAsia="宋体" w:cs="宋体"/>
          <w:b w:val="0"/>
          <w:bCs/>
          <w:color w:val="000000"/>
          <w:sz w:val="21"/>
          <w:szCs w:val="21"/>
          <w:lang w:eastAsia="zh-CN"/>
        </w:rPr>
        <w:t>原杭州市职业教育与成人教育研究室整合至杭州市教育科学研究院</w:t>
      </w:r>
      <w:r>
        <w:rPr>
          <w:rFonts w:hint="eastAsia" w:ascii="宋体" w:hAnsi="宋体" w:eastAsia="宋体" w:cs="宋体"/>
          <w:b w:val="0"/>
          <w:bCs/>
          <w:color w:val="000000"/>
          <w:sz w:val="21"/>
          <w:szCs w:val="21"/>
          <w:shd w:val="clear" w:color="auto" w:fill="FFFFFF"/>
          <w:lang w:eastAsia="zh-CN"/>
        </w:rPr>
        <w:t>。</w:t>
      </w:r>
      <w:r>
        <w:rPr>
          <w:rFonts w:hint="eastAsia" w:ascii="宋体" w:hAnsi="宋体" w:eastAsia="宋体" w:cs="宋体"/>
          <w:b w:val="0"/>
          <w:bCs/>
          <w:sz w:val="21"/>
          <w:szCs w:val="21"/>
          <w:lang w:val="en-US" w:eastAsia="zh-CN"/>
        </w:rPr>
        <w:t>大力发现培养选拔优秀年轻干部，优化教育系统干部结构。</w:t>
      </w:r>
      <w:r>
        <w:rPr>
          <w:rFonts w:hint="eastAsia" w:ascii="宋体" w:hAnsi="宋体" w:eastAsia="宋体" w:cs="宋体"/>
          <w:b w:val="0"/>
          <w:bCs/>
          <w:color w:val="auto"/>
          <w:sz w:val="21"/>
          <w:szCs w:val="21"/>
        </w:rPr>
        <w:t>选派干部到重点工程、重点项目、对口支援等一线挂职锻炼。广泛宣传市级担当作为好干部、名校长、优秀援派干部的先进事迹，激励广大干部弘扬担当作为精神。</w:t>
      </w:r>
    </w:p>
    <w:bookmarkEnd w:id="224"/>
    <w:p>
      <w:pPr>
        <w:pStyle w:val="2"/>
        <w:adjustRightInd/>
        <w:snapToGrid/>
        <w:spacing w:before="313" w:beforeLines="100" w:after="157" w:afterLines="50" w:afterAutospacing="0" w:line="360" w:lineRule="auto"/>
        <w:ind w:firstLine="360" w:firstLineChars="100"/>
        <w:jc w:val="both"/>
        <w:rPr>
          <w:rFonts w:hint="eastAsia" w:ascii="黑体" w:hAnsi="黑体" w:eastAsia="黑体" w:cs="黑体"/>
          <w:b w:val="0"/>
          <w:bCs w:val="0"/>
          <w:color w:val="auto"/>
          <w:sz w:val="36"/>
          <w:szCs w:val="36"/>
          <w:lang w:eastAsia="zh-CN"/>
        </w:rPr>
      </w:pPr>
      <w:bookmarkStart w:id="235" w:name="_Toc34560013"/>
      <w:bookmarkStart w:id="236" w:name="_Toc32840390"/>
      <w:bookmarkStart w:id="237" w:name="_Toc796222076_WPSOffice_Level1"/>
      <w:bookmarkStart w:id="238" w:name="_Toc247496736_WPSOffice_Level1"/>
      <w:bookmarkStart w:id="239" w:name="_Toc1326428808_WPSOffice_Level2"/>
      <w:r>
        <w:rPr>
          <w:rFonts w:hint="eastAsia" w:ascii="黑体" w:hAnsi="黑体" w:eastAsia="黑体" w:cs="黑体"/>
          <w:b w:val="0"/>
          <w:bCs w:val="0"/>
          <w:color w:val="auto"/>
          <w:sz w:val="36"/>
          <w:szCs w:val="36"/>
        </w:rPr>
        <w:t>9</w:t>
      </w:r>
      <w:r>
        <w:rPr>
          <w:rFonts w:hint="eastAsia" w:ascii="黑体" w:hAnsi="黑体" w:eastAsia="黑体" w:cs="黑体"/>
          <w:b w:val="0"/>
          <w:bCs w:val="0"/>
          <w:color w:val="auto"/>
          <w:sz w:val="36"/>
          <w:szCs w:val="36"/>
          <w:lang w:eastAsia="zh-CN"/>
        </w:rPr>
        <w:t>.</w:t>
      </w:r>
      <w:r>
        <w:rPr>
          <w:rFonts w:hint="eastAsia" w:ascii="黑体" w:hAnsi="黑体" w:eastAsia="黑体" w:cs="黑体"/>
          <w:b w:val="0"/>
          <w:bCs w:val="0"/>
          <w:color w:val="auto"/>
          <w:sz w:val="36"/>
          <w:szCs w:val="36"/>
        </w:rPr>
        <w:t>问题与</w:t>
      </w:r>
      <w:bookmarkEnd w:id="235"/>
      <w:bookmarkEnd w:id="236"/>
      <w:r>
        <w:rPr>
          <w:rFonts w:hint="eastAsia" w:ascii="黑体" w:hAnsi="黑体" w:eastAsia="黑体" w:cs="黑体"/>
          <w:b w:val="0"/>
          <w:bCs w:val="0"/>
          <w:color w:val="auto"/>
          <w:sz w:val="36"/>
          <w:szCs w:val="36"/>
          <w:lang w:eastAsia="zh-CN"/>
        </w:rPr>
        <w:t>措施</w:t>
      </w:r>
      <w:bookmarkEnd w:id="237"/>
      <w:bookmarkEnd w:id="238"/>
      <w:bookmarkEnd w:id="239"/>
    </w:p>
    <w:p>
      <w:pPr>
        <w:keepNext/>
        <w:keepLines/>
        <w:adjustRightInd/>
        <w:snapToGrid/>
        <w:spacing w:before="157" w:beforeLines="50" w:after="0" w:afterLines="0" w:line="360" w:lineRule="auto"/>
        <w:ind w:firstLine="450" w:firstLineChars="150"/>
        <w:outlineLvl w:val="1"/>
        <w:rPr>
          <w:rFonts w:hint="eastAsia" w:ascii="黑体" w:hAnsi="黑体" w:eastAsia="黑体" w:cs="黑体"/>
          <w:b w:val="0"/>
          <w:bCs w:val="0"/>
          <w:color w:val="auto"/>
          <w:kern w:val="44"/>
          <w:sz w:val="30"/>
          <w:szCs w:val="30"/>
          <w:lang w:val="en-US" w:eastAsia="zh-CN"/>
        </w:rPr>
      </w:pPr>
      <w:bookmarkStart w:id="240" w:name="_Toc3239"/>
      <w:bookmarkStart w:id="241" w:name="_Toc29047054"/>
      <w:bookmarkStart w:id="242" w:name="_Toc1829813988_WPSOffice_Level2"/>
      <w:bookmarkStart w:id="243" w:name="_Toc30493"/>
      <w:r>
        <w:rPr>
          <w:rFonts w:hint="eastAsia" w:ascii="黑体" w:hAnsi="黑体" w:eastAsia="黑体" w:cs="黑体"/>
          <w:b w:val="0"/>
          <w:bCs w:val="0"/>
          <w:color w:val="auto"/>
          <w:kern w:val="44"/>
          <w:sz w:val="30"/>
          <w:szCs w:val="30"/>
          <w:lang w:val="en-US" w:eastAsia="zh-CN"/>
        </w:rPr>
        <w:t>9.1 优质资源不足，</w:t>
      </w:r>
      <w:bookmarkEnd w:id="240"/>
      <w:bookmarkEnd w:id="241"/>
      <w:bookmarkEnd w:id="242"/>
      <w:bookmarkEnd w:id="243"/>
      <w:r>
        <w:rPr>
          <w:rFonts w:hint="eastAsia" w:ascii="黑体" w:hAnsi="黑体" w:eastAsia="黑体" w:cs="黑体"/>
          <w:b w:val="0"/>
          <w:bCs w:val="0"/>
          <w:color w:val="auto"/>
          <w:kern w:val="44"/>
          <w:sz w:val="30"/>
          <w:szCs w:val="30"/>
          <w:lang w:val="en-US" w:eastAsia="zh-CN"/>
        </w:rPr>
        <w:t>制约职业教育发展</w:t>
      </w:r>
    </w:p>
    <w:p>
      <w:pPr>
        <w:widowControl w:val="0"/>
        <w:wordWrap/>
        <w:adjustRightInd/>
        <w:snapToGrid/>
        <w:spacing w:beforeLines="0" w:afterLines="0" w:line="360" w:lineRule="auto"/>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目前，我市中等职业教育</w:t>
      </w:r>
      <w:r>
        <w:rPr>
          <w:rFonts w:hint="eastAsia" w:ascii="宋体" w:hAnsi="宋体" w:eastAsia="宋体" w:cs="宋体"/>
          <w:sz w:val="21"/>
          <w:szCs w:val="21"/>
          <w:lang w:val="en-US" w:eastAsia="zh-CN"/>
        </w:rPr>
        <w:t>办学资源与场地有了明显改善，但问题依然突出</w:t>
      </w:r>
      <w:r>
        <w:rPr>
          <w:rFonts w:hint="eastAsia" w:ascii="宋体" w:hAnsi="宋体" w:eastAsia="宋体" w:cs="宋体"/>
          <w:sz w:val="21"/>
          <w:szCs w:val="21"/>
        </w:rPr>
        <w:t>。杭州市主城区现有教育部门办中职学校1</w:t>
      </w:r>
      <w:r>
        <w:rPr>
          <w:rFonts w:hint="eastAsia" w:ascii="宋体" w:hAnsi="宋体" w:cs="宋体"/>
          <w:sz w:val="21"/>
          <w:szCs w:val="21"/>
          <w:lang w:val="en-US" w:eastAsia="zh-CN"/>
        </w:rPr>
        <w:t>2</w:t>
      </w:r>
      <w:r>
        <w:rPr>
          <w:rFonts w:hint="eastAsia" w:ascii="宋体" w:hAnsi="宋体" w:eastAsia="宋体" w:cs="宋体"/>
          <w:sz w:val="21"/>
          <w:szCs w:val="21"/>
        </w:rPr>
        <w:t>所，</w:t>
      </w:r>
      <w:r>
        <w:rPr>
          <w:rFonts w:hint="eastAsia" w:ascii="宋体" w:hAnsi="宋体" w:eastAsia="宋体" w:cs="宋体"/>
          <w:kern w:val="0"/>
          <w:sz w:val="21"/>
          <w:szCs w:val="21"/>
        </w:rPr>
        <w:t>其中上城区的服装职高于2020年停止招生</w:t>
      </w:r>
      <w:r>
        <w:rPr>
          <w:rFonts w:hint="eastAsia" w:ascii="宋体" w:hAnsi="宋体" w:eastAsia="宋体" w:cs="宋体"/>
          <w:kern w:val="0"/>
          <w:sz w:val="21"/>
          <w:szCs w:val="21"/>
          <w:lang w:val="en-US" w:eastAsia="zh-CN"/>
        </w:rPr>
        <w:t>,</w:t>
      </w:r>
      <w:r>
        <w:rPr>
          <w:rFonts w:hint="eastAsia" w:cs="仿宋_GB2312" w:asciiTheme="minorEastAsia" w:hAnsiTheme="minorEastAsia" w:eastAsiaTheme="minorEastAsia"/>
          <w:kern w:val="0"/>
          <w:sz w:val="21"/>
          <w:szCs w:val="21"/>
        </w:rPr>
        <w:t>其他11所中职学校中</w:t>
      </w:r>
      <w:r>
        <w:rPr>
          <w:rFonts w:hint="eastAsia" w:ascii="宋体" w:hAnsi="宋体" w:eastAsia="宋体" w:cs="宋体"/>
          <w:sz w:val="21"/>
          <w:szCs w:val="21"/>
        </w:rPr>
        <w:t>4所不具备住宿条件；人民职校</w:t>
      </w:r>
      <w:r>
        <w:rPr>
          <w:rFonts w:hint="eastAsia" w:ascii="宋体" w:hAnsi="宋体" w:cs="宋体"/>
          <w:sz w:val="21"/>
          <w:szCs w:val="21"/>
          <w:lang w:eastAsia="zh-CN"/>
        </w:rPr>
        <w:t>等几所中职学校占地面积较小，办学空间局促，制约学校发展</w:t>
      </w:r>
      <w:r>
        <w:rPr>
          <w:rFonts w:hint="eastAsia" w:ascii="宋体" w:hAnsi="宋体" w:eastAsia="宋体" w:cs="宋体"/>
          <w:sz w:val="21"/>
          <w:szCs w:val="21"/>
        </w:rPr>
        <w:t>。尽管教育部门也做了很多努力，主城区中职教育资源的拓展依然相对困难</w:t>
      </w:r>
      <w:r>
        <w:rPr>
          <w:rFonts w:hint="eastAsia" w:ascii="宋体" w:hAnsi="宋体" w:cs="宋体"/>
          <w:sz w:val="21"/>
          <w:szCs w:val="21"/>
          <w:lang w:eastAsia="zh-CN"/>
        </w:rPr>
        <w:t>，</w:t>
      </w:r>
      <w:r>
        <w:rPr>
          <w:rFonts w:hint="eastAsia" w:ascii="宋体" w:hAnsi="宋体" w:eastAsia="宋体" w:cs="宋体"/>
          <w:sz w:val="21"/>
          <w:szCs w:val="21"/>
        </w:rPr>
        <w:t>资源的短缺也造成了中职教育失去了众多的先发优势</w:t>
      </w:r>
      <w:r>
        <w:rPr>
          <w:rFonts w:hint="eastAsia" w:ascii="宋体" w:hAnsi="宋体" w:eastAsia="宋体" w:cs="宋体"/>
          <w:sz w:val="21"/>
          <w:szCs w:val="21"/>
          <w:lang w:eastAsia="zh-CN"/>
        </w:rPr>
        <w:t>。</w:t>
      </w:r>
    </w:p>
    <w:p>
      <w:pPr>
        <w:keepNext/>
        <w:keepLines/>
        <w:adjustRightInd/>
        <w:snapToGrid/>
        <w:spacing w:before="157" w:beforeLines="50" w:after="0" w:afterLines="0" w:line="360" w:lineRule="auto"/>
        <w:ind w:firstLine="450" w:firstLineChars="150"/>
        <w:outlineLvl w:val="1"/>
        <w:rPr>
          <w:rFonts w:hint="eastAsia" w:ascii="黑体" w:hAnsi="黑体" w:eastAsia="黑体" w:cs="黑体"/>
          <w:b w:val="0"/>
          <w:bCs/>
          <w:color w:val="auto"/>
          <w:kern w:val="44"/>
          <w:sz w:val="30"/>
          <w:szCs w:val="30"/>
          <w:lang w:val="en-US" w:eastAsia="zh-CN"/>
        </w:rPr>
      </w:pPr>
      <w:bookmarkStart w:id="244" w:name="_Toc29047057"/>
      <w:bookmarkStart w:id="245" w:name="_Toc15206"/>
      <w:bookmarkStart w:id="246" w:name="_Toc1054899105_WPSOffice_Level2"/>
      <w:r>
        <w:rPr>
          <w:rFonts w:hint="eastAsia" w:ascii="黑体" w:hAnsi="黑体" w:eastAsia="黑体" w:cs="黑体"/>
          <w:b w:val="0"/>
          <w:bCs/>
          <w:color w:val="auto"/>
          <w:kern w:val="44"/>
          <w:sz w:val="30"/>
          <w:szCs w:val="30"/>
          <w:lang w:val="en-US" w:eastAsia="zh-CN"/>
        </w:rPr>
        <w:t>9.2 产业结构调整，</w:t>
      </w:r>
      <w:bookmarkEnd w:id="244"/>
      <w:bookmarkEnd w:id="245"/>
      <w:r>
        <w:rPr>
          <w:rFonts w:hint="eastAsia" w:ascii="黑体" w:hAnsi="黑体" w:eastAsia="黑体" w:cs="黑体"/>
          <w:b w:val="0"/>
          <w:bCs w:val="0"/>
          <w:color w:val="auto"/>
          <w:kern w:val="44"/>
          <w:sz w:val="30"/>
          <w:szCs w:val="30"/>
          <w:lang w:val="en-US" w:eastAsia="zh-CN"/>
        </w:rPr>
        <w:t>亟需提质培优统筹规划</w:t>
      </w:r>
      <w:bookmarkEnd w:id="246"/>
    </w:p>
    <w:p>
      <w:pPr>
        <w:widowControl/>
        <w:wordWrap/>
        <w:adjustRightInd/>
        <w:snapToGrid/>
        <w:spacing w:beforeLines="-2147483648" w:afterLines="-2147483648" w:line="360" w:lineRule="auto"/>
        <w:ind w:firstLine="420" w:firstLineChars="200"/>
        <w:jc w:val="left"/>
        <w:textAlignment w:val="auto"/>
        <w:rPr>
          <w:rFonts w:hint="eastAsia" w:ascii="宋体" w:hAnsi="宋体" w:eastAsia="宋体" w:cs="宋体"/>
          <w:color w:val="auto"/>
          <w:sz w:val="21"/>
          <w:szCs w:val="21"/>
          <w:lang w:val="en-US" w:eastAsia="zh-CN"/>
        </w:rPr>
      </w:pPr>
      <w:r>
        <w:rPr>
          <w:rFonts w:hint="eastAsia" w:cs="仿宋_GB2312" w:asciiTheme="minorEastAsia" w:hAnsiTheme="minorEastAsia" w:eastAsiaTheme="minorEastAsia"/>
          <w:kern w:val="0"/>
          <w:sz w:val="21"/>
          <w:szCs w:val="21"/>
        </w:rPr>
        <w:t>杭州市提出打造“全国数字经济第一城”和实施“新制造业计划”，新一代信息、新材料、新能源、生命科学等技术进步不断催生新兴产业，</w:t>
      </w:r>
      <w:r>
        <w:rPr>
          <w:rFonts w:hint="eastAsia" w:cs="仿宋_GB2312" w:asciiTheme="minorEastAsia" w:hAnsiTheme="minorEastAsia" w:eastAsiaTheme="minorEastAsia"/>
          <w:kern w:val="0"/>
          <w:sz w:val="21"/>
          <w:szCs w:val="21"/>
          <w:lang w:eastAsia="zh-CN"/>
        </w:rPr>
        <w:t>智能制造</w:t>
      </w:r>
      <w:r>
        <w:rPr>
          <w:rFonts w:hint="eastAsia" w:cs="仿宋_GB2312" w:asciiTheme="minorEastAsia" w:hAnsiTheme="minorEastAsia" w:eastAsiaTheme="minorEastAsia"/>
          <w:kern w:val="0"/>
          <w:sz w:val="21"/>
          <w:szCs w:val="21"/>
        </w:rPr>
        <w:t>等变革型产业迅速发展。然而，人才培养供给侧和产业需求侧在结构、质量、水平上还不能完全适应，迫切需要在产业规划发展的同时，同步规划职业教育发展，推进职业教育资源向产业和人口集聚区集中，提升职业院校布局和专业结构与产业发展的契合度，促进人才培养供给侧和产业需求侧结构要素全方位融合，培养大批高素质技术技能人才。</w:t>
      </w:r>
    </w:p>
    <w:p>
      <w:pPr>
        <w:keepNext/>
        <w:keepLines/>
        <w:adjustRightInd/>
        <w:snapToGrid/>
        <w:spacing w:before="157" w:beforeLines="50" w:after="0" w:afterLines="0" w:line="360" w:lineRule="auto"/>
        <w:ind w:firstLine="450" w:firstLineChars="150"/>
        <w:outlineLvl w:val="1"/>
        <w:rPr>
          <w:rFonts w:hint="eastAsia" w:ascii="黑体" w:hAnsi="黑体" w:eastAsia="黑体" w:cs="黑体"/>
          <w:b w:val="0"/>
          <w:bCs w:val="0"/>
          <w:color w:val="auto"/>
          <w:kern w:val="44"/>
          <w:sz w:val="30"/>
          <w:szCs w:val="30"/>
          <w:lang w:val="en-US" w:eastAsia="zh-CN"/>
        </w:rPr>
      </w:pPr>
      <w:bookmarkStart w:id="247" w:name="_Toc29047056"/>
      <w:bookmarkStart w:id="248" w:name="_Toc11503"/>
      <w:bookmarkStart w:id="249" w:name="_Toc28917"/>
      <w:bookmarkStart w:id="250" w:name="_Toc29234644_WPSOffice_Level2"/>
      <w:r>
        <w:rPr>
          <w:rFonts w:hint="eastAsia" w:ascii="黑体" w:hAnsi="黑体" w:eastAsia="黑体" w:cs="黑体"/>
          <w:b w:val="0"/>
          <w:bCs w:val="0"/>
          <w:color w:val="auto"/>
          <w:kern w:val="44"/>
          <w:sz w:val="30"/>
          <w:szCs w:val="30"/>
          <w:lang w:val="en-US" w:eastAsia="zh-CN"/>
        </w:rPr>
        <w:t>9.3深化产教融合，亟待政策性制度保障</w:t>
      </w:r>
      <w:bookmarkEnd w:id="247"/>
      <w:bookmarkEnd w:id="248"/>
      <w:bookmarkEnd w:id="249"/>
      <w:bookmarkEnd w:id="250"/>
    </w:p>
    <w:p>
      <w:pPr>
        <w:widowControl w:val="0"/>
        <w:wordWrap/>
        <w:adjustRightInd/>
        <w:snapToGrid/>
        <w:spacing w:beforeLines="0" w:afterLines="0"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2020年2月，杭州市印发《关于深化产教融合的实施意见》，杭州市职业教育产教融合走上快车道。通过落实浙江省“五个一批”产教融合试点企业，为职业院校与规模型企业之间搭建合作对话平台。多所中职学校与规模型企业建立了产教融合联盟、产教融合实训车间，加大了校企合作力度。学校与企业积极合作，离不开政策、体制机制的保障，如</w:t>
      </w:r>
      <w:r>
        <w:rPr>
          <w:rFonts w:hint="eastAsia" w:ascii="宋体" w:hAnsi="宋体" w:eastAsia="宋体" w:cs="宋体"/>
          <w:sz w:val="21"/>
          <w:szCs w:val="21"/>
        </w:rPr>
        <w:t>校企合作过程中的产权归属、利益分配、</w:t>
      </w:r>
      <w:r>
        <w:rPr>
          <w:rFonts w:hint="eastAsia" w:ascii="宋体" w:hAnsi="宋体" w:eastAsia="宋体" w:cs="宋体"/>
          <w:sz w:val="21"/>
          <w:szCs w:val="21"/>
          <w:lang w:val="en-US" w:eastAsia="zh-CN"/>
        </w:rPr>
        <w:t>成果归属、转移支付等</w:t>
      </w:r>
      <w:r>
        <w:rPr>
          <w:rFonts w:hint="eastAsia" w:ascii="宋体" w:hAnsi="宋体" w:eastAsia="宋体" w:cs="宋体"/>
          <w:sz w:val="21"/>
          <w:szCs w:val="21"/>
        </w:rPr>
        <w:t>问题，</w:t>
      </w:r>
      <w:r>
        <w:rPr>
          <w:rFonts w:hint="eastAsia" w:ascii="宋体" w:hAnsi="宋体" w:eastAsia="宋体" w:cs="宋体"/>
          <w:sz w:val="21"/>
          <w:szCs w:val="21"/>
          <w:lang w:val="en-US" w:eastAsia="zh-CN"/>
        </w:rPr>
        <w:t>需要更多明确可行的细则进行落地</w:t>
      </w:r>
      <w:r>
        <w:rPr>
          <w:rFonts w:hint="eastAsia" w:ascii="宋体" w:hAnsi="宋体" w:eastAsia="宋体" w:cs="宋体"/>
          <w:sz w:val="21"/>
          <w:szCs w:val="21"/>
        </w:rPr>
        <w:t>。这些问题的解决，需要政府各部门间通力协作、共同构建起一种校企互惠互利、责任共担的长效机制，才能从根本上予以实现。</w:t>
      </w:r>
    </w:p>
    <w:p>
      <w:pPr>
        <w:keepNext/>
        <w:keepLines/>
        <w:adjustRightInd/>
        <w:snapToGrid/>
        <w:spacing w:before="157" w:beforeLines="50" w:after="0" w:afterLines="0" w:line="360" w:lineRule="auto"/>
        <w:ind w:firstLine="450" w:firstLineChars="150"/>
        <w:outlineLvl w:val="1"/>
        <w:rPr>
          <w:rFonts w:hint="eastAsia" w:ascii="Times New Roman" w:hAnsi="Times New Roman" w:eastAsia="黑体"/>
          <w:b w:val="0"/>
          <w:bCs w:val="0"/>
          <w:color w:val="auto"/>
          <w:kern w:val="44"/>
          <w:sz w:val="30"/>
          <w:szCs w:val="30"/>
          <w:lang w:val="en-US" w:eastAsia="zh-CN"/>
        </w:rPr>
      </w:pPr>
      <w:r>
        <w:rPr>
          <w:rFonts w:hint="eastAsia" w:ascii="黑体" w:hAnsi="黑体" w:eastAsia="黑体" w:cs="黑体"/>
          <w:b w:val="0"/>
          <w:bCs w:val="0"/>
          <w:color w:val="auto"/>
          <w:kern w:val="44"/>
          <w:sz w:val="30"/>
          <w:szCs w:val="30"/>
          <w:lang w:val="en-US" w:eastAsia="zh-CN"/>
        </w:rPr>
        <w:t>9.4 认可职业教育，良好社会氛围有待营造</w:t>
      </w:r>
    </w:p>
    <w:p>
      <w:pPr>
        <w:widowControl/>
        <w:wordWrap/>
        <w:adjustRightInd/>
        <w:snapToGrid/>
        <w:spacing w:beforeLines="-2147483648" w:afterLines="-2147483648" w:line="360" w:lineRule="auto"/>
        <w:ind w:firstLine="420" w:firstLineChars="200"/>
        <w:jc w:val="left"/>
        <w:textAlignment w:val="auto"/>
        <w:rPr>
          <w:rFonts w:hint="eastAsia" w:ascii="宋体" w:hAnsi="宋体" w:eastAsia="宋体" w:cs="宋体"/>
          <w:sz w:val="21"/>
          <w:szCs w:val="21"/>
        </w:rPr>
      </w:pPr>
      <w:r>
        <w:rPr>
          <w:rFonts w:hint="eastAsia" w:cs="仿宋_GB2312" w:asciiTheme="minorEastAsia" w:hAnsiTheme="minorEastAsia" w:eastAsiaTheme="minorEastAsia"/>
          <w:kern w:val="0"/>
          <w:sz w:val="21"/>
          <w:szCs w:val="21"/>
        </w:rPr>
        <w:t>职业教育仍然缺乏足够的吸引力,人民群众接受职业教育的热情</w:t>
      </w:r>
      <w:r>
        <w:rPr>
          <w:rFonts w:hint="eastAsia" w:cs="仿宋_GB2312" w:asciiTheme="minorEastAsia" w:hAnsiTheme="minorEastAsia" w:eastAsiaTheme="minorEastAsia"/>
          <w:kern w:val="0"/>
          <w:sz w:val="21"/>
          <w:szCs w:val="21"/>
          <w:lang w:eastAsia="zh-CN"/>
        </w:rPr>
        <w:t>依然</w:t>
      </w:r>
      <w:r>
        <w:rPr>
          <w:rFonts w:hint="eastAsia" w:cs="仿宋_GB2312" w:asciiTheme="minorEastAsia" w:hAnsiTheme="minorEastAsia" w:eastAsiaTheme="minorEastAsia"/>
          <w:kern w:val="0"/>
          <w:sz w:val="21"/>
          <w:szCs w:val="21"/>
        </w:rPr>
        <w:t>不高</w:t>
      </w:r>
      <w:r>
        <w:rPr>
          <w:rFonts w:hint="eastAsia" w:cs="仿宋_GB2312" w:asciiTheme="minorEastAsia" w:hAnsiTheme="minorEastAsia" w:eastAsiaTheme="minorEastAsia"/>
          <w:kern w:val="0"/>
          <w:sz w:val="21"/>
          <w:szCs w:val="21"/>
          <w:lang w:eastAsia="zh-CN"/>
        </w:rPr>
        <w:t>，</w:t>
      </w:r>
      <w:r>
        <w:rPr>
          <w:rFonts w:hint="eastAsia" w:cs="仿宋_GB2312" w:asciiTheme="minorEastAsia" w:hAnsiTheme="minorEastAsia" w:eastAsiaTheme="minorEastAsia"/>
          <w:kern w:val="0"/>
          <w:sz w:val="21"/>
          <w:szCs w:val="21"/>
        </w:rPr>
        <w:t>认可、重视职业教育的良好社会氛围有待进一步营造</w:t>
      </w:r>
      <w:r>
        <w:rPr>
          <w:rFonts w:hint="eastAsia" w:cs="仿宋_GB2312" w:asciiTheme="minorEastAsia" w:hAnsiTheme="minorEastAsia" w:eastAsiaTheme="minorEastAsia"/>
          <w:kern w:val="0"/>
          <w:sz w:val="21"/>
          <w:szCs w:val="21"/>
          <w:lang w:eastAsia="zh-CN"/>
        </w:rPr>
        <w:t>。</w:t>
      </w:r>
      <w:r>
        <w:rPr>
          <w:rFonts w:cs="仿宋_GB2312" w:asciiTheme="minorEastAsia" w:hAnsiTheme="minorEastAsia" w:eastAsiaTheme="minorEastAsia"/>
          <w:kern w:val="0"/>
          <w:sz w:val="21"/>
          <w:szCs w:val="21"/>
        </w:rPr>
        <w:t>在实际的用人过程中客观上还存在</w:t>
      </w:r>
      <w:r>
        <w:rPr>
          <w:rFonts w:hint="eastAsia" w:cs="仿宋_GB2312" w:asciiTheme="minorEastAsia" w:hAnsiTheme="minorEastAsia" w:eastAsiaTheme="minorEastAsia"/>
          <w:kern w:val="0"/>
          <w:sz w:val="21"/>
          <w:szCs w:val="21"/>
        </w:rPr>
        <w:t>技能人才社会地位不高、职业认同感不强、</w:t>
      </w:r>
      <w:r>
        <w:rPr>
          <w:rFonts w:cs="仿宋_GB2312" w:asciiTheme="minorEastAsia" w:hAnsiTheme="minorEastAsia" w:eastAsiaTheme="minorEastAsia"/>
          <w:kern w:val="0"/>
          <w:sz w:val="21"/>
          <w:szCs w:val="21"/>
        </w:rPr>
        <w:t>职工工资与职业技能等级脱节等因素，“崇尚一技之长、凭能力不唯学历”的社会氛围尚未真正形成</w:t>
      </w:r>
      <w:r>
        <w:rPr>
          <w:rFonts w:hint="eastAsia" w:cs="仿宋_GB2312" w:asciiTheme="minorEastAsia" w:hAnsiTheme="minorEastAsia" w:eastAsiaTheme="minorEastAsia"/>
          <w:kern w:val="0"/>
          <w:sz w:val="21"/>
          <w:szCs w:val="21"/>
          <w:lang w:eastAsia="zh-CN"/>
        </w:rPr>
        <w:t>。</w:t>
      </w:r>
      <w:r>
        <w:rPr>
          <w:rFonts w:hint="eastAsia" w:cs="仿宋_GB2312" w:asciiTheme="minorEastAsia" w:hAnsiTheme="minorEastAsia" w:eastAsiaTheme="minorEastAsia"/>
          <w:kern w:val="0"/>
          <w:sz w:val="21"/>
          <w:szCs w:val="21"/>
        </w:rPr>
        <w:t>技术技能人才培养的成长通道还不够畅通，五年制</w:t>
      </w:r>
      <w:r>
        <w:rPr>
          <w:rFonts w:cs="仿宋_GB2312" w:asciiTheme="minorEastAsia" w:hAnsiTheme="minorEastAsia" w:eastAsiaTheme="minorEastAsia"/>
          <w:kern w:val="0"/>
          <w:sz w:val="21"/>
          <w:szCs w:val="21"/>
        </w:rPr>
        <w:t>中高职一体化</w:t>
      </w:r>
      <w:r>
        <w:rPr>
          <w:rFonts w:hint="eastAsia" w:cs="仿宋_GB2312" w:asciiTheme="minorEastAsia" w:hAnsiTheme="minorEastAsia" w:eastAsiaTheme="minorEastAsia"/>
          <w:kern w:val="0"/>
          <w:sz w:val="21"/>
          <w:szCs w:val="21"/>
        </w:rPr>
        <w:t>、</w:t>
      </w:r>
      <w:r>
        <w:rPr>
          <w:rFonts w:cs="仿宋_GB2312" w:asciiTheme="minorEastAsia" w:hAnsiTheme="minorEastAsia" w:eastAsiaTheme="minorEastAsia"/>
          <w:kern w:val="0"/>
          <w:sz w:val="21"/>
          <w:szCs w:val="21"/>
        </w:rPr>
        <w:t>中职升本科</w:t>
      </w:r>
      <w:r>
        <w:rPr>
          <w:rFonts w:hint="eastAsia" w:cs="仿宋_GB2312" w:asciiTheme="minorEastAsia" w:hAnsiTheme="minorEastAsia" w:eastAsiaTheme="minorEastAsia"/>
          <w:kern w:val="0"/>
          <w:sz w:val="21"/>
          <w:szCs w:val="21"/>
        </w:rPr>
        <w:t>、</w:t>
      </w:r>
      <w:r>
        <w:rPr>
          <w:rFonts w:cs="仿宋_GB2312" w:asciiTheme="minorEastAsia" w:hAnsiTheme="minorEastAsia" w:eastAsiaTheme="minorEastAsia"/>
          <w:kern w:val="0"/>
          <w:sz w:val="21"/>
          <w:szCs w:val="21"/>
        </w:rPr>
        <w:t>专科升本科以及应用本科衔接专业学位研究生人才培养</w:t>
      </w:r>
      <w:r>
        <w:rPr>
          <w:rFonts w:hint="eastAsia" w:cs="仿宋_GB2312" w:asciiTheme="minorEastAsia" w:hAnsiTheme="minorEastAsia" w:eastAsiaTheme="minorEastAsia"/>
          <w:kern w:val="0"/>
          <w:sz w:val="21"/>
          <w:szCs w:val="21"/>
        </w:rPr>
        <w:t>改革</w:t>
      </w:r>
      <w:r>
        <w:rPr>
          <w:rFonts w:cs="仿宋_GB2312" w:asciiTheme="minorEastAsia" w:hAnsiTheme="minorEastAsia" w:eastAsiaTheme="minorEastAsia"/>
          <w:kern w:val="0"/>
          <w:sz w:val="21"/>
          <w:szCs w:val="21"/>
        </w:rPr>
        <w:t>，</w:t>
      </w:r>
      <w:r>
        <w:rPr>
          <w:rFonts w:hint="eastAsia" w:cs="仿宋_GB2312" w:asciiTheme="minorEastAsia" w:hAnsiTheme="minorEastAsia" w:eastAsiaTheme="minorEastAsia"/>
          <w:kern w:val="0"/>
          <w:sz w:val="21"/>
          <w:szCs w:val="21"/>
        </w:rPr>
        <w:t>缺乏有力的</w:t>
      </w:r>
      <w:r>
        <w:rPr>
          <w:rFonts w:cs="仿宋_GB2312" w:asciiTheme="minorEastAsia" w:hAnsiTheme="minorEastAsia" w:eastAsiaTheme="minorEastAsia"/>
          <w:kern w:val="0"/>
          <w:sz w:val="21"/>
          <w:szCs w:val="21"/>
        </w:rPr>
        <w:t>政策配套和保障</w:t>
      </w:r>
      <w:r>
        <w:rPr>
          <w:rFonts w:hint="eastAsia" w:cs="仿宋_GB2312" w:asciiTheme="minorEastAsia" w:hAnsiTheme="minorEastAsia" w:eastAsiaTheme="minorEastAsia"/>
          <w:kern w:val="0"/>
          <w:sz w:val="21"/>
          <w:szCs w:val="21"/>
        </w:rPr>
        <w:t>。</w:t>
      </w:r>
    </w:p>
    <w:p>
      <w:pPr>
        <w:pStyle w:val="2"/>
        <w:adjustRightInd/>
        <w:snapToGrid/>
        <w:spacing w:before="313" w:beforeLines="100" w:after="157" w:afterLines="50" w:afterAutospacing="0" w:line="360" w:lineRule="auto"/>
        <w:ind w:firstLine="360" w:firstLineChars="100"/>
        <w:jc w:val="both"/>
        <w:rPr>
          <w:rFonts w:hint="eastAsia" w:ascii="黑体" w:hAnsi="黑体" w:eastAsia="黑体" w:cs="黑体"/>
          <w:b w:val="0"/>
          <w:bCs w:val="0"/>
          <w:color w:val="auto"/>
          <w:sz w:val="36"/>
          <w:szCs w:val="36"/>
          <w:lang w:val="en-US" w:eastAsia="zh-CN"/>
        </w:rPr>
      </w:pPr>
      <w:bookmarkStart w:id="251" w:name="_Toc1077299832_WPSOffice_Level2"/>
      <w:bookmarkStart w:id="252" w:name="_Toc2101170889_WPSOffice_Level1"/>
      <w:bookmarkStart w:id="253" w:name="_Toc1412971330_WPSOffice_Level1"/>
      <w:r>
        <w:rPr>
          <w:rFonts w:hint="eastAsia" w:ascii="黑体" w:hAnsi="黑体" w:eastAsia="黑体" w:cs="黑体"/>
          <w:b w:val="0"/>
          <w:bCs w:val="0"/>
          <w:color w:val="auto"/>
          <w:sz w:val="36"/>
          <w:szCs w:val="36"/>
          <w:lang w:val="en-US" w:eastAsia="zh-CN"/>
        </w:rPr>
        <w:t>10.愿景与展望</w:t>
      </w:r>
      <w:bookmarkEnd w:id="251"/>
      <w:bookmarkEnd w:id="252"/>
      <w:bookmarkEnd w:id="253"/>
    </w:p>
    <w:p>
      <w:pPr>
        <w:widowControl/>
        <w:wordWrap/>
        <w:adjustRightInd/>
        <w:snapToGrid/>
        <w:spacing w:beforeLines="0" w:afterLines="0" w:line="360" w:lineRule="auto"/>
        <w:ind w:left="0" w:leftChars="0" w:right="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2021年将开启“十四五”职业教育发展新征程，杭州职业教育积极贯彻全国、省、市教育大会精神，</w:t>
      </w:r>
      <w:r>
        <w:rPr>
          <w:rFonts w:hint="eastAsia" w:ascii="宋体" w:hAnsi="宋体" w:eastAsia="宋体" w:cs="宋体"/>
          <w:sz w:val="21"/>
          <w:szCs w:val="21"/>
        </w:rPr>
        <w:t>坚持以习近平新时代中国特色社会主义思想为指导，以立德树人为根本，以提高质量为核心，以深化产教融合为主线，以打造“全国数字经济第一城”和实施“新制造业计划”为契机，</w:t>
      </w:r>
      <w:r>
        <w:rPr>
          <w:rFonts w:hint="eastAsia" w:ascii="宋体" w:hAnsi="宋体" w:eastAsia="宋体" w:cs="宋体"/>
          <w:sz w:val="21"/>
          <w:szCs w:val="21"/>
          <w:lang w:val="en-US" w:eastAsia="zh-CN"/>
        </w:rPr>
        <w:t>加快推进新时代职业教育高质量发展</w:t>
      </w:r>
      <w:bookmarkStart w:id="258" w:name="_GoBack"/>
      <w:bookmarkEnd w:id="258"/>
      <w:r>
        <w:rPr>
          <w:rFonts w:hint="eastAsia" w:ascii="宋体" w:hAnsi="宋体" w:eastAsia="宋体" w:cs="宋体"/>
          <w:sz w:val="21"/>
          <w:szCs w:val="21"/>
          <w:lang w:val="en-US" w:eastAsia="zh-CN"/>
        </w:rPr>
        <w:t>，</w:t>
      </w:r>
      <w:r>
        <w:rPr>
          <w:rFonts w:hint="eastAsia" w:ascii="宋体" w:hAnsi="宋体" w:eastAsia="宋体" w:cs="宋体"/>
          <w:sz w:val="21"/>
          <w:szCs w:val="21"/>
        </w:rPr>
        <w:t>推进我市职业教育走在全国前列，</w:t>
      </w:r>
      <w:r>
        <w:rPr>
          <w:rFonts w:hint="eastAsia" w:ascii="宋体" w:hAnsi="宋体" w:eastAsia="宋体" w:cs="宋体"/>
          <w:sz w:val="21"/>
          <w:szCs w:val="21"/>
          <w:lang w:val="en-US" w:eastAsia="zh-CN"/>
        </w:rPr>
        <w:t>为</w:t>
      </w:r>
      <w:r>
        <w:rPr>
          <w:rFonts w:hint="eastAsia" w:ascii="宋体" w:hAnsi="宋体" w:eastAsia="宋体" w:cs="宋体"/>
          <w:sz w:val="21"/>
          <w:szCs w:val="21"/>
        </w:rPr>
        <w:t>全力助推杭州打造“数智杭州•宜居天堂”、建设社会主义现代化国际大都市、奋力展现“重要窗口”的</w:t>
      </w:r>
      <w:r>
        <w:rPr>
          <w:rFonts w:hint="eastAsia" w:ascii="宋体" w:hAnsi="宋体" w:eastAsia="宋体" w:cs="宋体"/>
          <w:sz w:val="21"/>
          <w:szCs w:val="21"/>
          <w:lang w:eastAsia="zh-CN"/>
        </w:rPr>
        <w:t>“</w:t>
      </w:r>
      <w:r>
        <w:rPr>
          <w:rFonts w:hint="eastAsia" w:ascii="宋体" w:hAnsi="宋体" w:eastAsia="宋体" w:cs="宋体"/>
          <w:sz w:val="21"/>
          <w:szCs w:val="21"/>
        </w:rPr>
        <w:t>头雁风采</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提供强有力的优质人才资源支撑</w:t>
      </w:r>
      <w:r>
        <w:rPr>
          <w:rFonts w:hint="eastAsia" w:ascii="宋体" w:hAnsi="宋体" w:eastAsia="宋体" w:cs="宋体"/>
          <w:sz w:val="21"/>
          <w:szCs w:val="21"/>
        </w:rPr>
        <w:t>。</w:t>
      </w:r>
    </w:p>
    <w:p>
      <w:pPr>
        <w:widowControl/>
        <w:wordWrap/>
        <w:adjustRightInd/>
        <w:snapToGrid/>
        <w:spacing w:beforeLines="0" w:afterLines="0" w:line="360" w:lineRule="auto"/>
        <w:ind w:left="0" w:leftChars="0" w:right="0" w:firstLine="420" w:firstLineChars="20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“十四五”期间，杭州职业教育将</w:t>
      </w:r>
      <w:r>
        <w:rPr>
          <w:rFonts w:hint="eastAsia" w:ascii="宋体" w:hAnsi="宋体" w:eastAsia="宋体" w:cs="宋体"/>
          <w:sz w:val="21"/>
          <w:szCs w:val="21"/>
        </w:rPr>
        <w:t>率先形成政府统筹管理、社会多元办学的发展格局，产教融合更加深化，结构布局更加合理，职业教育体系更加完备，类型特征更加鲜明，国际化水平大幅提升，对经济社会发展贡献度全面提高，人民群众对职业教育的获得感显著增强</w:t>
      </w:r>
      <w:r>
        <w:rPr>
          <w:rFonts w:hint="eastAsia" w:ascii="宋体" w:hAnsi="宋体" w:eastAsia="宋体" w:cs="宋体"/>
          <w:sz w:val="21"/>
          <w:szCs w:val="21"/>
          <w:lang w:eastAsia="zh-CN"/>
        </w:rPr>
        <w:t>。</w:t>
      </w:r>
    </w:p>
    <w:p>
      <w:pPr>
        <w:keepNext/>
        <w:keepLines/>
        <w:adjustRightInd/>
        <w:snapToGrid/>
        <w:spacing w:before="157" w:beforeLines="50" w:after="0" w:afterLines="0" w:line="360" w:lineRule="auto"/>
        <w:ind w:firstLine="450" w:firstLineChars="150"/>
        <w:outlineLvl w:val="1"/>
        <w:rPr>
          <w:rFonts w:hint="eastAsia" w:ascii="黑体" w:hAnsi="黑体" w:eastAsia="黑体" w:cs="黑体"/>
          <w:b w:val="0"/>
          <w:bCs w:val="0"/>
          <w:color w:val="auto"/>
          <w:kern w:val="44"/>
          <w:sz w:val="30"/>
          <w:szCs w:val="30"/>
          <w:lang w:val="en-US" w:eastAsia="zh-CN"/>
        </w:rPr>
      </w:pPr>
      <w:bookmarkStart w:id="254" w:name="_Toc541934249_WPSOffice_Level2"/>
      <w:r>
        <w:rPr>
          <w:rFonts w:hint="eastAsia" w:ascii="黑体" w:hAnsi="黑体" w:eastAsia="黑体" w:cs="黑体"/>
          <w:b w:val="0"/>
          <w:bCs w:val="0"/>
          <w:color w:val="auto"/>
          <w:kern w:val="44"/>
          <w:sz w:val="30"/>
          <w:szCs w:val="30"/>
          <w:lang w:val="en-US" w:eastAsia="zh-CN"/>
        </w:rPr>
        <w:t>10.1 优化中高贯通，构建一体化人才培养体系</w:t>
      </w:r>
      <w:bookmarkEnd w:id="254"/>
    </w:p>
    <w:p>
      <w:pPr>
        <w:autoSpaceDE w:val="0"/>
        <w:autoSpaceDN w:val="0"/>
        <w:adjustRightInd/>
        <w:snapToGrid/>
        <w:spacing w:beforeLines="0" w:afterLines="0" w:line="360" w:lineRule="auto"/>
        <w:ind w:firstLine="420" w:firstLineChars="200"/>
        <w:jc w:val="left"/>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依托在杭高校，构建中高职一体化技术技能人才培养体系，深化技能培养周期长的专业（群）长学制办学模式改革，积极支持办学条件成熟的中职学校高水平专业开展五年制人才培养试点，完善和扩大中高职一体化人才培养，畅通“中职、高职、应用型本科、专业学位研究生”人才培养通道</w:t>
      </w:r>
      <w:r>
        <w:rPr>
          <w:rFonts w:hint="eastAsia" w:ascii="宋体" w:hAnsi="宋体" w:eastAsia="宋体" w:cs="宋体"/>
          <w:b w:val="0"/>
          <w:bCs w:val="0"/>
          <w:kern w:val="0"/>
          <w:sz w:val="21"/>
          <w:szCs w:val="21"/>
          <w:lang w:val="zh-CN"/>
        </w:rPr>
        <w:t>。</w:t>
      </w:r>
      <w:r>
        <w:rPr>
          <w:rFonts w:hint="eastAsia" w:ascii="宋体" w:hAnsi="宋体" w:eastAsia="宋体" w:cs="宋体"/>
          <w:kern w:val="0"/>
          <w:sz w:val="21"/>
          <w:szCs w:val="21"/>
          <w:lang w:val="zh-CN"/>
        </w:rPr>
        <w:t>实施中职与高职、普通高校一体化课程体系建设项目。突出类型教育的人才培养目标，积极参与“</w:t>
      </w:r>
      <w:r>
        <w:rPr>
          <w:rFonts w:hint="eastAsia" w:ascii="宋体" w:hAnsi="宋体" w:eastAsia="宋体" w:cs="宋体"/>
          <w:kern w:val="0"/>
          <w:sz w:val="21"/>
          <w:szCs w:val="21"/>
          <w:lang w:val="en-US" w:eastAsia="zh-CN"/>
        </w:rPr>
        <w:t>1+X</w:t>
      </w:r>
      <w:r>
        <w:rPr>
          <w:rFonts w:hint="eastAsia" w:ascii="宋体" w:hAnsi="宋体" w:eastAsia="宋体" w:cs="宋体"/>
          <w:kern w:val="0"/>
          <w:sz w:val="21"/>
          <w:szCs w:val="21"/>
          <w:lang w:val="zh-CN"/>
        </w:rPr>
        <w:t>”证书制度试点。</w:t>
      </w:r>
    </w:p>
    <w:p>
      <w:pPr>
        <w:keepNext/>
        <w:keepLines/>
        <w:adjustRightInd/>
        <w:snapToGrid/>
        <w:spacing w:before="157" w:beforeLines="50" w:after="0" w:afterLines="0" w:line="360" w:lineRule="auto"/>
        <w:ind w:firstLine="450" w:firstLineChars="150"/>
        <w:outlineLvl w:val="1"/>
        <w:rPr>
          <w:rFonts w:hint="eastAsia" w:ascii="黑体" w:hAnsi="黑体" w:eastAsia="黑体" w:cs="黑体"/>
          <w:b w:val="0"/>
          <w:bCs w:val="0"/>
          <w:color w:val="auto"/>
          <w:kern w:val="44"/>
          <w:sz w:val="30"/>
          <w:szCs w:val="30"/>
          <w:lang w:val="en-US" w:eastAsia="zh-CN"/>
        </w:rPr>
      </w:pPr>
      <w:bookmarkStart w:id="255" w:name="_Toc128245286_WPSOffice_Level2"/>
      <w:r>
        <w:rPr>
          <w:rFonts w:hint="eastAsia" w:ascii="黑体" w:hAnsi="黑体" w:eastAsia="黑体" w:cs="黑体"/>
          <w:b w:val="0"/>
          <w:bCs w:val="0"/>
          <w:color w:val="auto"/>
          <w:kern w:val="44"/>
          <w:sz w:val="30"/>
          <w:szCs w:val="30"/>
          <w:lang w:val="en-US" w:eastAsia="zh-CN"/>
        </w:rPr>
        <w:t>10.2 加快提质赋能，助推职业教育高质量发展</w:t>
      </w:r>
      <w:bookmarkEnd w:id="255"/>
    </w:p>
    <w:p>
      <w:pPr>
        <w:autoSpaceDE w:val="0"/>
        <w:autoSpaceDN w:val="0"/>
        <w:adjustRightInd/>
        <w:snapToGrid/>
        <w:spacing w:beforeLines="0" w:afterLines="0" w:line="360" w:lineRule="auto"/>
        <w:ind w:firstLine="420" w:firstLineChars="200"/>
        <w:jc w:val="left"/>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以提质培优三年行动计划为引领，省中职“双高计划”建设为抓手，加快推进我市中职学校内涵发展，建好办强做特每一所中等职业学校。实施“中职教师赋能”计划，推进“数字+”教师培养工程，全面提升教师数字化教学能力。加快构建职业教育教师培养三级网络体系，加大名校长、名师、名教学团队的培养力度，形成“双师结构与双师能力”专业教学团队。完善技术技能人才激励机制，将职业院校高技能人才纳入杭州工匠、名城工匠等政策体系范畴。</w:t>
      </w:r>
    </w:p>
    <w:p>
      <w:pPr>
        <w:keepNext w:val="0"/>
        <w:keepLines w:val="0"/>
        <w:autoSpaceDE w:val="0"/>
        <w:autoSpaceDN w:val="0"/>
        <w:adjustRightInd w:val="0"/>
        <w:snapToGrid w:val="0"/>
        <w:spacing w:before="157" w:beforeLines="50" w:after="0" w:afterLines="0" w:line="360" w:lineRule="auto"/>
        <w:ind w:firstLine="450" w:firstLineChars="150"/>
        <w:jc w:val="left"/>
        <w:outlineLvl w:val="9"/>
        <w:rPr>
          <w:rFonts w:hint="eastAsia" w:ascii="黑体" w:hAnsi="黑体" w:eastAsia="黑体" w:cs="黑体"/>
          <w:b w:val="0"/>
          <w:bCs w:val="0"/>
          <w:color w:val="auto"/>
          <w:kern w:val="44"/>
          <w:sz w:val="30"/>
          <w:szCs w:val="30"/>
          <w:lang w:val="en-US" w:eastAsia="zh-CN"/>
        </w:rPr>
      </w:pPr>
      <w:bookmarkStart w:id="256" w:name="_Toc1749439706_WPSOffice_Level2"/>
      <w:r>
        <w:rPr>
          <w:rFonts w:hint="eastAsia" w:ascii="黑体" w:hAnsi="黑体" w:eastAsia="黑体" w:cs="黑体"/>
          <w:b w:val="0"/>
          <w:bCs w:val="0"/>
          <w:color w:val="auto"/>
          <w:kern w:val="44"/>
          <w:sz w:val="30"/>
          <w:szCs w:val="30"/>
          <w:lang w:val="en-US" w:eastAsia="zh-CN"/>
        </w:rPr>
        <w:t>10.3 深化产教融合，构建多元办学新格局</w:t>
      </w:r>
      <w:bookmarkEnd w:id="256"/>
    </w:p>
    <w:p>
      <w:pPr>
        <w:keepNext w:val="0"/>
        <w:keepLines w:val="0"/>
        <w:autoSpaceDE w:val="0"/>
        <w:autoSpaceDN w:val="0"/>
        <w:adjustRightInd w:val="0"/>
        <w:snapToGrid w:val="0"/>
        <w:spacing w:before="0" w:beforeLines="0" w:after="0" w:afterLines="0" w:line="360" w:lineRule="auto"/>
        <w:ind w:firstLine="420" w:firstLineChars="200"/>
        <w:jc w:val="left"/>
        <w:outlineLvl w:val="9"/>
        <w:rPr>
          <w:rFonts w:hint="eastAsia" w:ascii="宋体" w:hAnsi="宋体" w:eastAsia="宋体" w:cs="宋体"/>
          <w:b w:val="0"/>
          <w:bCs w:val="0"/>
          <w:color w:val="auto"/>
          <w:kern w:val="44"/>
          <w:sz w:val="30"/>
          <w:szCs w:val="30"/>
          <w:lang w:val="en-US" w:eastAsia="zh-CN"/>
        </w:rPr>
      </w:pPr>
      <w:r>
        <w:rPr>
          <w:rFonts w:hint="eastAsia" w:ascii="宋体" w:hAnsi="宋体" w:eastAsia="宋体" w:cs="宋体"/>
          <w:b w:val="0"/>
          <w:bCs w:val="0"/>
          <w:kern w:val="0"/>
          <w:sz w:val="21"/>
          <w:szCs w:val="21"/>
          <w:lang w:val="zh-CN"/>
        </w:rPr>
        <w:t>鼓励各级各类职业院校以股份制、混合所有制等形式，通过“引企入校”“前校后厂、前店后校”等途径，建立实习工厂、研发中心、科技创新中心等经济实体。打造一批对接省“五个一批”工程、主要服务数字经济和新制造业的产教融合项目，建设市级及以上</w:t>
      </w:r>
      <w:r>
        <w:rPr>
          <w:rFonts w:hint="eastAsia" w:ascii="宋体" w:hAnsi="宋体" w:eastAsia="宋体" w:cs="宋体"/>
          <w:b w:val="0"/>
          <w:bCs w:val="0"/>
          <w:kern w:val="0"/>
          <w:sz w:val="21"/>
          <w:szCs w:val="21"/>
          <w:lang w:val="en-US" w:eastAsia="zh-CN"/>
        </w:rPr>
        <w:t>协同共建、成果共享、创新共赢的示范性产教融合联盟。以开展现代学徒制和企业新型学徒制改革为重点，推进产教融合、校企合作、工学结合的人才培养模式改革。鼓励企业在专业设置、人才培养方案、课程开发、实训基地建设、师资培养、技能大赛、质量评价等方面发挥更大作用。</w:t>
      </w:r>
    </w:p>
    <w:p>
      <w:pPr>
        <w:keepNext/>
        <w:keepLines/>
        <w:adjustRightInd/>
        <w:snapToGrid/>
        <w:spacing w:before="157" w:beforeLines="50" w:after="0" w:afterLines="0" w:line="360" w:lineRule="auto"/>
        <w:ind w:firstLine="450" w:firstLineChars="150"/>
        <w:outlineLvl w:val="1"/>
        <w:rPr>
          <w:rFonts w:hint="eastAsia" w:ascii="黑体" w:hAnsi="黑体" w:eastAsia="黑体" w:cs="黑体"/>
          <w:b w:val="0"/>
          <w:bCs w:val="0"/>
          <w:color w:val="auto"/>
          <w:kern w:val="44"/>
          <w:sz w:val="30"/>
          <w:szCs w:val="30"/>
          <w:lang w:val="en-US" w:eastAsia="zh-CN"/>
        </w:rPr>
      </w:pPr>
      <w:bookmarkStart w:id="257" w:name="_Toc1851044466_WPSOffice_Level2"/>
      <w:r>
        <w:rPr>
          <w:rFonts w:hint="eastAsia" w:ascii="黑体" w:hAnsi="黑体" w:eastAsia="黑体" w:cs="黑体"/>
          <w:b w:val="0"/>
          <w:bCs w:val="0"/>
          <w:color w:val="auto"/>
          <w:kern w:val="44"/>
          <w:sz w:val="30"/>
          <w:szCs w:val="30"/>
          <w:lang w:val="en-US" w:eastAsia="zh-CN"/>
        </w:rPr>
        <w:t>10.4 深化数智革命，促进优质资源均衡发展</w:t>
      </w:r>
      <w:bookmarkEnd w:id="257"/>
    </w:p>
    <w:p>
      <w:pPr>
        <w:widowControl w:val="0"/>
        <w:wordWrap/>
        <w:adjustRightInd/>
        <w:snapToGrid/>
        <w:spacing w:beforeLines="0" w:afterLines="0" w:line="360" w:lineRule="auto"/>
        <w:ind w:left="0" w:leftChars="0" w:right="0" w:firstLine="420" w:firstLineChars="200"/>
        <w:jc w:val="both"/>
        <w:textAlignment w:val="auto"/>
        <w:outlineLvl w:val="9"/>
        <w:rPr>
          <w:rFonts w:hint="eastAsia" w:ascii="Times New Roman" w:hAnsi="Times New Roman" w:eastAsia="黑体"/>
          <w:color w:val="auto"/>
          <w:sz w:val="21"/>
          <w:szCs w:val="21"/>
          <w:lang w:val="en-US" w:eastAsia="zh-CN"/>
        </w:rPr>
      </w:pPr>
      <w:r>
        <w:rPr>
          <w:rFonts w:hint="eastAsia" w:ascii="宋体" w:hAnsi="宋体" w:eastAsia="宋体" w:cs="宋体"/>
          <w:color w:val="auto"/>
          <w:sz w:val="21"/>
          <w:szCs w:val="21"/>
          <w:lang w:val="en-US" w:eastAsia="zh-CN"/>
        </w:rPr>
        <w:t>推进数字化职业教育治理体系建设，搭建职业学校教育教学质量监测管理的数字化平台，提高对学校教学质量、课程设置、专业设置、学校办学规模等一系列改革的数据监测与科学治理；及时对接行业用人需求与行业目录，进行人才培养方向、培养规模的预测与监测，提高人才培养的前瞻性与针对性；集中优质师资与优质资源开发职业教育专门化课程，加强职教数字化教学资源库建设，提高职业教育资源库的质量和服务能力；同时及时采集与汇编网络平台各类优质视频资源进行本地化改造，不断丰富职业教育课程资源广度，服务教育公平，缩小地区之间职业教育教学质量的差异。</w:t>
      </w:r>
    </w:p>
    <w:sectPr>
      <w:footerReference r:id="rId4"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auto"/>
    <w:pitch w:val="default"/>
    <w:sig w:usb0="00000000" w:usb1="00000000" w:usb2="02000000" w:usb3="00000000" w:csb0="2000019F" w:csb1="00000000"/>
  </w:font>
  <w:font w:name="Calibri Light">
    <w:altName w:val="DejaVu Sans"/>
    <w:panose1 w:val="020F0302020204030204"/>
    <w:charset w:val="00"/>
    <w:family w:val="auto"/>
    <w:pitch w:val="default"/>
    <w:sig w:usb0="00000000" w:usb1="00000000" w:usb2="00000009" w:usb3="00000000" w:csb0="200001FF" w:csb1="00000000"/>
  </w:font>
  <w:font w:name="仿宋">
    <w:panose1 w:val="02010609060101010101"/>
    <w:charset w:val="86"/>
    <w:family w:val="auto"/>
    <w:pitch w:val="default"/>
    <w:sig w:usb0="800002BF" w:usb1="38CF7CFA" w:usb2="00000016" w:usb3="00000000" w:csb0="00040001" w:csb1="00000000"/>
  </w:font>
  <w:font w:name="Menlo">
    <w:altName w:val="汉仪新人文宋简"/>
    <w:panose1 w:val="00000000000000000000"/>
    <w:charset w:val="00"/>
    <w:family w:val="auto"/>
    <w:pitch w:val="default"/>
    <w:sig w:usb0="00000000" w:usb1="00000000" w:usb2="00000000" w:usb3="00000000" w:csb0="00040001" w:csb1="00000000"/>
  </w:font>
  <w:font w:name="Tahoma">
    <w:altName w:val="DejaVu Sans"/>
    <w:panose1 w:val="020B0604030504040204"/>
    <w:charset w:val="00"/>
    <w:family w:val="auto"/>
    <w:pitch w:val="default"/>
    <w:sig w:usb0="00000000" w:usb1="00000000" w:usb2="00000029" w:usb3="00000000" w:csb0="200101FF" w:csb1="2028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
    <w:altName w:val="汉仪叶叶相思体简"/>
    <w:panose1 w:val="00000000000000000000"/>
    <w:charset w:val="00"/>
    <w:family w:val="auto"/>
    <w:pitch w:val="default"/>
    <w:sig w:usb0="00000000" w:usb1="00000000" w:usb2="00000000" w:usb3="00000000" w:csb0="00000001"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方正宋体S-超大字符集">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汉仪新人文宋简">
    <w:panose1 w:val="00020600040101010101"/>
    <w:charset w:val="86"/>
    <w:family w:val="auto"/>
    <w:pitch w:val="default"/>
    <w:sig w:usb0="A00002BF" w:usb1="1ACF7CFA" w:usb2="00000016" w:usb3="00000000" w:csb0="0004009F" w:csb1="DFD70000"/>
  </w:font>
  <w:font w:name="汉仪叶叶相思体简">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weight="1.2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trackRevisions w:val="true"/>
  <w:documentProtection w:enforcement="0"/>
  <w:defaultTabStop w:val="540"/>
  <w:drawingGridHorizontalSpacing w:val="105"/>
  <w:drawingGridVerticalSpacing w:val="156"/>
  <w:displayHorizontalDrawingGridEvery w:val="1"/>
  <w:displayVerticalDrawingGridEvery w:val="1"/>
  <w:noPunctuationKerning w:val="true"/>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6DEB53B3"/>
    <w:rsid w:val="000007CD"/>
    <w:rsid w:val="00001C7E"/>
    <w:rsid w:val="00002292"/>
    <w:rsid w:val="00002FED"/>
    <w:rsid w:val="000047EC"/>
    <w:rsid w:val="000055C7"/>
    <w:rsid w:val="00005A83"/>
    <w:rsid w:val="00006DEC"/>
    <w:rsid w:val="000075BE"/>
    <w:rsid w:val="00007BC4"/>
    <w:rsid w:val="00007F25"/>
    <w:rsid w:val="00007F96"/>
    <w:rsid w:val="000117F5"/>
    <w:rsid w:val="00011CA8"/>
    <w:rsid w:val="000134A5"/>
    <w:rsid w:val="00013D94"/>
    <w:rsid w:val="000150EB"/>
    <w:rsid w:val="000153F3"/>
    <w:rsid w:val="00016FF8"/>
    <w:rsid w:val="000171F3"/>
    <w:rsid w:val="000173E9"/>
    <w:rsid w:val="0001798F"/>
    <w:rsid w:val="00017A3A"/>
    <w:rsid w:val="00020675"/>
    <w:rsid w:val="00022640"/>
    <w:rsid w:val="00022956"/>
    <w:rsid w:val="00023ABA"/>
    <w:rsid w:val="00023E22"/>
    <w:rsid w:val="00025543"/>
    <w:rsid w:val="0002564E"/>
    <w:rsid w:val="00025A79"/>
    <w:rsid w:val="00026EF8"/>
    <w:rsid w:val="000277BA"/>
    <w:rsid w:val="00030729"/>
    <w:rsid w:val="00030E99"/>
    <w:rsid w:val="000326FB"/>
    <w:rsid w:val="000333B7"/>
    <w:rsid w:val="00033662"/>
    <w:rsid w:val="000338CA"/>
    <w:rsid w:val="00033F9B"/>
    <w:rsid w:val="0003555C"/>
    <w:rsid w:val="00036AFC"/>
    <w:rsid w:val="000400BD"/>
    <w:rsid w:val="0004038F"/>
    <w:rsid w:val="000409BF"/>
    <w:rsid w:val="00041474"/>
    <w:rsid w:val="00041C72"/>
    <w:rsid w:val="00041CAA"/>
    <w:rsid w:val="00042850"/>
    <w:rsid w:val="00043015"/>
    <w:rsid w:val="00046BD3"/>
    <w:rsid w:val="00050594"/>
    <w:rsid w:val="0005085F"/>
    <w:rsid w:val="000517C1"/>
    <w:rsid w:val="00051C21"/>
    <w:rsid w:val="00052859"/>
    <w:rsid w:val="000545E1"/>
    <w:rsid w:val="00054801"/>
    <w:rsid w:val="00054B6B"/>
    <w:rsid w:val="0005638A"/>
    <w:rsid w:val="00057A24"/>
    <w:rsid w:val="00057A80"/>
    <w:rsid w:val="00057F93"/>
    <w:rsid w:val="00060040"/>
    <w:rsid w:val="00061233"/>
    <w:rsid w:val="0006251D"/>
    <w:rsid w:val="00062F1A"/>
    <w:rsid w:val="00063ADA"/>
    <w:rsid w:val="00064B17"/>
    <w:rsid w:val="00064C8B"/>
    <w:rsid w:val="00064D77"/>
    <w:rsid w:val="000660D6"/>
    <w:rsid w:val="00066A04"/>
    <w:rsid w:val="00067549"/>
    <w:rsid w:val="00067A3A"/>
    <w:rsid w:val="00070158"/>
    <w:rsid w:val="00070965"/>
    <w:rsid w:val="00070AED"/>
    <w:rsid w:val="00071E42"/>
    <w:rsid w:val="00071E82"/>
    <w:rsid w:val="0007590C"/>
    <w:rsid w:val="00077008"/>
    <w:rsid w:val="00077AFA"/>
    <w:rsid w:val="00077DC5"/>
    <w:rsid w:val="00080125"/>
    <w:rsid w:val="0008081C"/>
    <w:rsid w:val="000819A0"/>
    <w:rsid w:val="000822C9"/>
    <w:rsid w:val="00082542"/>
    <w:rsid w:val="00085873"/>
    <w:rsid w:val="00085C6B"/>
    <w:rsid w:val="00086BAF"/>
    <w:rsid w:val="00086FD2"/>
    <w:rsid w:val="000878A4"/>
    <w:rsid w:val="00091425"/>
    <w:rsid w:val="00091514"/>
    <w:rsid w:val="000939A2"/>
    <w:rsid w:val="00094B02"/>
    <w:rsid w:val="00094E79"/>
    <w:rsid w:val="00095316"/>
    <w:rsid w:val="0009581D"/>
    <w:rsid w:val="00095F22"/>
    <w:rsid w:val="00096567"/>
    <w:rsid w:val="000966F4"/>
    <w:rsid w:val="00097A99"/>
    <w:rsid w:val="00097B95"/>
    <w:rsid w:val="00097E9B"/>
    <w:rsid w:val="000A017B"/>
    <w:rsid w:val="000A1123"/>
    <w:rsid w:val="000A1412"/>
    <w:rsid w:val="000A2A91"/>
    <w:rsid w:val="000A5629"/>
    <w:rsid w:val="000A6B7E"/>
    <w:rsid w:val="000A77E0"/>
    <w:rsid w:val="000A7A4B"/>
    <w:rsid w:val="000A7BE3"/>
    <w:rsid w:val="000B088A"/>
    <w:rsid w:val="000B1E5F"/>
    <w:rsid w:val="000B2894"/>
    <w:rsid w:val="000B4079"/>
    <w:rsid w:val="000B417B"/>
    <w:rsid w:val="000B5B63"/>
    <w:rsid w:val="000B6C85"/>
    <w:rsid w:val="000B6F4A"/>
    <w:rsid w:val="000B733F"/>
    <w:rsid w:val="000B7A53"/>
    <w:rsid w:val="000C2708"/>
    <w:rsid w:val="000C2E7A"/>
    <w:rsid w:val="000C489E"/>
    <w:rsid w:val="000C4DB0"/>
    <w:rsid w:val="000C6D8E"/>
    <w:rsid w:val="000D082E"/>
    <w:rsid w:val="000D08A1"/>
    <w:rsid w:val="000D0F8B"/>
    <w:rsid w:val="000D1D08"/>
    <w:rsid w:val="000D2114"/>
    <w:rsid w:val="000D4331"/>
    <w:rsid w:val="000D596D"/>
    <w:rsid w:val="000D59A6"/>
    <w:rsid w:val="000D62E5"/>
    <w:rsid w:val="000D6528"/>
    <w:rsid w:val="000D6D35"/>
    <w:rsid w:val="000D7D1F"/>
    <w:rsid w:val="000E1120"/>
    <w:rsid w:val="000E1694"/>
    <w:rsid w:val="000E18C4"/>
    <w:rsid w:val="000E1DC9"/>
    <w:rsid w:val="000E1E32"/>
    <w:rsid w:val="000E25E7"/>
    <w:rsid w:val="000E3931"/>
    <w:rsid w:val="000E3FD8"/>
    <w:rsid w:val="000E615F"/>
    <w:rsid w:val="000F14CA"/>
    <w:rsid w:val="000F1E94"/>
    <w:rsid w:val="000F2B58"/>
    <w:rsid w:val="000F2CC2"/>
    <w:rsid w:val="000F31DF"/>
    <w:rsid w:val="000F35DB"/>
    <w:rsid w:val="000F4F54"/>
    <w:rsid w:val="000F73D4"/>
    <w:rsid w:val="00100205"/>
    <w:rsid w:val="0010043E"/>
    <w:rsid w:val="00100996"/>
    <w:rsid w:val="00101F35"/>
    <w:rsid w:val="0010253F"/>
    <w:rsid w:val="00103553"/>
    <w:rsid w:val="0010457C"/>
    <w:rsid w:val="00105097"/>
    <w:rsid w:val="001064DC"/>
    <w:rsid w:val="001079D3"/>
    <w:rsid w:val="00110419"/>
    <w:rsid w:val="00110ED4"/>
    <w:rsid w:val="00111803"/>
    <w:rsid w:val="00111C6E"/>
    <w:rsid w:val="00112558"/>
    <w:rsid w:val="00112656"/>
    <w:rsid w:val="00112919"/>
    <w:rsid w:val="00114394"/>
    <w:rsid w:val="00114C0A"/>
    <w:rsid w:val="0011552C"/>
    <w:rsid w:val="00115B97"/>
    <w:rsid w:val="001167A4"/>
    <w:rsid w:val="001175FF"/>
    <w:rsid w:val="0011763A"/>
    <w:rsid w:val="0012105A"/>
    <w:rsid w:val="00121A9D"/>
    <w:rsid w:val="001223E3"/>
    <w:rsid w:val="0012247F"/>
    <w:rsid w:val="00122A5F"/>
    <w:rsid w:val="001236B1"/>
    <w:rsid w:val="00124F0B"/>
    <w:rsid w:val="00125215"/>
    <w:rsid w:val="001255CD"/>
    <w:rsid w:val="00127023"/>
    <w:rsid w:val="00127629"/>
    <w:rsid w:val="0013004D"/>
    <w:rsid w:val="001302FC"/>
    <w:rsid w:val="00133B38"/>
    <w:rsid w:val="00133B99"/>
    <w:rsid w:val="00134D93"/>
    <w:rsid w:val="00135438"/>
    <w:rsid w:val="00136234"/>
    <w:rsid w:val="0013685C"/>
    <w:rsid w:val="001370F3"/>
    <w:rsid w:val="001377C3"/>
    <w:rsid w:val="00137A11"/>
    <w:rsid w:val="001406C2"/>
    <w:rsid w:val="00141045"/>
    <w:rsid w:val="001410A2"/>
    <w:rsid w:val="001413DB"/>
    <w:rsid w:val="00142621"/>
    <w:rsid w:val="001429F0"/>
    <w:rsid w:val="00142CB8"/>
    <w:rsid w:val="00145381"/>
    <w:rsid w:val="00145BEE"/>
    <w:rsid w:val="00145F90"/>
    <w:rsid w:val="00146109"/>
    <w:rsid w:val="0014723A"/>
    <w:rsid w:val="00147C34"/>
    <w:rsid w:val="001504D7"/>
    <w:rsid w:val="0015187B"/>
    <w:rsid w:val="00151B5A"/>
    <w:rsid w:val="001523CE"/>
    <w:rsid w:val="00153428"/>
    <w:rsid w:val="00153907"/>
    <w:rsid w:val="0015471B"/>
    <w:rsid w:val="00154AEB"/>
    <w:rsid w:val="00154C6E"/>
    <w:rsid w:val="001563B3"/>
    <w:rsid w:val="001563D5"/>
    <w:rsid w:val="00156B43"/>
    <w:rsid w:val="00156BFC"/>
    <w:rsid w:val="001603DE"/>
    <w:rsid w:val="00160B4D"/>
    <w:rsid w:val="00163CB0"/>
    <w:rsid w:val="001646F5"/>
    <w:rsid w:val="00164818"/>
    <w:rsid w:val="00165035"/>
    <w:rsid w:val="001675A2"/>
    <w:rsid w:val="001675BD"/>
    <w:rsid w:val="00172A08"/>
    <w:rsid w:val="0017355E"/>
    <w:rsid w:val="001738FA"/>
    <w:rsid w:val="00174D2E"/>
    <w:rsid w:val="001758A6"/>
    <w:rsid w:val="001759B7"/>
    <w:rsid w:val="00176F31"/>
    <w:rsid w:val="00177AF0"/>
    <w:rsid w:val="00177D41"/>
    <w:rsid w:val="00181200"/>
    <w:rsid w:val="00184E3D"/>
    <w:rsid w:val="0018578A"/>
    <w:rsid w:val="00186670"/>
    <w:rsid w:val="00187BE6"/>
    <w:rsid w:val="00187EEE"/>
    <w:rsid w:val="00190AF2"/>
    <w:rsid w:val="00193785"/>
    <w:rsid w:val="001938E4"/>
    <w:rsid w:val="00193AE5"/>
    <w:rsid w:val="00195247"/>
    <w:rsid w:val="001959B6"/>
    <w:rsid w:val="00195CD0"/>
    <w:rsid w:val="00196461"/>
    <w:rsid w:val="00196BEB"/>
    <w:rsid w:val="001A0BB9"/>
    <w:rsid w:val="001A0F36"/>
    <w:rsid w:val="001A1401"/>
    <w:rsid w:val="001A79F7"/>
    <w:rsid w:val="001B092E"/>
    <w:rsid w:val="001B09E0"/>
    <w:rsid w:val="001B2282"/>
    <w:rsid w:val="001B302D"/>
    <w:rsid w:val="001B37B0"/>
    <w:rsid w:val="001B5E88"/>
    <w:rsid w:val="001B6FB9"/>
    <w:rsid w:val="001B7FEC"/>
    <w:rsid w:val="001C0A0A"/>
    <w:rsid w:val="001C0E52"/>
    <w:rsid w:val="001C10AF"/>
    <w:rsid w:val="001C1E2E"/>
    <w:rsid w:val="001C265B"/>
    <w:rsid w:val="001C2711"/>
    <w:rsid w:val="001C3751"/>
    <w:rsid w:val="001C44F5"/>
    <w:rsid w:val="001C4B2E"/>
    <w:rsid w:val="001C5074"/>
    <w:rsid w:val="001C53C5"/>
    <w:rsid w:val="001C6807"/>
    <w:rsid w:val="001C72C8"/>
    <w:rsid w:val="001D0D63"/>
    <w:rsid w:val="001D1E6B"/>
    <w:rsid w:val="001D4749"/>
    <w:rsid w:val="001D4AA5"/>
    <w:rsid w:val="001D5628"/>
    <w:rsid w:val="001D7A82"/>
    <w:rsid w:val="001E0F6E"/>
    <w:rsid w:val="001E1B5D"/>
    <w:rsid w:val="001E2513"/>
    <w:rsid w:val="001E3372"/>
    <w:rsid w:val="001E3C5A"/>
    <w:rsid w:val="001E4061"/>
    <w:rsid w:val="001E5B83"/>
    <w:rsid w:val="001E60BB"/>
    <w:rsid w:val="001E647F"/>
    <w:rsid w:val="001E7363"/>
    <w:rsid w:val="001E7BE6"/>
    <w:rsid w:val="001F0191"/>
    <w:rsid w:val="001F10E6"/>
    <w:rsid w:val="001F174F"/>
    <w:rsid w:val="001F17C2"/>
    <w:rsid w:val="001F27A8"/>
    <w:rsid w:val="001F328C"/>
    <w:rsid w:val="001F45B6"/>
    <w:rsid w:val="001F5389"/>
    <w:rsid w:val="001F5430"/>
    <w:rsid w:val="001F6A7E"/>
    <w:rsid w:val="00201014"/>
    <w:rsid w:val="002013F9"/>
    <w:rsid w:val="00202ABB"/>
    <w:rsid w:val="00203230"/>
    <w:rsid w:val="002035F1"/>
    <w:rsid w:val="0020378B"/>
    <w:rsid w:val="00203A12"/>
    <w:rsid w:val="00203EA9"/>
    <w:rsid w:val="002057D7"/>
    <w:rsid w:val="00205A38"/>
    <w:rsid w:val="00213535"/>
    <w:rsid w:val="00213780"/>
    <w:rsid w:val="00213E10"/>
    <w:rsid w:val="002145ED"/>
    <w:rsid w:val="002148A7"/>
    <w:rsid w:val="0021497A"/>
    <w:rsid w:val="002167A3"/>
    <w:rsid w:val="00216DE8"/>
    <w:rsid w:val="00217476"/>
    <w:rsid w:val="00220E1F"/>
    <w:rsid w:val="00221631"/>
    <w:rsid w:val="002216A7"/>
    <w:rsid w:val="00222690"/>
    <w:rsid w:val="00222BDD"/>
    <w:rsid w:val="00223114"/>
    <w:rsid w:val="00223CDA"/>
    <w:rsid w:val="00223D95"/>
    <w:rsid w:val="002245EB"/>
    <w:rsid w:val="0022518C"/>
    <w:rsid w:val="002256C6"/>
    <w:rsid w:val="00225A4C"/>
    <w:rsid w:val="00226C16"/>
    <w:rsid w:val="002306F6"/>
    <w:rsid w:val="002309C8"/>
    <w:rsid w:val="00232476"/>
    <w:rsid w:val="00233262"/>
    <w:rsid w:val="0023396F"/>
    <w:rsid w:val="00233EBC"/>
    <w:rsid w:val="002347B0"/>
    <w:rsid w:val="00235C5C"/>
    <w:rsid w:val="0023705D"/>
    <w:rsid w:val="00237B97"/>
    <w:rsid w:val="00240B45"/>
    <w:rsid w:val="00240BAA"/>
    <w:rsid w:val="00241705"/>
    <w:rsid w:val="00243678"/>
    <w:rsid w:val="002446E6"/>
    <w:rsid w:val="00245640"/>
    <w:rsid w:val="002474F9"/>
    <w:rsid w:val="00247927"/>
    <w:rsid w:val="00250FE4"/>
    <w:rsid w:val="00255858"/>
    <w:rsid w:val="00255AFD"/>
    <w:rsid w:val="0025632C"/>
    <w:rsid w:val="00256CBF"/>
    <w:rsid w:val="00256FBB"/>
    <w:rsid w:val="002574BE"/>
    <w:rsid w:val="00257A7B"/>
    <w:rsid w:val="00257B15"/>
    <w:rsid w:val="00257B79"/>
    <w:rsid w:val="00260581"/>
    <w:rsid w:val="00260AB6"/>
    <w:rsid w:val="00260B6B"/>
    <w:rsid w:val="00260EB4"/>
    <w:rsid w:val="00260F22"/>
    <w:rsid w:val="0026162A"/>
    <w:rsid w:val="002628E3"/>
    <w:rsid w:val="00263803"/>
    <w:rsid w:val="002643C0"/>
    <w:rsid w:val="0026557E"/>
    <w:rsid w:val="0026572E"/>
    <w:rsid w:val="00265F74"/>
    <w:rsid w:val="0026631A"/>
    <w:rsid w:val="002679B9"/>
    <w:rsid w:val="002704C6"/>
    <w:rsid w:val="0027104A"/>
    <w:rsid w:val="00272685"/>
    <w:rsid w:val="00272C6B"/>
    <w:rsid w:val="00272D70"/>
    <w:rsid w:val="00272FA4"/>
    <w:rsid w:val="0027321F"/>
    <w:rsid w:val="002756AF"/>
    <w:rsid w:val="00277E2B"/>
    <w:rsid w:val="002802D2"/>
    <w:rsid w:val="002803E8"/>
    <w:rsid w:val="00280D44"/>
    <w:rsid w:val="00282FE0"/>
    <w:rsid w:val="0028424D"/>
    <w:rsid w:val="00285185"/>
    <w:rsid w:val="00285D13"/>
    <w:rsid w:val="00285FCF"/>
    <w:rsid w:val="00286954"/>
    <w:rsid w:val="002900C4"/>
    <w:rsid w:val="002904A5"/>
    <w:rsid w:val="002911F4"/>
    <w:rsid w:val="00291248"/>
    <w:rsid w:val="0029172B"/>
    <w:rsid w:val="002928FD"/>
    <w:rsid w:val="00292A70"/>
    <w:rsid w:val="0029342A"/>
    <w:rsid w:val="0029361E"/>
    <w:rsid w:val="00293BA6"/>
    <w:rsid w:val="0029670A"/>
    <w:rsid w:val="00296D64"/>
    <w:rsid w:val="00296E0D"/>
    <w:rsid w:val="002A03C6"/>
    <w:rsid w:val="002A0652"/>
    <w:rsid w:val="002A1075"/>
    <w:rsid w:val="002A1A8D"/>
    <w:rsid w:val="002A278F"/>
    <w:rsid w:val="002A36A7"/>
    <w:rsid w:val="002A4C17"/>
    <w:rsid w:val="002A4D7D"/>
    <w:rsid w:val="002A5079"/>
    <w:rsid w:val="002A582F"/>
    <w:rsid w:val="002A59E4"/>
    <w:rsid w:val="002B039A"/>
    <w:rsid w:val="002B104B"/>
    <w:rsid w:val="002B196F"/>
    <w:rsid w:val="002B3F80"/>
    <w:rsid w:val="002B44C3"/>
    <w:rsid w:val="002B4B85"/>
    <w:rsid w:val="002B5E40"/>
    <w:rsid w:val="002C0E7A"/>
    <w:rsid w:val="002C0F72"/>
    <w:rsid w:val="002C1473"/>
    <w:rsid w:val="002C14E7"/>
    <w:rsid w:val="002C1648"/>
    <w:rsid w:val="002C18DD"/>
    <w:rsid w:val="002C321C"/>
    <w:rsid w:val="002C36B2"/>
    <w:rsid w:val="002C3F25"/>
    <w:rsid w:val="002C4151"/>
    <w:rsid w:val="002C4298"/>
    <w:rsid w:val="002C4553"/>
    <w:rsid w:val="002C5BC0"/>
    <w:rsid w:val="002C5C21"/>
    <w:rsid w:val="002C62D9"/>
    <w:rsid w:val="002C7BB1"/>
    <w:rsid w:val="002D04BF"/>
    <w:rsid w:val="002D0BCA"/>
    <w:rsid w:val="002D15A0"/>
    <w:rsid w:val="002D21F0"/>
    <w:rsid w:val="002D26D2"/>
    <w:rsid w:val="002D3617"/>
    <w:rsid w:val="002D3C78"/>
    <w:rsid w:val="002D40D3"/>
    <w:rsid w:val="002D4C57"/>
    <w:rsid w:val="002D651F"/>
    <w:rsid w:val="002D65E5"/>
    <w:rsid w:val="002D6B7D"/>
    <w:rsid w:val="002D6BCD"/>
    <w:rsid w:val="002D7396"/>
    <w:rsid w:val="002D77A2"/>
    <w:rsid w:val="002D7B45"/>
    <w:rsid w:val="002E0752"/>
    <w:rsid w:val="002E1D64"/>
    <w:rsid w:val="002E2050"/>
    <w:rsid w:val="002E3CBD"/>
    <w:rsid w:val="002E3F73"/>
    <w:rsid w:val="002E55EE"/>
    <w:rsid w:val="002E5E48"/>
    <w:rsid w:val="002E60DB"/>
    <w:rsid w:val="002E69B3"/>
    <w:rsid w:val="002E6A13"/>
    <w:rsid w:val="002E6E52"/>
    <w:rsid w:val="002E7031"/>
    <w:rsid w:val="002E7155"/>
    <w:rsid w:val="002E7ED3"/>
    <w:rsid w:val="002F0546"/>
    <w:rsid w:val="002F060F"/>
    <w:rsid w:val="002F1BB6"/>
    <w:rsid w:val="002F4B9C"/>
    <w:rsid w:val="002F4F12"/>
    <w:rsid w:val="002F5AB4"/>
    <w:rsid w:val="003003E8"/>
    <w:rsid w:val="0030069B"/>
    <w:rsid w:val="00300775"/>
    <w:rsid w:val="00300CBD"/>
    <w:rsid w:val="00300DA1"/>
    <w:rsid w:val="003010FE"/>
    <w:rsid w:val="003018BB"/>
    <w:rsid w:val="00303274"/>
    <w:rsid w:val="00303BB1"/>
    <w:rsid w:val="00304EDC"/>
    <w:rsid w:val="00307F8F"/>
    <w:rsid w:val="00307FD9"/>
    <w:rsid w:val="00310165"/>
    <w:rsid w:val="00310D3F"/>
    <w:rsid w:val="00311C0D"/>
    <w:rsid w:val="003124C9"/>
    <w:rsid w:val="003127F8"/>
    <w:rsid w:val="00312C1F"/>
    <w:rsid w:val="003132CE"/>
    <w:rsid w:val="00313C1D"/>
    <w:rsid w:val="0031413F"/>
    <w:rsid w:val="00314B94"/>
    <w:rsid w:val="00315109"/>
    <w:rsid w:val="003159A3"/>
    <w:rsid w:val="003160A1"/>
    <w:rsid w:val="0031668D"/>
    <w:rsid w:val="00316DC6"/>
    <w:rsid w:val="003171A1"/>
    <w:rsid w:val="00320FFF"/>
    <w:rsid w:val="00323921"/>
    <w:rsid w:val="00323F44"/>
    <w:rsid w:val="003241A0"/>
    <w:rsid w:val="00324A1E"/>
    <w:rsid w:val="00325A45"/>
    <w:rsid w:val="00325C7E"/>
    <w:rsid w:val="003272D2"/>
    <w:rsid w:val="00330127"/>
    <w:rsid w:val="003314F5"/>
    <w:rsid w:val="00331D23"/>
    <w:rsid w:val="00333712"/>
    <w:rsid w:val="00335064"/>
    <w:rsid w:val="0033518C"/>
    <w:rsid w:val="003354D7"/>
    <w:rsid w:val="003358E6"/>
    <w:rsid w:val="00335BF4"/>
    <w:rsid w:val="00337E2E"/>
    <w:rsid w:val="00340CE2"/>
    <w:rsid w:val="00343667"/>
    <w:rsid w:val="00344F4F"/>
    <w:rsid w:val="00345E6A"/>
    <w:rsid w:val="00346D9A"/>
    <w:rsid w:val="00346FC3"/>
    <w:rsid w:val="0035091D"/>
    <w:rsid w:val="003529F7"/>
    <w:rsid w:val="00352D7C"/>
    <w:rsid w:val="00354DEE"/>
    <w:rsid w:val="003551B1"/>
    <w:rsid w:val="00355436"/>
    <w:rsid w:val="00356BEB"/>
    <w:rsid w:val="00357951"/>
    <w:rsid w:val="00357D6E"/>
    <w:rsid w:val="003604B4"/>
    <w:rsid w:val="00361016"/>
    <w:rsid w:val="00363AFF"/>
    <w:rsid w:val="0036755B"/>
    <w:rsid w:val="003708A2"/>
    <w:rsid w:val="00370A4C"/>
    <w:rsid w:val="00370E55"/>
    <w:rsid w:val="00373B40"/>
    <w:rsid w:val="00374C13"/>
    <w:rsid w:val="00375002"/>
    <w:rsid w:val="00375257"/>
    <w:rsid w:val="003754E5"/>
    <w:rsid w:val="00375A56"/>
    <w:rsid w:val="00376083"/>
    <w:rsid w:val="003766FA"/>
    <w:rsid w:val="00376FF6"/>
    <w:rsid w:val="0038081B"/>
    <w:rsid w:val="00381D6F"/>
    <w:rsid w:val="00381FD1"/>
    <w:rsid w:val="00382950"/>
    <w:rsid w:val="00382C4B"/>
    <w:rsid w:val="00382DE7"/>
    <w:rsid w:val="003851BE"/>
    <w:rsid w:val="00385ED9"/>
    <w:rsid w:val="00386482"/>
    <w:rsid w:val="003910D2"/>
    <w:rsid w:val="00391BEB"/>
    <w:rsid w:val="00392688"/>
    <w:rsid w:val="003929C0"/>
    <w:rsid w:val="00392EAC"/>
    <w:rsid w:val="00393AAD"/>
    <w:rsid w:val="0039452A"/>
    <w:rsid w:val="00394FA9"/>
    <w:rsid w:val="003951E8"/>
    <w:rsid w:val="00395738"/>
    <w:rsid w:val="00395C39"/>
    <w:rsid w:val="003960C5"/>
    <w:rsid w:val="0039665B"/>
    <w:rsid w:val="00397397"/>
    <w:rsid w:val="00397728"/>
    <w:rsid w:val="00397ECD"/>
    <w:rsid w:val="003A01B7"/>
    <w:rsid w:val="003A5EE1"/>
    <w:rsid w:val="003B06F6"/>
    <w:rsid w:val="003B0BD9"/>
    <w:rsid w:val="003B2EAE"/>
    <w:rsid w:val="003B39B9"/>
    <w:rsid w:val="003B5B66"/>
    <w:rsid w:val="003B75E5"/>
    <w:rsid w:val="003B79AC"/>
    <w:rsid w:val="003C277F"/>
    <w:rsid w:val="003C27C4"/>
    <w:rsid w:val="003C2B5D"/>
    <w:rsid w:val="003C3015"/>
    <w:rsid w:val="003C3024"/>
    <w:rsid w:val="003C34B2"/>
    <w:rsid w:val="003C3964"/>
    <w:rsid w:val="003C6AED"/>
    <w:rsid w:val="003C6E11"/>
    <w:rsid w:val="003D02F0"/>
    <w:rsid w:val="003D0FA1"/>
    <w:rsid w:val="003D1E8D"/>
    <w:rsid w:val="003D2525"/>
    <w:rsid w:val="003D2A47"/>
    <w:rsid w:val="003D3488"/>
    <w:rsid w:val="003D36C7"/>
    <w:rsid w:val="003D5A93"/>
    <w:rsid w:val="003D5B35"/>
    <w:rsid w:val="003D61A9"/>
    <w:rsid w:val="003D7975"/>
    <w:rsid w:val="003E04BE"/>
    <w:rsid w:val="003E1508"/>
    <w:rsid w:val="003E1EEF"/>
    <w:rsid w:val="003E48F0"/>
    <w:rsid w:val="003E502C"/>
    <w:rsid w:val="003E6159"/>
    <w:rsid w:val="003E6658"/>
    <w:rsid w:val="003E7BFB"/>
    <w:rsid w:val="003E7E23"/>
    <w:rsid w:val="003F0558"/>
    <w:rsid w:val="003F0AB0"/>
    <w:rsid w:val="003F24C3"/>
    <w:rsid w:val="003F2E85"/>
    <w:rsid w:val="003F4146"/>
    <w:rsid w:val="003F4CB0"/>
    <w:rsid w:val="003F6091"/>
    <w:rsid w:val="003F7286"/>
    <w:rsid w:val="003F77D3"/>
    <w:rsid w:val="003F7E10"/>
    <w:rsid w:val="00400828"/>
    <w:rsid w:val="00400CA6"/>
    <w:rsid w:val="00401A8F"/>
    <w:rsid w:val="004044DA"/>
    <w:rsid w:val="0040514E"/>
    <w:rsid w:val="00405FBA"/>
    <w:rsid w:val="00407704"/>
    <w:rsid w:val="00407B02"/>
    <w:rsid w:val="00410F55"/>
    <w:rsid w:val="004110E0"/>
    <w:rsid w:val="00413939"/>
    <w:rsid w:val="00413D7C"/>
    <w:rsid w:val="004143D2"/>
    <w:rsid w:val="00416FCC"/>
    <w:rsid w:val="00417EBA"/>
    <w:rsid w:val="00421631"/>
    <w:rsid w:val="004225F2"/>
    <w:rsid w:val="00423480"/>
    <w:rsid w:val="00423897"/>
    <w:rsid w:val="00423A91"/>
    <w:rsid w:val="00423FA6"/>
    <w:rsid w:val="00424D6C"/>
    <w:rsid w:val="0042560D"/>
    <w:rsid w:val="00426C93"/>
    <w:rsid w:val="00430A05"/>
    <w:rsid w:val="00430CBB"/>
    <w:rsid w:val="0043145B"/>
    <w:rsid w:val="004328B7"/>
    <w:rsid w:val="00432D1D"/>
    <w:rsid w:val="00433306"/>
    <w:rsid w:val="00433F43"/>
    <w:rsid w:val="0043485C"/>
    <w:rsid w:val="0043489D"/>
    <w:rsid w:val="00435292"/>
    <w:rsid w:val="00435905"/>
    <w:rsid w:val="00440982"/>
    <w:rsid w:val="00440A73"/>
    <w:rsid w:val="00440AFC"/>
    <w:rsid w:val="0044149D"/>
    <w:rsid w:val="00441BF9"/>
    <w:rsid w:val="00442372"/>
    <w:rsid w:val="0044300C"/>
    <w:rsid w:val="00443D1C"/>
    <w:rsid w:val="004446BE"/>
    <w:rsid w:val="00444889"/>
    <w:rsid w:val="00445F20"/>
    <w:rsid w:val="00446ED7"/>
    <w:rsid w:val="00451A32"/>
    <w:rsid w:val="004538B8"/>
    <w:rsid w:val="00453F65"/>
    <w:rsid w:val="004542C9"/>
    <w:rsid w:val="00455FD7"/>
    <w:rsid w:val="0045777C"/>
    <w:rsid w:val="00457E0B"/>
    <w:rsid w:val="00460A3D"/>
    <w:rsid w:val="00461165"/>
    <w:rsid w:val="00461627"/>
    <w:rsid w:val="00464CDA"/>
    <w:rsid w:val="00465933"/>
    <w:rsid w:val="0046627B"/>
    <w:rsid w:val="00466967"/>
    <w:rsid w:val="00467598"/>
    <w:rsid w:val="00470907"/>
    <w:rsid w:val="00471302"/>
    <w:rsid w:val="00472067"/>
    <w:rsid w:val="00473156"/>
    <w:rsid w:val="00474211"/>
    <w:rsid w:val="0047501A"/>
    <w:rsid w:val="00475344"/>
    <w:rsid w:val="00476CAD"/>
    <w:rsid w:val="0048013B"/>
    <w:rsid w:val="00481B31"/>
    <w:rsid w:val="00481E64"/>
    <w:rsid w:val="00481FB5"/>
    <w:rsid w:val="00482145"/>
    <w:rsid w:val="00482480"/>
    <w:rsid w:val="004838EC"/>
    <w:rsid w:val="00487574"/>
    <w:rsid w:val="00491524"/>
    <w:rsid w:val="00492B96"/>
    <w:rsid w:val="0049483A"/>
    <w:rsid w:val="00494A4C"/>
    <w:rsid w:val="00494B67"/>
    <w:rsid w:val="0049507C"/>
    <w:rsid w:val="00495513"/>
    <w:rsid w:val="00495B25"/>
    <w:rsid w:val="0049637F"/>
    <w:rsid w:val="004968FC"/>
    <w:rsid w:val="00496D85"/>
    <w:rsid w:val="004973DA"/>
    <w:rsid w:val="00497EA9"/>
    <w:rsid w:val="004A11F1"/>
    <w:rsid w:val="004A2322"/>
    <w:rsid w:val="004A2601"/>
    <w:rsid w:val="004A4A63"/>
    <w:rsid w:val="004A554C"/>
    <w:rsid w:val="004A5584"/>
    <w:rsid w:val="004B00F0"/>
    <w:rsid w:val="004B0608"/>
    <w:rsid w:val="004B0FA3"/>
    <w:rsid w:val="004B1965"/>
    <w:rsid w:val="004B2106"/>
    <w:rsid w:val="004B2940"/>
    <w:rsid w:val="004B2D68"/>
    <w:rsid w:val="004B301F"/>
    <w:rsid w:val="004B3A95"/>
    <w:rsid w:val="004B478D"/>
    <w:rsid w:val="004B49F2"/>
    <w:rsid w:val="004B55F5"/>
    <w:rsid w:val="004B646F"/>
    <w:rsid w:val="004B6651"/>
    <w:rsid w:val="004B6B60"/>
    <w:rsid w:val="004B7419"/>
    <w:rsid w:val="004B7934"/>
    <w:rsid w:val="004B7CA7"/>
    <w:rsid w:val="004C2454"/>
    <w:rsid w:val="004C4BF5"/>
    <w:rsid w:val="004C50B7"/>
    <w:rsid w:val="004C5196"/>
    <w:rsid w:val="004C64D3"/>
    <w:rsid w:val="004C725C"/>
    <w:rsid w:val="004C72FA"/>
    <w:rsid w:val="004C73B1"/>
    <w:rsid w:val="004C74F9"/>
    <w:rsid w:val="004C797B"/>
    <w:rsid w:val="004C7D12"/>
    <w:rsid w:val="004D17CB"/>
    <w:rsid w:val="004D1B58"/>
    <w:rsid w:val="004D3497"/>
    <w:rsid w:val="004D3567"/>
    <w:rsid w:val="004D6287"/>
    <w:rsid w:val="004D7CB5"/>
    <w:rsid w:val="004D7CCC"/>
    <w:rsid w:val="004E09B7"/>
    <w:rsid w:val="004E1381"/>
    <w:rsid w:val="004E39C3"/>
    <w:rsid w:val="004E3E43"/>
    <w:rsid w:val="004E423E"/>
    <w:rsid w:val="004E44C2"/>
    <w:rsid w:val="004E4538"/>
    <w:rsid w:val="004E48E6"/>
    <w:rsid w:val="004E4A65"/>
    <w:rsid w:val="004E577C"/>
    <w:rsid w:val="004E5C8D"/>
    <w:rsid w:val="004E7256"/>
    <w:rsid w:val="004E78A4"/>
    <w:rsid w:val="004F1361"/>
    <w:rsid w:val="004F21BC"/>
    <w:rsid w:val="004F28CA"/>
    <w:rsid w:val="004F292A"/>
    <w:rsid w:val="004F395F"/>
    <w:rsid w:val="004F4668"/>
    <w:rsid w:val="004F57ED"/>
    <w:rsid w:val="004F6E8B"/>
    <w:rsid w:val="004F74DE"/>
    <w:rsid w:val="004F7910"/>
    <w:rsid w:val="00500781"/>
    <w:rsid w:val="005009C8"/>
    <w:rsid w:val="0050175F"/>
    <w:rsid w:val="00501BF9"/>
    <w:rsid w:val="00501D87"/>
    <w:rsid w:val="00502015"/>
    <w:rsid w:val="00502894"/>
    <w:rsid w:val="00504ECE"/>
    <w:rsid w:val="0050542B"/>
    <w:rsid w:val="00505625"/>
    <w:rsid w:val="00506137"/>
    <w:rsid w:val="00506445"/>
    <w:rsid w:val="00506DAC"/>
    <w:rsid w:val="005072C4"/>
    <w:rsid w:val="005073EF"/>
    <w:rsid w:val="00510993"/>
    <w:rsid w:val="00512078"/>
    <w:rsid w:val="00512475"/>
    <w:rsid w:val="00513EA0"/>
    <w:rsid w:val="00514082"/>
    <w:rsid w:val="00514EA8"/>
    <w:rsid w:val="005162A0"/>
    <w:rsid w:val="0051716E"/>
    <w:rsid w:val="00517816"/>
    <w:rsid w:val="00517B7E"/>
    <w:rsid w:val="005207FE"/>
    <w:rsid w:val="00521081"/>
    <w:rsid w:val="00521BC0"/>
    <w:rsid w:val="00522910"/>
    <w:rsid w:val="00525762"/>
    <w:rsid w:val="00526751"/>
    <w:rsid w:val="00527C02"/>
    <w:rsid w:val="00531A67"/>
    <w:rsid w:val="0053232C"/>
    <w:rsid w:val="0053409A"/>
    <w:rsid w:val="00534C63"/>
    <w:rsid w:val="005359FE"/>
    <w:rsid w:val="0053678B"/>
    <w:rsid w:val="00537478"/>
    <w:rsid w:val="00540CFA"/>
    <w:rsid w:val="00540DFC"/>
    <w:rsid w:val="00541798"/>
    <w:rsid w:val="00541EA2"/>
    <w:rsid w:val="00543194"/>
    <w:rsid w:val="005444DA"/>
    <w:rsid w:val="00545588"/>
    <w:rsid w:val="00545813"/>
    <w:rsid w:val="00545EBE"/>
    <w:rsid w:val="005466C7"/>
    <w:rsid w:val="00546892"/>
    <w:rsid w:val="00547B55"/>
    <w:rsid w:val="00547B9E"/>
    <w:rsid w:val="005507EC"/>
    <w:rsid w:val="005510A4"/>
    <w:rsid w:val="005527E4"/>
    <w:rsid w:val="00555AE5"/>
    <w:rsid w:val="0055649B"/>
    <w:rsid w:val="00556B43"/>
    <w:rsid w:val="00561507"/>
    <w:rsid w:val="00564C2E"/>
    <w:rsid w:val="00564D6A"/>
    <w:rsid w:val="00565002"/>
    <w:rsid w:val="00565241"/>
    <w:rsid w:val="005653BF"/>
    <w:rsid w:val="0056625A"/>
    <w:rsid w:val="00571B71"/>
    <w:rsid w:val="00572CEA"/>
    <w:rsid w:val="00573401"/>
    <w:rsid w:val="005738C6"/>
    <w:rsid w:val="00573AC1"/>
    <w:rsid w:val="00573B3E"/>
    <w:rsid w:val="00573D68"/>
    <w:rsid w:val="00574E48"/>
    <w:rsid w:val="00575381"/>
    <w:rsid w:val="00575702"/>
    <w:rsid w:val="00577152"/>
    <w:rsid w:val="00577237"/>
    <w:rsid w:val="00577CA6"/>
    <w:rsid w:val="0058021C"/>
    <w:rsid w:val="0058154A"/>
    <w:rsid w:val="00582C20"/>
    <w:rsid w:val="00583F0A"/>
    <w:rsid w:val="00585EC1"/>
    <w:rsid w:val="00586089"/>
    <w:rsid w:val="0058788B"/>
    <w:rsid w:val="0058795F"/>
    <w:rsid w:val="0059099F"/>
    <w:rsid w:val="00591136"/>
    <w:rsid w:val="00591631"/>
    <w:rsid w:val="0059306B"/>
    <w:rsid w:val="00594440"/>
    <w:rsid w:val="00594802"/>
    <w:rsid w:val="00595516"/>
    <w:rsid w:val="0059599A"/>
    <w:rsid w:val="00596F35"/>
    <w:rsid w:val="005A0D40"/>
    <w:rsid w:val="005A1627"/>
    <w:rsid w:val="005A173C"/>
    <w:rsid w:val="005A2B77"/>
    <w:rsid w:val="005A3AEF"/>
    <w:rsid w:val="005A4EAE"/>
    <w:rsid w:val="005A728E"/>
    <w:rsid w:val="005A7463"/>
    <w:rsid w:val="005B24CB"/>
    <w:rsid w:val="005B3FDD"/>
    <w:rsid w:val="005B4B6A"/>
    <w:rsid w:val="005B6D7F"/>
    <w:rsid w:val="005B70AD"/>
    <w:rsid w:val="005B79F3"/>
    <w:rsid w:val="005B7DB9"/>
    <w:rsid w:val="005C09EF"/>
    <w:rsid w:val="005C0D4B"/>
    <w:rsid w:val="005C29DF"/>
    <w:rsid w:val="005C2B2C"/>
    <w:rsid w:val="005C3E10"/>
    <w:rsid w:val="005C3E50"/>
    <w:rsid w:val="005C798E"/>
    <w:rsid w:val="005D00E5"/>
    <w:rsid w:val="005D0729"/>
    <w:rsid w:val="005D09BA"/>
    <w:rsid w:val="005D1EB5"/>
    <w:rsid w:val="005D25BE"/>
    <w:rsid w:val="005D26A1"/>
    <w:rsid w:val="005D3273"/>
    <w:rsid w:val="005D45A7"/>
    <w:rsid w:val="005D4928"/>
    <w:rsid w:val="005D54AE"/>
    <w:rsid w:val="005D7164"/>
    <w:rsid w:val="005D749A"/>
    <w:rsid w:val="005D7CDD"/>
    <w:rsid w:val="005E01AD"/>
    <w:rsid w:val="005E0E57"/>
    <w:rsid w:val="005E1590"/>
    <w:rsid w:val="005E18F2"/>
    <w:rsid w:val="005E1DC4"/>
    <w:rsid w:val="005E45B3"/>
    <w:rsid w:val="005E4A6E"/>
    <w:rsid w:val="005E5D1F"/>
    <w:rsid w:val="005E7DAF"/>
    <w:rsid w:val="005F0CA5"/>
    <w:rsid w:val="005F10CD"/>
    <w:rsid w:val="005F16A2"/>
    <w:rsid w:val="005F1B68"/>
    <w:rsid w:val="005F1F45"/>
    <w:rsid w:val="005F2A1C"/>
    <w:rsid w:val="005F38C6"/>
    <w:rsid w:val="005F43A8"/>
    <w:rsid w:val="005F43DB"/>
    <w:rsid w:val="005F55AA"/>
    <w:rsid w:val="005F66B6"/>
    <w:rsid w:val="005F67CD"/>
    <w:rsid w:val="005F6BDF"/>
    <w:rsid w:val="005F7373"/>
    <w:rsid w:val="005F767C"/>
    <w:rsid w:val="00600328"/>
    <w:rsid w:val="00600903"/>
    <w:rsid w:val="0060092E"/>
    <w:rsid w:val="00601188"/>
    <w:rsid w:val="006014F2"/>
    <w:rsid w:val="00601E18"/>
    <w:rsid w:val="006029F3"/>
    <w:rsid w:val="00602EF3"/>
    <w:rsid w:val="00603059"/>
    <w:rsid w:val="0060475C"/>
    <w:rsid w:val="0060511D"/>
    <w:rsid w:val="00605AF9"/>
    <w:rsid w:val="0060711A"/>
    <w:rsid w:val="0061067F"/>
    <w:rsid w:val="00610952"/>
    <w:rsid w:val="00612649"/>
    <w:rsid w:val="00612EED"/>
    <w:rsid w:val="00614994"/>
    <w:rsid w:val="006156CC"/>
    <w:rsid w:val="00615D50"/>
    <w:rsid w:val="00616354"/>
    <w:rsid w:val="006176FB"/>
    <w:rsid w:val="00620063"/>
    <w:rsid w:val="0062026A"/>
    <w:rsid w:val="00622F57"/>
    <w:rsid w:val="0062399D"/>
    <w:rsid w:val="006244C1"/>
    <w:rsid w:val="00624DC2"/>
    <w:rsid w:val="00625BA7"/>
    <w:rsid w:val="00626FF0"/>
    <w:rsid w:val="0062770D"/>
    <w:rsid w:val="0063084B"/>
    <w:rsid w:val="00631536"/>
    <w:rsid w:val="00631642"/>
    <w:rsid w:val="0063288A"/>
    <w:rsid w:val="00632A9C"/>
    <w:rsid w:val="00633AED"/>
    <w:rsid w:val="00635033"/>
    <w:rsid w:val="006356D6"/>
    <w:rsid w:val="00635AA4"/>
    <w:rsid w:val="00635E6C"/>
    <w:rsid w:val="00636C7F"/>
    <w:rsid w:val="00636FA2"/>
    <w:rsid w:val="006378B9"/>
    <w:rsid w:val="006408A2"/>
    <w:rsid w:val="00641674"/>
    <w:rsid w:val="00643361"/>
    <w:rsid w:val="00645014"/>
    <w:rsid w:val="006454FA"/>
    <w:rsid w:val="00647DA5"/>
    <w:rsid w:val="00651E9C"/>
    <w:rsid w:val="00652AB4"/>
    <w:rsid w:val="00653518"/>
    <w:rsid w:val="006549FE"/>
    <w:rsid w:val="00654EA4"/>
    <w:rsid w:val="00656122"/>
    <w:rsid w:val="006562AE"/>
    <w:rsid w:val="00656438"/>
    <w:rsid w:val="00656895"/>
    <w:rsid w:val="006569E9"/>
    <w:rsid w:val="00661B79"/>
    <w:rsid w:val="0066427F"/>
    <w:rsid w:val="0066450E"/>
    <w:rsid w:val="00664A3E"/>
    <w:rsid w:val="00664B91"/>
    <w:rsid w:val="00664F5A"/>
    <w:rsid w:val="006651E3"/>
    <w:rsid w:val="0066633D"/>
    <w:rsid w:val="00667595"/>
    <w:rsid w:val="00667BF1"/>
    <w:rsid w:val="006704F3"/>
    <w:rsid w:val="00671694"/>
    <w:rsid w:val="00671988"/>
    <w:rsid w:val="00671C12"/>
    <w:rsid w:val="006724A9"/>
    <w:rsid w:val="00674832"/>
    <w:rsid w:val="00674DE8"/>
    <w:rsid w:val="006757BD"/>
    <w:rsid w:val="006774B3"/>
    <w:rsid w:val="00677ADF"/>
    <w:rsid w:val="00677D88"/>
    <w:rsid w:val="00680290"/>
    <w:rsid w:val="00681ECC"/>
    <w:rsid w:val="00681FAC"/>
    <w:rsid w:val="00682472"/>
    <w:rsid w:val="00682F89"/>
    <w:rsid w:val="006832F0"/>
    <w:rsid w:val="00683922"/>
    <w:rsid w:val="00683A99"/>
    <w:rsid w:val="00684D58"/>
    <w:rsid w:val="00684ED3"/>
    <w:rsid w:val="00685770"/>
    <w:rsid w:val="00686CC0"/>
    <w:rsid w:val="00690A89"/>
    <w:rsid w:val="00690FFC"/>
    <w:rsid w:val="0069133E"/>
    <w:rsid w:val="00692685"/>
    <w:rsid w:val="0069547A"/>
    <w:rsid w:val="006955F6"/>
    <w:rsid w:val="006959DB"/>
    <w:rsid w:val="006962D6"/>
    <w:rsid w:val="006967D8"/>
    <w:rsid w:val="00697329"/>
    <w:rsid w:val="006977E9"/>
    <w:rsid w:val="00697D02"/>
    <w:rsid w:val="00697F36"/>
    <w:rsid w:val="006A0879"/>
    <w:rsid w:val="006A09EA"/>
    <w:rsid w:val="006A311E"/>
    <w:rsid w:val="006A4091"/>
    <w:rsid w:val="006A41C4"/>
    <w:rsid w:val="006A4F90"/>
    <w:rsid w:val="006A53F3"/>
    <w:rsid w:val="006B1BFD"/>
    <w:rsid w:val="006B1E03"/>
    <w:rsid w:val="006B22C0"/>
    <w:rsid w:val="006B274B"/>
    <w:rsid w:val="006B2C7D"/>
    <w:rsid w:val="006B3E38"/>
    <w:rsid w:val="006B55F9"/>
    <w:rsid w:val="006B5AA6"/>
    <w:rsid w:val="006B5FEB"/>
    <w:rsid w:val="006B6C66"/>
    <w:rsid w:val="006B7832"/>
    <w:rsid w:val="006B7D93"/>
    <w:rsid w:val="006C07EA"/>
    <w:rsid w:val="006C3877"/>
    <w:rsid w:val="006C4CB3"/>
    <w:rsid w:val="006C4D95"/>
    <w:rsid w:val="006C5CBA"/>
    <w:rsid w:val="006C5FB7"/>
    <w:rsid w:val="006C71E0"/>
    <w:rsid w:val="006C7F0D"/>
    <w:rsid w:val="006D03AA"/>
    <w:rsid w:val="006D05A3"/>
    <w:rsid w:val="006D09DF"/>
    <w:rsid w:val="006D1148"/>
    <w:rsid w:val="006D1ED9"/>
    <w:rsid w:val="006D2F07"/>
    <w:rsid w:val="006D37BD"/>
    <w:rsid w:val="006D3840"/>
    <w:rsid w:val="006D3CEC"/>
    <w:rsid w:val="006D3DB1"/>
    <w:rsid w:val="006D79A4"/>
    <w:rsid w:val="006D7AEB"/>
    <w:rsid w:val="006E2D25"/>
    <w:rsid w:val="006E4462"/>
    <w:rsid w:val="006E4B31"/>
    <w:rsid w:val="006E5E6F"/>
    <w:rsid w:val="006E6905"/>
    <w:rsid w:val="006E6DA3"/>
    <w:rsid w:val="006E794C"/>
    <w:rsid w:val="006E7F9B"/>
    <w:rsid w:val="006F3477"/>
    <w:rsid w:val="006F44C3"/>
    <w:rsid w:val="006F65CC"/>
    <w:rsid w:val="006F6D82"/>
    <w:rsid w:val="006F72B4"/>
    <w:rsid w:val="006F757C"/>
    <w:rsid w:val="006F768F"/>
    <w:rsid w:val="00700472"/>
    <w:rsid w:val="0070133F"/>
    <w:rsid w:val="00701DB9"/>
    <w:rsid w:val="0070276B"/>
    <w:rsid w:val="00702E8C"/>
    <w:rsid w:val="00703EA8"/>
    <w:rsid w:val="007046FB"/>
    <w:rsid w:val="0070487B"/>
    <w:rsid w:val="007060A3"/>
    <w:rsid w:val="00706263"/>
    <w:rsid w:val="00707DD6"/>
    <w:rsid w:val="007101B8"/>
    <w:rsid w:val="00711CF2"/>
    <w:rsid w:val="00711E20"/>
    <w:rsid w:val="00712AEB"/>
    <w:rsid w:val="00712B6B"/>
    <w:rsid w:val="00713BE9"/>
    <w:rsid w:val="00714BC6"/>
    <w:rsid w:val="007163BF"/>
    <w:rsid w:val="007164A7"/>
    <w:rsid w:val="0072016C"/>
    <w:rsid w:val="0072179E"/>
    <w:rsid w:val="0072283C"/>
    <w:rsid w:val="007228D5"/>
    <w:rsid w:val="00722CDB"/>
    <w:rsid w:val="00724352"/>
    <w:rsid w:val="0072775C"/>
    <w:rsid w:val="0073074C"/>
    <w:rsid w:val="0073095C"/>
    <w:rsid w:val="0073097B"/>
    <w:rsid w:val="00731245"/>
    <w:rsid w:val="007314E1"/>
    <w:rsid w:val="0073261D"/>
    <w:rsid w:val="00733A41"/>
    <w:rsid w:val="00734566"/>
    <w:rsid w:val="0073530D"/>
    <w:rsid w:val="00735424"/>
    <w:rsid w:val="007356B4"/>
    <w:rsid w:val="007363EC"/>
    <w:rsid w:val="00736B44"/>
    <w:rsid w:val="007400D3"/>
    <w:rsid w:val="00740B9A"/>
    <w:rsid w:val="00742968"/>
    <w:rsid w:val="0074622F"/>
    <w:rsid w:val="00747AE7"/>
    <w:rsid w:val="00751D6B"/>
    <w:rsid w:val="00752431"/>
    <w:rsid w:val="007527CD"/>
    <w:rsid w:val="00753628"/>
    <w:rsid w:val="00754727"/>
    <w:rsid w:val="0075589B"/>
    <w:rsid w:val="00755A5B"/>
    <w:rsid w:val="00755BEC"/>
    <w:rsid w:val="00757063"/>
    <w:rsid w:val="00757C4B"/>
    <w:rsid w:val="00757E97"/>
    <w:rsid w:val="00757F71"/>
    <w:rsid w:val="00762F13"/>
    <w:rsid w:val="00763167"/>
    <w:rsid w:val="00763E47"/>
    <w:rsid w:val="0076474E"/>
    <w:rsid w:val="007647C4"/>
    <w:rsid w:val="007652E6"/>
    <w:rsid w:val="00765CBA"/>
    <w:rsid w:val="00765D23"/>
    <w:rsid w:val="00766057"/>
    <w:rsid w:val="007668E7"/>
    <w:rsid w:val="0076742C"/>
    <w:rsid w:val="007704BD"/>
    <w:rsid w:val="00770FD3"/>
    <w:rsid w:val="00772F0D"/>
    <w:rsid w:val="00773A26"/>
    <w:rsid w:val="00773EBC"/>
    <w:rsid w:val="00774DEB"/>
    <w:rsid w:val="00775D3E"/>
    <w:rsid w:val="007764E3"/>
    <w:rsid w:val="007769B3"/>
    <w:rsid w:val="00777641"/>
    <w:rsid w:val="00777677"/>
    <w:rsid w:val="00780023"/>
    <w:rsid w:val="0078040C"/>
    <w:rsid w:val="00781E43"/>
    <w:rsid w:val="00784D8D"/>
    <w:rsid w:val="007851A4"/>
    <w:rsid w:val="007851DF"/>
    <w:rsid w:val="00786325"/>
    <w:rsid w:val="0078704D"/>
    <w:rsid w:val="00787C8E"/>
    <w:rsid w:val="0079167B"/>
    <w:rsid w:val="00792030"/>
    <w:rsid w:val="007926EC"/>
    <w:rsid w:val="00792941"/>
    <w:rsid w:val="007930AE"/>
    <w:rsid w:val="007934A9"/>
    <w:rsid w:val="00793CB3"/>
    <w:rsid w:val="0079441F"/>
    <w:rsid w:val="0079541E"/>
    <w:rsid w:val="0079580D"/>
    <w:rsid w:val="0079751F"/>
    <w:rsid w:val="007975CB"/>
    <w:rsid w:val="007A1435"/>
    <w:rsid w:val="007A1C32"/>
    <w:rsid w:val="007A210C"/>
    <w:rsid w:val="007A50B4"/>
    <w:rsid w:val="007A5111"/>
    <w:rsid w:val="007A6397"/>
    <w:rsid w:val="007A6E65"/>
    <w:rsid w:val="007A712B"/>
    <w:rsid w:val="007A72C7"/>
    <w:rsid w:val="007A776D"/>
    <w:rsid w:val="007B4B6D"/>
    <w:rsid w:val="007B4FF6"/>
    <w:rsid w:val="007B5D06"/>
    <w:rsid w:val="007B631A"/>
    <w:rsid w:val="007B6C3F"/>
    <w:rsid w:val="007B7DB4"/>
    <w:rsid w:val="007B7EC8"/>
    <w:rsid w:val="007C19B8"/>
    <w:rsid w:val="007C1BB2"/>
    <w:rsid w:val="007C2F0C"/>
    <w:rsid w:val="007C3875"/>
    <w:rsid w:val="007C3B31"/>
    <w:rsid w:val="007C3CAC"/>
    <w:rsid w:val="007C447E"/>
    <w:rsid w:val="007C54A9"/>
    <w:rsid w:val="007C5EA0"/>
    <w:rsid w:val="007C5FCD"/>
    <w:rsid w:val="007C6610"/>
    <w:rsid w:val="007C6DE5"/>
    <w:rsid w:val="007C72A4"/>
    <w:rsid w:val="007C798F"/>
    <w:rsid w:val="007D017D"/>
    <w:rsid w:val="007D01FA"/>
    <w:rsid w:val="007D0BB2"/>
    <w:rsid w:val="007D0BD3"/>
    <w:rsid w:val="007D1663"/>
    <w:rsid w:val="007D252C"/>
    <w:rsid w:val="007D3529"/>
    <w:rsid w:val="007D4F28"/>
    <w:rsid w:val="007D51E3"/>
    <w:rsid w:val="007D5963"/>
    <w:rsid w:val="007D5F07"/>
    <w:rsid w:val="007D751E"/>
    <w:rsid w:val="007E1CF7"/>
    <w:rsid w:val="007E1E4E"/>
    <w:rsid w:val="007E25E3"/>
    <w:rsid w:val="007E40F0"/>
    <w:rsid w:val="007E5A37"/>
    <w:rsid w:val="007E5D9E"/>
    <w:rsid w:val="007E67C8"/>
    <w:rsid w:val="007E6815"/>
    <w:rsid w:val="007F00AB"/>
    <w:rsid w:val="007F0960"/>
    <w:rsid w:val="007F32C1"/>
    <w:rsid w:val="007F3788"/>
    <w:rsid w:val="007F437C"/>
    <w:rsid w:val="007F4590"/>
    <w:rsid w:val="007F5765"/>
    <w:rsid w:val="007F614F"/>
    <w:rsid w:val="007F6F0A"/>
    <w:rsid w:val="007F7DA5"/>
    <w:rsid w:val="00800D39"/>
    <w:rsid w:val="0080122D"/>
    <w:rsid w:val="0080151C"/>
    <w:rsid w:val="008028F3"/>
    <w:rsid w:val="0080318A"/>
    <w:rsid w:val="0080419F"/>
    <w:rsid w:val="008042A4"/>
    <w:rsid w:val="00805AD0"/>
    <w:rsid w:val="00805FE8"/>
    <w:rsid w:val="008113C1"/>
    <w:rsid w:val="008116D7"/>
    <w:rsid w:val="008120AB"/>
    <w:rsid w:val="00812AE9"/>
    <w:rsid w:val="00813A28"/>
    <w:rsid w:val="00813DAF"/>
    <w:rsid w:val="00814DD6"/>
    <w:rsid w:val="00814FE6"/>
    <w:rsid w:val="008159C6"/>
    <w:rsid w:val="00816FC6"/>
    <w:rsid w:val="008179AE"/>
    <w:rsid w:val="00821858"/>
    <w:rsid w:val="00821DDB"/>
    <w:rsid w:val="00824C98"/>
    <w:rsid w:val="008255D1"/>
    <w:rsid w:val="0082682C"/>
    <w:rsid w:val="00826970"/>
    <w:rsid w:val="008272B4"/>
    <w:rsid w:val="008303C9"/>
    <w:rsid w:val="0083144A"/>
    <w:rsid w:val="008327EE"/>
    <w:rsid w:val="00833949"/>
    <w:rsid w:val="00833F43"/>
    <w:rsid w:val="008377D6"/>
    <w:rsid w:val="008377FA"/>
    <w:rsid w:val="00840459"/>
    <w:rsid w:val="00840930"/>
    <w:rsid w:val="00841413"/>
    <w:rsid w:val="00841E08"/>
    <w:rsid w:val="00843956"/>
    <w:rsid w:val="00843CED"/>
    <w:rsid w:val="00845727"/>
    <w:rsid w:val="0084595C"/>
    <w:rsid w:val="008463F6"/>
    <w:rsid w:val="00847AD0"/>
    <w:rsid w:val="0085016A"/>
    <w:rsid w:val="0085026E"/>
    <w:rsid w:val="008507DE"/>
    <w:rsid w:val="00850F1C"/>
    <w:rsid w:val="008522F7"/>
    <w:rsid w:val="0085422A"/>
    <w:rsid w:val="00854902"/>
    <w:rsid w:val="0085528D"/>
    <w:rsid w:val="00855302"/>
    <w:rsid w:val="00855832"/>
    <w:rsid w:val="0085761A"/>
    <w:rsid w:val="00857C88"/>
    <w:rsid w:val="00862C68"/>
    <w:rsid w:val="0086359E"/>
    <w:rsid w:val="00863FF3"/>
    <w:rsid w:val="008647CC"/>
    <w:rsid w:val="00866929"/>
    <w:rsid w:val="00866B0B"/>
    <w:rsid w:val="00866D6B"/>
    <w:rsid w:val="00867AF4"/>
    <w:rsid w:val="00867D84"/>
    <w:rsid w:val="00867F3C"/>
    <w:rsid w:val="00870FDB"/>
    <w:rsid w:val="00871977"/>
    <w:rsid w:val="00871BB7"/>
    <w:rsid w:val="008728A3"/>
    <w:rsid w:val="00873F3A"/>
    <w:rsid w:val="0087430F"/>
    <w:rsid w:val="00874404"/>
    <w:rsid w:val="008745CE"/>
    <w:rsid w:val="00874E01"/>
    <w:rsid w:val="008757B9"/>
    <w:rsid w:val="00875B88"/>
    <w:rsid w:val="00876063"/>
    <w:rsid w:val="0087669A"/>
    <w:rsid w:val="00876FD5"/>
    <w:rsid w:val="0087708D"/>
    <w:rsid w:val="00877165"/>
    <w:rsid w:val="00880282"/>
    <w:rsid w:val="00880553"/>
    <w:rsid w:val="00880772"/>
    <w:rsid w:val="00880E93"/>
    <w:rsid w:val="008834C4"/>
    <w:rsid w:val="00884A06"/>
    <w:rsid w:val="00885781"/>
    <w:rsid w:val="0088582F"/>
    <w:rsid w:val="00886094"/>
    <w:rsid w:val="00886DF6"/>
    <w:rsid w:val="00887948"/>
    <w:rsid w:val="00887DFF"/>
    <w:rsid w:val="00890758"/>
    <w:rsid w:val="00890DA9"/>
    <w:rsid w:val="0089187E"/>
    <w:rsid w:val="00891E7A"/>
    <w:rsid w:val="00892FFC"/>
    <w:rsid w:val="00893074"/>
    <w:rsid w:val="0089315F"/>
    <w:rsid w:val="008935AC"/>
    <w:rsid w:val="008941A1"/>
    <w:rsid w:val="008946C3"/>
    <w:rsid w:val="00894787"/>
    <w:rsid w:val="00895760"/>
    <w:rsid w:val="0089664C"/>
    <w:rsid w:val="0089713A"/>
    <w:rsid w:val="00897CB8"/>
    <w:rsid w:val="008A0C1D"/>
    <w:rsid w:val="008A130F"/>
    <w:rsid w:val="008A202C"/>
    <w:rsid w:val="008A27FF"/>
    <w:rsid w:val="008A2CEA"/>
    <w:rsid w:val="008A406D"/>
    <w:rsid w:val="008A4AC7"/>
    <w:rsid w:val="008A59D8"/>
    <w:rsid w:val="008A5AF8"/>
    <w:rsid w:val="008A620F"/>
    <w:rsid w:val="008A6759"/>
    <w:rsid w:val="008A6EC6"/>
    <w:rsid w:val="008B2A40"/>
    <w:rsid w:val="008B2FCF"/>
    <w:rsid w:val="008B30FC"/>
    <w:rsid w:val="008B32E9"/>
    <w:rsid w:val="008B365F"/>
    <w:rsid w:val="008B41F2"/>
    <w:rsid w:val="008B4B1A"/>
    <w:rsid w:val="008B5A0B"/>
    <w:rsid w:val="008B5B2F"/>
    <w:rsid w:val="008B7309"/>
    <w:rsid w:val="008B768D"/>
    <w:rsid w:val="008B77BD"/>
    <w:rsid w:val="008C04AD"/>
    <w:rsid w:val="008C0B40"/>
    <w:rsid w:val="008C1584"/>
    <w:rsid w:val="008C24DE"/>
    <w:rsid w:val="008C3B91"/>
    <w:rsid w:val="008C43AE"/>
    <w:rsid w:val="008C43F9"/>
    <w:rsid w:val="008C5944"/>
    <w:rsid w:val="008C688B"/>
    <w:rsid w:val="008C6B41"/>
    <w:rsid w:val="008C745E"/>
    <w:rsid w:val="008C7545"/>
    <w:rsid w:val="008D21C6"/>
    <w:rsid w:val="008D33AA"/>
    <w:rsid w:val="008D37BA"/>
    <w:rsid w:val="008D3DA5"/>
    <w:rsid w:val="008D4047"/>
    <w:rsid w:val="008D567C"/>
    <w:rsid w:val="008D5E1E"/>
    <w:rsid w:val="008D7351"/>
    <w:rsid w:val="008E01E7"/>
    <w:rsid w:val="008E03C9"/>
    <w:rsid w:val="008E1410"/>
    <w:rsid w:val="008E3584"/>
    <w:rsid w:val="008E51B7"/>
    <w:rsid w:val="008E582D"/>
    <w:rsid w:val="008E59AA"/>
    <w:rsid w:val="008E7659"/>
    <w:rsid w:val="008E7670"/>
    <w:rsid w:val="008F0649"/>
    <w:rsid w:val="008F29D1"/>
    <w:rsid w:val="008F32C8"/>
    <w:rsid w:val="008F3F27"/>
    <w:rsid w:val="008F69B5"/>
    <w:rsid w:val="008F6AC2"/>
    <w:rsid w:val="008F747D"/>
    <w:rsid w:val="008F7B89"/>
    <w:rsid w:val="009000B6"/>
    <w:rsid w:val="009002CA"/>
    <w:rsid w:val="009018C9"/>
    <w:rsid w:val="009020FD"/>
    <w:rsid w:val="009034ED"/>
    <w:rsid w:val="009037C0"/>
    <w:rsid w:val="00903FBB"/>
    <w:rsid w:val="009049FA"/>
    <w:rsid w:val="0090502F"/>
    <w:rsid w:val="009111F0"/>
    <w:rsid w:val="00911AA1"/>
    <w:rsid w:val="00911E17"/>
    <w:rsid w:val="00912735"/>
    <w:rsid w:val="0091461B"/>
    <w:rsid w:val="009149D6"/>
    <w:rsid w:val="00915D28"/>
    <w:rsid w:val="00916CB4"/>
    <w:rsid w:val="009176E6"/>
    <w:rsid w:val="009213AD"/>
    <w:rsid w:val="0092173B"/>
    <w:rsid w:val="0092546F"/>
    <w:rsid w:val="00925FF5"/>
    <w:rsid w:val="009264FB"/>
    <w:rsid w:val="00927539"/>
    <w:rsid w:val="00930559"/>
    <w:rsid w:val="00934154"/>
    <w:rsid w:val="009363DC"/>
    <w:rsid w:val="009372E5"/>
    <w:rsid w:val="00937508"/>
    <w:rsid w:val="00941C73"/>
    <w:rsid w:val="00941EB7"/>
    <w:rsid w:val="0094299D"/>
    <w:rsid w:val="00942DB0"/>
    <w:rsid w:val="00942DD4"/>
    <w:rsid w:val="00942E7F"/>
    <w:rsid w:val="00942F3E"/>
    <w:rsid w:val="009444DD"/>
    <w:rsid w:val="00944BBE"/>
    <w:rsid w:val="0094566C"/>
    <w:rsid w:val="00945A30"/>
    <w:rsid w:val="0094752F"/>
    <w:rsid w:val="00947CF7"/>
    <w:rsid w:val="009507D8"/>
    <w:rsid w:val="00952440"/>
    <w:rsid w:val="00954F76"/>
    <w:rsid w:val="009561E3"/>
    <w:rsid w:val="00956C5A"/>
    <w:rsid w:val="0095730A"/>
    <w:rsid w:val="009574DE"/>
    <w:rsid w:val="00961B90"/>
    <w:rsid w:val="009627D9"/>
    <w:rsid w:val="009642C6"/>
    <w:rsid w:val="00964834"/>
    <w:rsid w:val="009649BD"/>
    <w:rsid w:val="00967EAA"/>
    <w:rsid w:val="009709A0"/>
    <w:rsid w:val="00971411"/>
    <w:rsid w:val="0097266C"/>
    <w:rsid w:val="009728FD"/>
    <w:rsid w:val="0097302C"/>
    <w:rsid w:val="009739E3"/>
    <w:rsid w:val="00973F93"/>
    <w:rsid w:val="009771C1"/>
    <w:rsid w:val="009803B9"/>
    <w:rsid w:val="00980684"/>
    <w:rsid w:val="009821E3"/>
    <w:rsid w:val="0098334F"/>
    <w:rsid w:val="0098507D"/>
    <w:rsid w:val="0098513E"/>
    <w:rsid w:val="00985B7E"/>
    <w:rsid w:val="00985C83"/>
    <w:rsid w:val="009874BD"/>
    <w:rsid w:val="00987C43"/>
    <w:rsid w:val="00987FEA"/>
    <w:rsid w:val="00991549"/>
    <w:rsid w:val="00991DAE"/>
    <w:rsid w:val="00991E37"/>
    <w:rsid w:val="00992891"/>
    <w:rsid w:val="009937F7"/>
    <w:rsid w:val="00994BC6"/>
    <w:rsid w:val="00995291"/>
    <w:rsid w:val="0099617B"/>
    <w:rsid w:val="00997274"/>
    <w:rsid w:val="009977FD"/>
    <w:rsid w:val="009A060D"/>
    <w:rsid w:val="009A0DF0"/>
    <w:rsid w:val="009A1A05"/>
    <w:rsid w:val="009A2268"/>
    <w:rsid w:val="009A2FD4"/>
    <w:rsid w:val="009A5393"/>
    <w:rsid w:val="009A5E2C"/>
    <w:rsid w:val="009A64E4"/>
    <w:rsid w:val="009A690C"/>
    <w:rsid w:val="009A6F09"/>
    <w:rsid w:val="009A6F94"/>
    <w:rsid w:val="009A70A6"/>
    <w:rsid w:val="009A73C4"/>
    <w:rsid w:val="009B344B"/>
    <w:rsid w:val="009B431D"/>
    <w:rsid w:val="009B61CE"/>
    <w:rsid w:val="009B626D"/>
    <w:rsid w:val="009C2DC4"/>
    <w:rsid w:val="009C34C6"/>
    <w:rsid w:val="009C5008"/>
    <w:rsid w:val="009C56B6"/>
    <w:rsid w:val="009C735B"/>
    <w:rsid w:val="009C7E16"/>
    <w:rsid w:val="009D0257"/>
    <w:rsid w:val="009D093A"/>
    <w:rsid w:val="009D1BD3"/>
    <w:rsid w:val="009D22F1"/>
    <w:rsid w:val="009D28ED"/>
    <w:rsid w:val="009D2958"/>
    <w:rsid w:val="009D29B6"/>
    <w:rsid w:val="009D2BC3"/>
    <w:rsid w:val="009D3655"/>
    <w:rsid w:val="009D3D0A"/>
    <w:rsid w:val="009D56B3"/>
    <w:rsid w:val="009D5849"/>
    <w:rsid w:val="009D5BB0"/>
    <w:rsid w:val="009D5CB7"/>
    <w:rsid w:val="009D61BD"/>
    <w:rsid w:val="009D6404"/>
    <w:rsid w:val="009D68DA"/>
    <w:rsid w:val="009D72D0"/>
    <w:rsid w:val="009D73E4"/>
    <w:rsid w:val="009E0057"/>
    <w:rsid w:val="009E1ED6"/>
    <w:rsid w:val="009E30BD"/>
    <w:rsid w:val="009E367A"/>
    <w:rsid w:val="009E3C9D"/>
    <w:rsid w:val="009E43D7"/>
    <w:rsid w:val="009E4481"/>
    <w:rsid w:val="009E5D17"/>
    <w:rsid w:val="009E6E65"/>
    <w:rsid w:val="009F0795"/>
    <w:rsid w:val="009F0D08"/>
    <w:rsid w:val="009F1543"/>
    <w:rsid w:val="009F19C9"/>
    <w:rsid w:val="009F20B7"/>
    <w:rsid w:val="009F42DC"/>
    <w:rsid w:val="009F46CD"/>
    <w:rsid w:val="009F47E0"/>
    <w:rsid w:val="009F66FC"/>
    <w:rsid w:val="00A00E9F"/>
    <w:rsid w:val="00A03F09"/>
    <w:rsid w:val="00A04CA4"/>
    <w:rsid w:val="00A05514"/>
    <w:rsid w:val="00A06120"/>
    <w:rsid w:val="00A0671E"/>
    <w:rsid w:val="00A07A7C"/>
    <w:rsid w:val="00A10796"/>
    <w:rsid w:val="00A11418"/>
    <w:rsid w:val="00A123B6"/>
    <w:rsid w:val="00A12719"/>
    <w:rsid w:val="00A127EF"/>
    <w:rsid w:val="00A12FCF"/>
    <w:rsid w:val="00A141BA"/>
    <w:rsid w:val="00A14C08"/>
    <w:rsid w:val="00A14EC1"/>
    <w:rsid w:val="00A15203"/>
    <w:rsid w:val="00A1581D"/>
    <w:rsid w:val="00A15DCD"/>
    <w:rsid w:val="00A15E28"/>
    <w:rsid w:val="00A201B3"/>
    <w:rsid w:val="00A201F8"/>
    <w:rsid w:val="00A213DC"/>
    <w:rsid w:val="00A2478A"/>
    <w:rsid w:val="00A2530C"/>
    <w:rsid w:val="00A25E31"/>
    <w:rsid w:val="00A2795B"/>
    <w:rsid w:val="00A30B30"/>
    <w:rsid w:val="00A31D93"/>
    <w:rsid w:val="00A32803"/>
    <w:rsid w:val="00A32B8A"/>
    <w:rsid w:val="00A343EB"/>
    <w:rsid w:val="00A34528"/>
    <w:rsid w:val="00A347BF"/>
    <w:rsid w:val="00A34C0D"/>
    <w:rsid w:val="00A367D8"/>
    <w:rsid w:val="00A37817"/>
    <w:rsid w:val="00A40C7F"/>
    <w:rsid w:val="00A43662"/>
    <w:rsid w:val="00A43FE4"/>
    <w:rsid w:val="00A45023"/>
    <w:rsid w:val="00A452EB"/>
    <w:rsid w:val="00A45ED8"/>
    <w:rsid w:val="00A478A2"/>
    <w:rsid w:val="00A50E04"/>
    <w:rsid w:val="00A51AA2"/>
    <w:rsid w:val="00A525C6"/>
    <w:rsid w:val="00A53666"/>
    <w:rsid w:val="00A54173"/>
    <w:rsid w:val="00A549B0"/>
    <w:rsid w:val="00A551C2"/>
    <w:rsid w:val="00A55697"/>
    <w:rsid w:val="00A56277"/>
    <w:rsid w:val="00A56F56"/>
    <w:rsid w:val="00A5790F"/>
    <w:rsid w:val="00A57B5C"/>
    <w:rsid w:val="00A60953"/>
    <w:rsid w:val="00A62862"/>
    <w:rsid w:val="00A62925"/>
    <w:rsid w:val="00A62C8D"/>
    <w:rsid w:val="00A62C9D"/>
    <w:rsid w:val="00A63389"/>
    <w:rsid w:val="00A65AA6"/>
    <w:rsid w:val="00A66018"/>
    <w:rsid w:val="00A66077"/>
    <w:rsid w:val="00A66417"/>
    <w:rsid w:val="00A66DFD"/>
    <w:rsid w:val="00A700BE"/>
    <w:rsid w:val="00A706C4"/>
    <w:rsid w:val="00A7113C"/>
    <w:rsid w:val="00A71C9D"/>
    <w:rsid w:val="00A7242F"/>
    <w:rsid w:val="00A7291F"/>
    <w:rsid w:val="00A731F8"/>
    <w:rsid w:val="00A7334D"/>
    <w:rsid w:val="00A7418C"/>
    <w:rsid w:val="00A74CC1"/>
    <w:rsid w:val="00A77136"/>
    <w:rsid w:val="00A801D2"/>
    <w:rsid w:val="00A80513"/>
    <w:rsid w:val="00A831D5"/>
    <w:rsid w:val="00A83730"/>
    <w:rsid w:val="00A838C5"/>
    <w:rsid w:val="00A841D3"/>
    <w:rsid w:val="00A84496"/>
    <w:rsid w:val="00A845A2"/>
    <w:rsid w:val="00A8460C"/>
    <w:rsid w:val="00A85BC6"/>
    <w:rsid w:val="00A86019"/>
    <w:rsid w:val="00A86283"/>
    <w:rsid w:val="00A86E2E"/>
    <w:rsid w:val="00A910D9"/>
    <w:rsid w:val="00A911EF"/>
    <w:rsid w:val="00A912AC"/>
    <w:rsid w:val="00A913EA"/>
    <w:rsid w:val="00A93840"/>
    <w:rsid w:val="00A959E2"/>
    <w:rsid w:val="00A960B0"/>
    <w:rsid w:val="00AA0A21"/>
    <w:rsid w:val="00AA151D"/>
    <w:rsid w:val="00AA1581"/>
    <w:rsid w:val="00AA2660"/>
    <w:rsid w:val="00AA3012"/>
    <w:rsid w:val="00AA3AD4"/>
    <w:rsid w:val="00AA40AE"/>
    <w:rsid w:val="00AA4861"/>
    <w:rsid w:val="00AA5D55"/>
    <w:rsid w:val="00AA7118"/>
    <w:rsid w:val="00AA7B22"/>
    <w:rsid w:val="00AB0961"/>
    <w:rsid w:val="00AB1604"/>
    <w:rsid w:val="00AB21DD"/>
    <w:rsid w:val="00AB2F69"/>
    <w:rsid w:val="00AB2F89"/>
    <w:rsid w:val="00AB2FB0"/>
    <w:rsid w:val="00AB356A"/>
    <w:rsid w:val="00AB35B3"/>
    <w:rsid w:val="00AB4CA2"/>
    <w:rsid w:val="00AB683D"/>
    <w:rsid w:val="00AB6D17"/>
    <w:rsid w:val="00AB7278"/>
    <w:rsid w:val="00AB7D90"/>
    <w:rsid w:val="00AC1042"/>
    <w:rsid w:val="00AC10AA"/>
    <w:rsid w:val="00AC1739"/>
    <w:rsid w:val="00AC1771"/>
    <w:rsid w:val="00AC23B4"/>
    <w:rsid w:val="00AC266C"/>
    <w:rsid w:val="00AC26AB"/>
    <w:rsid w:val="00AC295E"/>
    <w:rsid w:val="00AC2E1D"/>
    <w:rsid w:val="00AC4530"/>
    <w:rsid w:val="00AC462A"/>
    <w:rsid w:val="00AC68F2"/>
    <w:rsid w:val="00AC7444"/>
    <w:rsid w:val="00AD2081"/>
    <w:rsid w:val="00AD227F"/>
    <w:rsid w:val="00AD5D17"/>
    <w:rsid w:val="00AD64E6"/>
    <w:rsid w:val="00AD7224"/>
    <w:rsid w:val="00AD7E31"/>
    <w:rsid w:val="00AE01D6"/>
    <w:rsid w:val="00AE310B"/>
    <w:rsid w:val="00AE4A8D"/>
    <w:rsid w:val="00AE5F91"/>
    <w:rsid w:val="00AE73C0"/>
    <w:rsid w:val="00AF0183"/>
    <w:rsid w:val="00AF0996"/>
    <w:rsid w:val="00AF0AD2"/>
    <w:rsid w:val="00AF132F"/>
    <w:rsid w:val="00AF1480"/>
    <w:rsid w:val="00AF1756"/>
    <w:rsid w:val="00AF3509"/>
    <w:rsid w:val="00AF35A5"/>
    <w:rsid w:val="00AF3997"/>
    <w:rsid w:val="00AF3DB2"/>
    <w:rsid w:val="00AF41E8"/>
    <w:rsid w:val="00AF537A"/>
    <w:rsid w:val="00AF7667"/>
    <w:rsid w:val="00AF7746"/>
    <w:rsid w:val="00B021B4"/>
    <w:rsid w:val="00B0763D"/>
    <w:rsid w:val="00B07E19"/>
    <w:rsid w:val="00B13103"/>
    <w:rsid w:val="00B135A8"/>
    <w:rsid w:val="00B13793"/>
    <w:rsid w:val="00B13A58"/>
    <w:rsid w:val="00B149F1"/>
    <w:rsid w:val="00B15986"/>
    <w:rsid w:val="00B160D5"/>
    <w:rsid w:val="00B161C6"/>
    <w:rsid w:val="00B16585"/>
    <w:rsid w:val="00B17719"/>
    <w:rsid w:val="00B17EA4"/>
    <w:rsid w:val="00B20DCC"/>
    <w:rsid w:val="00B225C5"/>
    <w:rsid w:val="00B23CE6"/>
    <w:rsid w:val="00B24223"/>
    <w:rsid w:val="00B24ECD"/>
    <w:rsid w:val="00B24FB0"/>
    <w:rsid w:val="00B26193"/>
    <w:rsid w:val="00B26CA1"/>
    <w:rsid w:val="00B3022F"/>
    <w:rsid w:val="00B30442"/>
    <w:rsid w:val="00B32DA6"/>
    <w:rsid w:val="00B331C5"/>
    <w:rsid w:val="00B3413E"/>
    <w:rsid w:val="00B3413F"/>
    <w:rsid w:val="00B34605"/>
    <w:rsid w:val="00B34E77"/>
    <w:rsid w:val="00B34EC9"/>
    <w:rsid w:val="00B34F39"/>
    <w:rsid w:val="00B351DB"/>
    <w:rsid w:val="00B355D0"/>
    <w:rsid w:val="00B35C88"/>
    <w:rsid w:val="00B37AE8"/>
    <w:rsid w:val="00B37CC5"/>
    <w:rsid w:val="00B41EDF"/>
    <w:rsid w:val="00B42165"/>
    <w:rsid w:val="00B4237C"/>
    <w:rsid w:val="00B430A8"/>
    <w:rsid w:val="00B4430A"/>
    <w:rsid w:val="00B47862"/>
    <w:rsid w:val="00B4799E"/>
    <w:rsid w:val="00B50187"/>
    <w:rsid w:val="00B5076D"/>
    <w:rsid w:val="00B50A93"/>
    <w:rsid w:val="00B5413F"/>
    <w:rsid w:val="00B541CF"/>
    <w:rsid w:val="00B54821"/>
    <w:rsid w:val="00B548BA"/>
    <w:rsid w:val="00B55615"/>
    <w:rsid w:val="00B5616D"/>
    <w:rsid w:val="00B566F3"/>
    <w:rsid w:val="00B57A26"/>
    <w:rsid w:val="00B6026B"/>
    <w:rsid w:val="00B60918"/>
    <w:rsid w:val="00B61043"/>
    <w:rsid w:val="00B64E2A"/>
    <w:rsid w:val="00B65B1E"/>
    <w:rsid w:val="00B66FB1"/>
    <w:rsid w:val="00B671CF"/>
    <w:rsid w:val="00B67994"/>
    <w:rsid w:val="00B67F82"/>
    <w:rsid w:val="00B70F9A"/>
    <w:rsid w:val="00B71A5A"/>
    <w:rsid w:val="00B72115"/>
    <w:rsid w:val="00B72E0F"/>
    <w:rsid w:val="00B73763"/>
    <w:rsid w:val="00B74C59"/>
    <w:rsid w:val="00B753C8"/>
    <w:rsid w:val="00B75798"/>
    <w:rsid w:val="00B76023"/>
    <w:rsid w:val="00B762CE"/>
    <w:rsid w:val="00B76798"/>
    <w:rsid w:val="00B8127F"/>
    <w:rsid w:val="00B812B8"/>
    <w:rsid w:val="00B81B6B"/>
    <w:rsid w:val="00B82BED"/>
    <w:rsid w:val="00B82D4B"/>
    <w:rsid w:val="00B82F7C"/>
    <w:rsid w:val="00B835F6"/>
    <w:rsid w:val="00B83957"/>
    <w:rsid w:val="00B83B57"/>
    <w:rsid w:val="00B8413B"/>
    <w:rsid w:val="00B85128"/>
    <w:rsid w:val="00B85738"/>
    <w:rsid w:val="00B85883"/>
    <w:rsid w:val="00B861ED"/>
    <w:rsid w:val="00B877DD"/>
    <w:rsid w:val="00B87EBA"/>
    <w:rsid w:val="00B909D5"/>
    <w:rsid w:val="00B913C8"/>
    <w:rsid w:val="00B929E1"/>
    <w:rsid w:val="00B92FCF"/>
    <w:rsid w:val="00B93DCF"/>
    <w:rsid w:val="00B9415A"/>
    <w:rsid w:val="00B94D5E"/>
    <w:rsid w:val="00B94FC4"/>
    <w:rsid w:val="00B9699B"/>
    <w:rsid w:val="00BA0C12"/>
    <w:rsid w:val="00BA1DDE"/>
    <w:rsid w:val="00BA3776"/>
    <w:rsid w:val="00BA5065"/>
    <w:rsid w:val="00BB0142"/>
    <w:rsid w:val="00BB01F5"/>
    <w:rsid w:val="00BB0C1C"/>
    <w:rsid w:val="00BB1D54"/>
    <w:rsid w:val="00BB1F56"/>
    <w:rsid w:val="00BB2726"/>
    <w:rsid w:val="00BB31DB"/>
    <w:rsid w:val="00BB3FB2"/>
    <w:rsid w:val="00BB55DB"/>
    <w:rsid w:val="00BB5BF4"/>
    <w:rsid w:val="00BB74FC"/>
    <w:rsid w:val="00BB7901"/>
    <w:rsid w:val="00BB7DEB"/>
    <w:rsid w:val="00BC002B"/>
    <w:rsid w:val="00BC0747"/>
    <w:rsid w:val="00BC09A3"/>
    <w:rsid w:val="00BC1A1E"/>
    <w:rsid w:val="00BC24A7"/>
    <w:rsid w:val="00BC3E88"/>
    <w:rsid w:val="00BC41C7"/>
    <w:rsid w:val="00BC4B05"/>
    <w:rsid w:val="00BC522B"/>
    <w:rsid w:val="00BC61CF"/>
    <w:rsid w:val="00BC71FF"/>
    <w:rsid w:val="00BC7302"/>
    <w:rsid w:val="00BC7403"/>
    <w:rsid w:val="00BD056F"/>
    <w:rsid w:val="00BD093B"/>
    <w:rsid w:val="00BD0CF7"/>
    <w:rsid w:val="00BD14A0"/>
    <w:rsid w:val="00BD283B"/>
    <w:rsid w:val="00BD2A46"/>
    <w:rsid w:val="00BD5251"/>
    <w:rsid w:val="00BD5559"/>
    <w:rsid w:val="00BD5C14"/>
    <w:rsid w:val="00BE0016"/>
    <w:rsid w:val="00BE08E4"/>
    <w:rsid w:val="00BE15C1"/>
    <w:rsid w:val="00BE160A"/>
    <w:rsid w:val="00BE328E"/>
    <w:rsid w:val="00BE4B70"/>
    <w:rsid w:val="00BE54A8"/>
    <w:rsid w:val="00BE5CC1"/>
    <w:rsid w:val="00BE6286"/>
    <w:rsid w:val="00BE714E"/>
    <w:rsid w:val="00BE7ED9"/>
    <w:rsid w:val="00BF20BE"/>
    <w:rsid w:val="00BF269C"/>
    <w:rsid w:val="00BF2DDC"/>
    <w:rsid w:val="00BF2EF4"/>
    <w:rsid w:val="00BF3526"/>
    <w:rsid w:val="00BF4EDB"/>
    <w:rsid w:val="00BF5DBD"/>
    <w:rsid w:val="00BF5DC2"/>
    <w:rsid w:val="00BF60AD"/>
    <w:rsid w:val="00BF6F6D"/>
    <w:rsid w:val="00BF7D7D"/>
    <w:rsid w:val="00C0018B"/>
    <w:rsid w:val="00C0074E"/>
    <w:rsid w:val="00C018B8"/>
    <w:rsid w:val="00C02D9B"/>
    <w:rsid w:val="00C04721"/>
    <w:rsid w:val="00C04B80"/>
    <w:rsid w:val="00C05043"/>
    <w:rsid w:val="00C06304"/>
    <w:rsid w:val="00C06611"/>
    <w:rsid w:val="00C067BA"/>
    <w:rsid w:val="00C07270"/>
    <w:rsid w:val="00C10819"/>
    <w:rsid w:val="00C10864"/>
    <w:rsid w:val="00C10A81"/>
    <w:rsid w:val="00C126FB"/>
    <w:rsid w:val="00C12AF4"/>
    <w:rsid w:val="00C12B19"/>
    <w:rsid w:val="00C133C5"/>
    <w:rsid w:val="00C13AA7"/>
    <w:rsid w:val="00C1432E"/>
    <w:rsid w:val="00C14BA7"/>
    <w:rsid w:val="00C1530F"/>
    <w:rsid w:val="00C160AF"/>
    <w:rsid w:val="00C20316"/>
    <w:rsid w:val="00C2031A"/>
    <w:rsid w:val="00C20AF9"/>
    <w:rsid w:val="00C21A11"/>
    <w:rsid w:val="00C21B38"/>
    <w:rsid w:val="00C21C7A"/>
    <w:rsid w:val="00C21ED5"/>
    <w:rsid w:val="00C22528"/>
    <w:rsid w:val="00C2257B"/>
    <w:rsid w:val="00C2287C"/>
    <w:rsid w:val="00C22F11"/>
    <w:rsid w:val="00C24093"/>
    <w:rsid w:val="00C24924"/>
    <w:rsid w:val="00C24C94"/>
    <w:rsid w:val="00C2518B"/>
    <w:rsid w:val="00C253C3"/>
    <w:rsid w:val="00C25C95"/>
    <w:rsid w:val="00C27023"/>
    <w:rsid w:val="00C27B63"/>
    <w:rsid w:val="00C307A7"/>
    <w:rsid w:val="00C315E6"/>
    <w:rsid w:val="00C325F3"/>
    <w:rsid w:val="00C333E3"/>
    <w:rsid w:val="00C340D2"/>
    <w:rsid w:val="00C3630B"/>
    <w:rsid w:val="00C36DE8"/>
    <w:rsid w:val="00C37A68"/>
    <w:rsid w:val="00C406E8"/>
    <w:rsid w:val="00C4083A"/>
    <w:rsid w:val="00C40893"/>
    <w:rsid w:val="00C41620"/>
    <w:rsid w:val="00C4188A"/>
    <w:rsid w:val="00C41C70"/>
    <w:rsid w:val="00C43B5A"/>
    <w:rsid w:val="00C44E9B"/>
    <w:rsid w:val="00C451A6"/>
    <w:rsid w:val="00C4561A"/>
    <w:rsid w:val="00C50C66"/>
    <w:rsid w:val="00C51722"/>
    <w:rsid w:val="00C51D31"/>
    <w:rsid w:val="00C52275"/>
    <w:rsid w:val="00C53CFB"/>
    <w:rsid w:val="00C5456C"/>
    <w:rsid w:val="00C5589C"/>
    <w:rsid w:val="00C56395"/>
    <w:rsid w:val="00C574D3"/>
    <w:rsid w:val="00C57B45"/>
    <w:rsid w:val="00C6061C"/>
    <w:rsid w:val="00C6142D"/>
    <w:rsid w:val="00C6209B"/>
    <w:rsid w:val="00C62412"/>
    <w:rsid w:val="00C6256A"/>
    <w:rsid w:val="00C62E52"/>
    <w:rsid w:val="00C64FE7"/>
    <w:rsid w:val="00C6588D"/>
    <w:rsid w:val="00C65B51"/>
    <w:rsid w:val="00C70A9E"/>
    <w:rsid w:val="00C70C10"/>
    <w:rsid w:val="00C7249C"/>
    <w:rsid w:val="00C72815"/>
    <w:rsid w:val="00C729F6"/>
    <w:rsid w:val="00C72A21"/>
    <w:rsid w:val="00C72A2C"/>
    <w:rsid w:val="00C7394A"/>
    <w:rsid w:val="00C741EF"/>
    <w:rsid w:val="00C7426D"/>
    <w:rsid w:val="00C7468C"/>
    <w:rsid w:val="00C766A5"/>
    <w:rsid w:val="00C7702B"/>
    <w:rsid w:val="00C8090C"/>
    <w:rsid w:val="00C80CC5"/>
    <w:rsid w:val="00C81802"/>
    <w:rsid w:val="00C82ADE"/>
    <w:rsid w:val="00C837E1"/>
    <w:rsid w:val="00C85062"/>
    <w:rsid w:val="00C85553"/>
    <w:rsid w:val="00C8614D"/>
    <w:rsid w:val="00C86D68"/>
    <w:rsid w:val="00C86F7B"/>
    <w:rsid w:val="00C907C3"/>
    <w:rsid w:val="00C90B96"/>
    <w:rsid w:val="00C9320F"/>
    <w:rsid w:val="00C93A32"/>
    <w:rsid w:val="00C94DE0"/>
    <w:rsid w:val="00C95622"/>
    <w:rsid w:val="00C96870"/>
    <w:rsid w:val="00C96977"/>
    <w:rsid w:val="00CA11C6"/>
    <w:rsid w:val="00CA11E8"/>
    <w:rsid w:val="00CA1BB9"/>
    <w:rsid w:val="00CA1C71"/>
    <w:rsid w:val="00CA4C66"/>
    <w:rsid w:val="00CA572D"/>
    <w:rsid w:val="00CA59FD"/>
    <w:rsid w:val="00CA6387"/>
    <w:rsid w:val="00CA693A"/>
    <w:rsid w:val="00CA7341"/>
    <w:rsid w:val="00CB0853"/>
    <w:rsid w:val="00CB1230"/>
    <w:rsid w:val="00CB2B67"/>
    <w:rsid w:val="00CB37A3"/>
    <w:rsid w:val="00CB6CCF"/>
    <w:rsid w:val="00CB72A5"/>
    <w:rsid w:val="00CC000E"/>
    <w:rsid w:val="00CC04C3"/>
    <w:rsid w:val="00CC0705"/>
    <w:rsid w:val="00CC096F"/>
    <w:rsid w:val="00CC0BC0"/>
    <w:rsid w:val="00CC1892"/>
    <w:rsid w:val="00CC3353"/>
    <w:rsid w:val="00CC342D"/>
    <w:rsid w:val="00CC4C18"/>
    <w:rsid w:val="00CC508C"/>
    <w:rsid w:val="00CC7D3E"/>
    <w:rsid w:val="00CD081D"/>
    <w:rsid w:val="00CD1819"/>
    <w:rsid w:val="00CD28AC"/>
    <w:rsid w:val="00CD30C0"/>
    <w:rsid w:val="00CD4925"/>
    <w:rsid w:val="00CD4F81"/>
    <w:rsid w:val="00CD5B56"/>
    <w:rsid w:val="00CD72E6"/>
    <w:rsid w:val="00CE207E"/>
    <w:rsid w:val="00CE40D4"/>
    <w:rsid w:val="00CE4855"/>
    <w:rsid w:val="00CE4B49"/>
    <w:rsid w:val="00CE5441"/>
    <w:rsid w:val="00CE5D81"/>
    <w:rsid w:val="00CE7BE4"/>
    <w:rsid w:val="00CF03BC"/>
    <w:rsid w:val="00CF0D95"/>
    <w:rsid w:val="00CF43CC"/>
    <w:rsid w:val="00CF45CB"/>
    <w:rsid w:val="00CF531E"/>
    <w:rsid w:val="00CF5648"/>
    <w:rsid w:val="00CF5BC8"/>
    <w:rsid w:val="00CF63C6"/>
    <w:rsid w:val="00CF68E4"/>
    <w:rsid w:val="00CF6A9D"/>
    <w:rsid w:val="00CF7133"/>
    <w:rsid w:val="00CF72CF"/>
    <w:rsid w:val="00D003CE"/>
    <w:rsid w:val="00D007F2"/>
    <w:rsid w:val="00D00B8C"/>
    <w:rsid w:val="00D00F6F"/>
    <w:rsid w:val="00D01104"/>
    <w:rsid w:val="00D01252"/>
    <w:rsid w:val="00D0157B"/>
    <w:rsid w:val="00D01F5F"/>
    <w:rsid w:val="00D0204F"/>
    <w:rsid w:val="00D02D1B"/>
    <w:rsid w:val="00D035A0"/>
    <w:rsid w:val="00D03EAC"/>
    <w:rsid w:val="00D045D5"/>
    <w:rsid w:val="00D04620"/>
    <w:rsid w:val="00D04D65"/>
    <w:rsid w:val="00D071BD"/>
    <w:rsid w:val="00D0723A"/>
    <w:rsid w:val="00D102CE"/>
    <w:rsid w:val="00D104B6"/>
    <w:rsid w:val="00D11FE8"/>
    <w:rsid w:val="00D12449"/>
    <w:rsid w:val="00D1254C"/>
    <w:rsid w:val="00D12A4F"/>
    <w:rsid w:val="00D130AA"/>
    <w:rsid w:val="00D1393F"/>
    <w:rsid w:val="00D13A98"/>
    <w:rsid w:val="00D17DD0"/>
    <w:rsid w:val="00D2019E"/>
    <w:rsid w:val="00D20856"/>
    <w:rsid w:val="00D20DDA"/>
    <w:rsid w:val="00D20E5E"/>
    <w:rsid w:val="00D20F6B"/>
    <w:rsid w:val="00D22873"/>
    <w:rsid w:val="00D23D0D"/>
    <w:rsid w:val="00D24B71"/>
    <w:rsid w:val="00D25EB5"/>
    <w:rsid w:val="00D26A44"/>
    <w:rsid w:val="00D3060B"/>
    <w:rsid w:val="00D31BFA"/>
    <w:rsid w:val="00D34495"/>
    <w:rsid w:val="00D36144"/>
    <w:rsid w:val="00D37263"/>
    <w:rsid w:val="00D40A26"/>
    <w:rsid w:val="00D43A4B"/>
    <w:rsid w:val="00D43EAC"/>
    <w:rsid w:val="00D4464E"/>
    <w:rsid w:val="00D44776"/>
    <w:rsid w:val="00D44CF8"/>
    <w:rsid w:val="00D44FE3"/>
    <w:rsid w:val="00D45529"/>
    <w:rsid w:val="00D46C4C"/>
    <w:rsid w:val="00D47D5B"/>
    <w:rsid w:val="00D5006A"/>
    <w:rsid w:val="00D5056B"/>
    <w:rsid w:val="00D50696"/>
    <w:rsid w:val="00D51D42"/>
    <w:rsid w:val="00D54558"/>
    <w:rsid w:val="00D5541B"/>
    <w:rsid w:val="00D55595"/>
    <w:rsid w:val="00D5594E"/>
    <w:rsid w:val="00D5711F"/>
    <w:rsid w:val="00D57133"/>
    <w:rsid w:val="00D6049D"/>
    <w:rsid w:val="00D60A4C"/>
    <w:rsid w:val="00D6121A"/>
    <w:rsid w:val="00D61F7D"/>
    <w:rsid w:val="00D623E2"/>
    <w:rsid w:val="00D624D8"/>
    <w:rsid w:val="00D62E90"/>
    <w:rsid w:val="00D6391A"/>
    <w:rsid w:val="00D63A83"/>
    <w:rsid w:val="00D64CF7"/>
    <w:rsid w:val="00D658A2"/>
    <w:rsid w:val="00D658AC"/>
    <w:rsid w:val="00D65ECC"/>
    <w:rsid w:val="00D66355"/>
    <w:rsid w:val="00D70042"/>
    <w:rsid w:val="00D70AB4"/>
    <w:rsid w:val="00D715B1"/>
    <w:rsid w:val="00D72508"/>
    <w:rsid w:val="00D72D97"/>
    <w:rsid w:val="00D7303D"/>
    <w:rsid w:val="00D732C9"/>
    <w:rsid w:val="00D73A34"/>
    <w:rsid w:val="00D75401"/>
    <w:rsid w:val="00D757D9"/>
    <w:rsid w:val="00D75A84"/>
    <w:rsid w:val="00D75EEB"/>
    <w:rsid w:val="00D7742F"/>
    <w:rsid w:val="00D80729"/>
    <w:rsid w:val="00D80939"/>
    <w:rsid w:val="00D81B47"/>
    <w:rsid w:val="00D837BE"/>
    <w:rsid w:val="00D84239"/>
    <w:rsid w:val="00D849D8"/>
    <w:rsid w:val="00D84F0D"/>
    <w:rsid w:val="00D8506A"/>
    <w:rsid w:val="00D856E7"/>
    <w:rsid w:val="00D86125"/>
    <w:rsid w:val="00D86551"/>
    <w:rsid w:val="00D90A22"/>
    <w:rsid w:val="00D90CF5"/>
    <w:rsid w:val="00D90E4F"/>
    <w:rsid w:val="00D917B3"/>
    <w:rsid w:val="00D91860"/>
    <w:rsid w:val="00D91FCF"/>
    <w:rsid w:val="00D928BB"/>
    <w:rsid w:val="00D94C71"/>
    <w:rsid w:val="00D95BA3"/>
    <w:rsid w:val="00D963DA"/>
    <w:rsid w:val="00D9662D"/>
    <w:rsid w:val="00D9664D"/>
    <w:rsid w:val="00D969BE"/>
    <w:rsid w:val="00D971F8"/>
    <w:rsid w:val="00D975C3"/>
    <w:rsid w:val="00D977EF"/>
    <w:rsid w:val="00DA0F21"/>
    <w:rsid w:val="00DA28DE"/>
    <w:rsid w:val="00DA317B"/>
    <w:rsid w:val="00DA3772"/>
    <w:rsid w:val="00DA3C59"/>
    <w:rsid w:val="00DA4BB4"/>
    <w:rsid w:val="00DA4D73"/>
    <w:rsid w:val="00DA5076"/>
    <w:rsid w:val="00DA6414"/>
    <w:rsid w:val="00DA6E82"/>
    <w:rsid w:val="00DA711B"/>
    <w:rsid w:val="00DA744A"/>
    <w:rsid w:val="00DA7D77"/>
    <w:rsid w:val="00DB069D"/>
    <w:rsid w:val="00DB1168"/>
    <w:rsid w:val="00DB21A7"/>
    <w:rsid w:val="00DB305F"/>
    <w:rsid w:val="00DB3182"/>
    <w:rsid w:val="00DB3DE6"/>
    <w:rsid w:val="00DB40D4"/>
    <w:rsid w:val="00DB4408"/>
    <w:rsid w:val="00DB667D"/>
    <w:rsid w:val="00DB7680"/>
    <w:rsid w:val="00DB7FA4"/>
    <w:rsid w:val="00DC38B2"/>
    <w:rsid w:val="00DC4183"/>
    <w:rsid w:val="00DC565D"/>
    <w:rsid w:val="00DC56DF"/>
    <w:rsid w:val="00DC7D01"/>
    <w:rsid w:val="00DD08C1"/>
    <w:rsid w:val="00DD0EA9"/>
    <w:rsid w:val="00DD299F"/>
    <w:rsid w:val="00DD36C0"/>
    <w:rsid w:val="00DD3AA4"/>
    <w:rsid w:val="00DD5414"/>
    <w:rsid w:val="00DD5C11"/>
    <w:rsid w:val="00DD5E27"/>
    <w:rsid w:val="00DD6546"/>
    <w:rsid w:val="00DD6553"/>
    <w:rsid w:val="00DD6811"/>
    <w:rsid w:val="00DD6C99"/>
    <w:rsid w:val="00DE0954"/>
    <w:rsid w:val="00DE2B65"/>
    <w:rsid w:val="00DE3936"/>
    <w:rsid w:val="00DE413F"/>
    <w:rsid w:val="00DE42EF"/>
    <w:rsid w:val="00DE4EA8"/>
    <w:rsid w:val="00DE76D8"/>
    <w:rsid w:val="00DE7704"/>
    <w:rsid w:val="00DE7A04"/>
    <w:rsid w:val="00DE7D6A"/>
    <w:rsid w:val="00DF023B"/>
    <w:rsid w:val="00DF0588"/>
    <w:rsid w:val="00DF1033"/>
    <w:rsid w:val="00DF3A7C"/>
    <w:rsid w:val="00DF3F4C"/>
    <w:rsid w:val="00DF4415"/>
    <w:rsid w:val="00DF4F57"/>
    <w:rsid w:val="00DF598E"/>
    <w:rsid w:val="00DF685F"/>
    <w:rsid w:val="00DF6C66"/>
    <w:rsid w:val="00E01AE8"/>
    <w:rsid w:val="00E02566"/>
    <w:rsid w:val="00E04B57"/>
    <w:rsid w:val="00E061DD"/>
    <w:rsid w:val="00E0799D"/>
    <w:rsid w:val="00E07B63"/>
    <w:rsid w:val="00E113DB"/>
    <w:rsid w:val="00E12058"/>
    <w:rsid w:val="00E12531"/>
    <w:rsid w:val="00E12C98"/>
    <w:rsid w:val="00E1352D"/>
    <w:rsid w:val="00E13D69"/>
    <w:rsid w:val="00E161C1"/>
    <w:rsid w:val="00E17B50"/>
    <w:rsid w:val="00E2175D"/>
    <w:rsid w:val="00E22A9C"/>
    <w:rsid w:val="00E236BF"/>
    <w:rsid w:val="00E243A6"/>
    <w:rsid w:val="00E25A77"/>
    <w:rsid w:val="00E25C1B"/>
    <w:rsid w:val="00E25EA6"/>
    <w:rsid w:val="00E26FA9"/>
    <w:rsid w:val="00E319C7"/>
    <w:rsid w:val="00E31E2C"/>
    <w:rsid w:val="00E3263C"/>
    <w:rsid w:val="00E3277E"/>
    <w:rsid w:val="00E33140"/>
    <w:rsid w:val="00E331D9"/>
    <w:rsid w:val="00E34853"/>
    <w:rsid w:val="00E34E82"/>
    <w:rsid w:val="00E353E4"/>
    <w:rsid w:val="00E358CC"/>
    <w:rsid w:val="00E366D8"/>
    <w:rsid w:val="00E37493"/>
    <w:rsid w:val="00E37ADD"/>
    <w:rsid w:val="00E40763"/>
    <w:rsid w:val="00E41CDF"/>
    <w:rsid w:val="00E42A05"/>
    <w:rsid w:val="00E437CE"/>
    <w:rsid w:val="00E469B8"/>
    <w:rsid w:val="00E470D2"/>
    <w:rsid w:val="00E4760C"/>
    <w:rsid w:val="00E47FB3"/>
    <w:rsid w:val="00E5034D"/>
    <w:rsid w:val="00E508CF"/>
    <w:rsid w:val="00E50D5A"/>
    <w:rsid w:val="00E5376D"/>
    <w:rsid w:val="00E54EA9"/>
    <w:rsid w:val="00E54FFA"/>
    <w:rsid w:val="00E55450"/>
    <w:rsid w:val="00E57745"/>
    <w:rsid w:val="00E6027A"/>
    <w:rsid w:val="00E60EEB"/>
    <w:rsid w:val="00E610D1"/>
    <w:rsid w:val="00E612E2"/>
    <w:rsid w:val="00E649ED"/>
    <w:rsid w:val="00E64CF2"/>
    <w:rsid w:val="00E67A84"/>
    <w:rsid w:val="00E7015C"/>
    <w:rsid w:val="00E70E46"/>
    <w:rsid w:val="00E71CE6"/>
    <w:rsid w:val="00E72073"/>
    <w:rsid w:val="00E72A00"/>
    <w:rsid w:val="00E74177"/>
    <w:rsid w:val="00E7431A"/>
    <w:rsid w:val="00E75864"/>
    <w:rsid w:val="00E76C34"/>
    <w:rsid w:val="00E8016E"/>
    <w:rsid w:val="00E8264B"/>
    <w:rsid w:val="00E82F69"/>
    <w:rsid w:val="00E832B8"/>
    <w:rsid w:val="00E83DFC"/>
    <w:rsid w:val="00E8463F"/>
    <w:rsid w:val="00E85F71"/>
    <w:rsid w:val="00E87F51"/>
    <w:rsid w:val="00E92CB4"/>
    <w:rsid w:val="00E93A5E"/>
    <w:rsid w:val="00E97F3B"/>
    <w:rsid w:val="00EA010A"/>
    <w:rsid w:val="00EA10D9"/>
    <w:rsid w:val="00EA1100"/>
    <w:rsid w:val="00EA1ACB"/>
    <w:rsid w:val="00EA2A90"/>
    <w:rsid w:val="00EA352A"/>
    <w:rsid w:val="00EA3F27"/>
    <w:rsid w:val="00EA43F9"/>
    <w:rsid w:val="00EA510D"/>
    <w:rsid w:val="00EA78EA"/>
    <w:rsid w:val="00EB0CDE"/>
    <w:rsid w:val="00EB21AE"/>
    <w:rsid w:val="00EB2CBC"/>
    <w:rsid w:val="00EB3535"/>
    <w:rsid w:val="00EB67DC"/>
    <w:rsid w:val="00EB71D2"/>
    <w:rsid w:val="00EB7D91"/>
    <w:rsid w:val="00EC0199"/>
    <w:rsid w:val="00EC0829"/>
    <w:rsid w:val="00EC1FCB"/>
    <w:rsid w:val="00EC4ECC"/>
    <w:rsid w:val="00EC7F71"/>
    <w:rsid w:val="00ED1782"/>
    <w:rsid w:val="00ED35BC"/>
    <w:rsid w:val="00ED57D3"/>
    <w:rsid w:val="00ED58A9"/>
    <w:rsid w:val="00ED5B5A"/>
    <w:rsid w:val="00ED5FF7"/>
    <w:rsid w:val="00ED641E"/>
    <w:rsid w:val="00EE06F6"/>
    <w:rsid w:val="00EE1202"/>
    <w:rsid w:val="00EE55EC"/>
    <w:rsid w:val="00EE5CB1"/>
    <w:rsid w:val="00EE6E15"/>
    <w:rsid w:val="00EE6EEC"/>
    <w:rsid w:val="00EE72AA"/>
    <w:rsid w:val="00EF2EC2"/>
    <w:rsid w:val="00EF2F70"/>
    <w:rsid w:val="00EF37E7"/>
    <w:rsid w:val="00EF6910"/>
    <w:rsid w:val="00EF6C18"/>
    <w:rsid w:val="00F0176E"/>
    <w:rsid w:val="00F019D9"/>
    <w:rsid w:val="00F01C7A"/>
    <w:rsid w:val="00F0344A"/>
    <w:rsid w:val="00F035A1"/>
    <w:rsid w:val="00F04298"/>
    <w:rsid w:val="00F04AB1"/>
    <w:rsid w:val="00F0688E"/>
    <w:rsid w:val="00F068D3"/>
    <w:rsid w:val="00F108F4"/>
    <w:rsid w:val="00F10C78"/>
    <w:rsid w:val="00F1122D"/>
    <w:rsid w:val="00F11305"/>
    <w:rsid w:val="00F1186C"/>
    <w:rsid w:val="00F12AFA"/>
    <w:rsid w:val="00F12F64"/>
    <w:rsid w:val="00F14D0B"/>
    <w:rsid w:val="00F15034"/>
    <w:rsid w:val="00F1511B"/>
    <w:rsid w:val="00F165CC"/>
    <w:rsid w:val="00F17D28"/>
    <w:rsid w:val="00F20610"/>
    <w:rsid w:val="00F20B2B"/>
    <w:rsid w:val="00F22728"/>
    <w:rsid w:val="00F24C66"/>
    <w:rsid w:val="00F25FF8"/>
    <w:rsid w:val="00F266F2"/>
    <w:rsid w:val="00F26F71"/>
    <w:rsid w:val="00F27AE0"/>
    <w:rsid w:val="00F27E5B"/>
    <w:rsid w:val="00F30284"/>
    <w:rsid w:val="00F30AA5"/>
    <w:rsid w:val="00F3237D"/>
    <w:rsid w:val="00F32F9E"/>
    <w:rsid w:val="00F337B8"/>
    <w:rsid w:val="00F33C4C"/>
    <w:rsid w:val="00F3484C"/>
    <w:rsid w:val="00F35B7B"/>
    <w:rsid w:val="00F36BBF"/>
    <w:rsid w:val="00F3706D"/>
    <w:rsid w:val="00F4129B"/>
    <w:rsid w:val="00F4139D"/>
    <w:rsid w:val="00F4189C"/>
    <w:rsid w:val="00F429CB"/>
    <w:rsid w:val="00F42B91"/>
    <w:rsid w:val="00F42C46"/>
    <w:rsid w:val="00F42C68"/>
    <w:rsid w:val="00F43A9C"/>
    <w:rsid w:val="00F43BB0"/>
    <w:rsid w:val="00F43C0E"/>
    <w:rsid w:val="00F46722"/>
    <w:rsid w:val="00F47F9E"/>
    <w:rsid w:val="00F50E59"/>
    <w:rsid w:val="00F50EA2"/>
    <w:rsid w:val="00F525AE"/>
    <w:rsid w:val="00F536A2"/>
    <w:rsid w:val="00F5591B"/>
    <w:rsid w:val="00F5603D"/>
    <w:rsid w:val="00F57669"/>
    <w:rsid w:val="00F60458"/>
    <w:rsid w:val="00F61AB4"/>
    <w:rsid w:val="00F61B5C"/>
    <w:rsid w:val="00F62EEB"/>
    <w:rsid w:val="00F63D63"/>
    <w:rsid w:val="00F63DB3"/>
    <w:rsid w:val="00F64267"/>
    <w:rsid w:val="00F64529"/>
    <w:rsid w:val="00F65F9F"/>
    <w:rsid w:val="00F66BE2"/>
    <w:rsid w:val="00F6768B"/>
    <w:rsid w:val="00F7139F"/>
    <w:rsid w:val="00F71907"/>
    <w:rsid w:val="00F724E9"/>
    <w:rsid w:val="00F72835"/>
    <w:rsid w:val="00F72C43"/>
    <w:rsid w:val="00F732B0"/>
    <w:rsid w:val="00F74561"/>
    <w:rsid w:val="00F767F2"/>
    <w:rsid w:val="00F809DB"/>
    <w:rsid w:val="00F82136"/>
    <w:rsid w:val="00F83998"/>
    <w:rsid w:val="00F84649"/>
    <w:rsid w:val="00F8572D"/>
    <w:rsid w:val="00F867C5"/>
    <w:rsid w:val="00F86B2C"/>
    <w:rsid w:val="00F86BE2"/>
    <w:rsid w:val="00F87B5A"/>
    <w:rsid w:val="00F905A9"/>
    <w:rsid w:val="00F90779"/>
    <w:rsid w:val="00F907EE"/>
    <w:rsid w:val="00F90E26"/>
    <w:rsid w:val="00F90E32"/>
    <w:rsid w:val="00F9117D"/>
    <w:rsid w:val="00F91813"/>
    <w:rsid w:val="00F919D5"/>
    <w:rsid w:val="00F95FFE"/>
    <w:rsid w:val="00F9648D"/>
    <w:rsid w:val="00F96B73"/>
    <w:rsid w:val="00FA0741"/>
    <w:rsid w:val="00FA1051"/>
    <w:rsid w:val="00FA131F"/>
    <w:rsid w:val="00FA15EA"/>
    <w:rsid w:val="00FA1B49"/>
    <w:rsid w:val="00FA1C87"/>
    <w:rsid w:val="00FA20D4"/>
    <w:rsid w:val="00FA20E7"/>
    <w:rsid w:val="00FA253E"/>
    <w:rsid w:val="00FA2C57"/>
    <w:rsid w:val="00FA2DB2"/>
    <w:rsid w:val="00FA3061"/>
    <w:rsid w:val="00FA348B"/>
    <w:rsid w:val="00FA4B1E"/>
    <w:rsid w:val="00FB0757"/>
    <w:rsid w:val="00FB2C0B"/>
    <w:rsid w:val="00FB3113"/>
    <w:rsid w:val="00FB32E9"/>
    <w:rsid w:val="00FB3D51"/>
    <w:rsid w:val="00FB40D0"/>
    <w:rsid w:val="00FB4E6F"/>
    <w:rsid w:val="00FB5130"/>
    <w:rsid w:val="00FB6B74"/>
    <w:rsid w:val="00FB7044"/>
    <w:rsid w:val="00FB7F5F"/>
    <w:rsid w:val="00FC11AD"/>
    <w:rsid w:val="00FC2426"/>
    <w:rsid w:val="00FC2CC3"/>
    <w:rsid w:val="00FC2E41"/>
    <w:rsid w:val="00FC3915"/>
    <w:rsid w:val="00FC3E6E"/>
    <w:rsid w:val="00FC40B1"/>
    <w:rsid w:val="00FC48B6"/>
    <w:rsid w:val="00FC4971"/>
    <w:rsid w:val="00FC4D48"/>
    <w:rsid w:val="00FC5220"/>
    <w:rsid w:val="00FC5A49"/>
    <w:rsid w:val="00FC5C37"/>
    <w:rsid w:val="00FC6B46"/>
    <w:rsid w:val="00FC6F48"/>
    <w:rsid w:val="00FD143E"/>
    <w:rsid w:val="00FD1B77"/>
    <w:rsid w:val="00FD1E7E"/>
    <w:rsid w:val="00FD1F10"/>
    <w:rsid w:val="00FD30ED"/>
    <w:rsid w:val="00FD38E9"/>
    <w:rsid w:val="00FD44DA"/>
    <w:rsid w:val="00FD4B5D"/>
    <w:rsid w:val="00FD6139"/>
    <w:rsid w:val="00FD697A"/>
    <w:rsid w:val="00FD6ECE"/>
    <w:rsid w:val="00FD7F04"/>
    <w:rsid w:val="00FE00B8"/>
    <w:rsid w:val="00FE0DF9"/>
    <w:rsid w:val="00FE0DFA"/>
    <w:rsid w:val="00FE1536"/>
    <w:rsid w:val="00FE19E0"/>
    <w:rsid w:val="00FE2112"/>
    <w:rsid w:val="00FE46A1"/>
    <w:rsid w:val="00FF02BE"/>
    <w:rsid w:val="00FF0597"/>
    <w:rsid w:val="00FF1259"/>
    <w:rsid w:val="00FF25FC"/>
    <w:rsid w:val="00FF26BA"/>
    <w:rsid w:val="00FF2800"/>
    <w:rsid w:val="00FF339E"/>
    <w:rsid w:val="00FF3410"/>
    <w:rsid w:val="00FF5899"/>
    <w:rsid w:val="00FF6053"/>
    <w:rsid w:val="00FF6B54"/>
    <w:rsid w:val="021B0702"/>
    <w:rsid w:val="023512AC"/>
    <w:rsid w:val="02497F4C"/>
    <w:rsid w:val="0293294A"/>
    <w:rsid w:val="03701033"/>
    <w:rsid w:val="037B15C3"/>
    <w:rsid w:val="03B04E11"/>
    <w:rsid w:val="03CB2647"/>
    <w:rsid w:val="040824AC"/>
    <w:rsid w:val="04354274"/>
    <w:rsid w:val="04556D28"/>
    <w:rsid w:val="04862D7A"/>
    <w:rsid w:val="05215177"/>
    <w:rsid w:val="05575651"/>
    <w:rsid w:val="05742A02"/>
    <w:rsid w:val="05773987"/>
    <w:rsid w:val="05A012C8"/>
    <w:rsid w:val="05DF682E"/>
    <w:rsid w:val="06436553"/>
    <w:rsid w:val="064A5EDE"/>
    <w:rsid w:val="0685283F"/>
    <w:rsid w:val="07215F41"/>
    <w:rsid w:val="07FDF2CC"/>
    <w:rsid w:val="09087528"/>
    <w:rsid w:val="090B34E3"/>
    <w:rsid w:val="094F2CD3"/>
    <w:rsid w:val="096473F5"/>
    <w:rsid w:val="096C0084"/>
    <w:rsid w:val="0A8607D1"/>
    <w:rsid w:val="0AFD1714"/>
    <w:rsid w:val="0B0C64AC"/>
    <w:rsid w:val="0B102933"/>
    <w:rsid w:val="0B1E1C49"/>
    <w:rsid w:val="0BA310E8"/>
    <w:rsid w:val="0BDF1D07"/>
    <w:rsid w:val="0C041C8E"/>
    <w:rsid w:val="0C2F5309"/>
    <w:rsid w:val="0C583F4F"/>
    <w:rsid w:val="0C686768"/>
    <w:rsid w:val="0C9814B6"/>
    <w:rsid w:val="0CFE46DD"/>
    <w:rsid w:val="0D026967"/>
    <w:rsid w:val="0D8C5246"/>
    <w:rsid w:val="0E172C2B"/>
    <w:rsid w:val="0EF41315"/>
    <w:rsid w:val="0F044E32"/>
    <w:rsid w:val="0F0D443D"/>
    <w:rsid w:val="0FF4473B"/>
    <w:rsid w:val="0FFEFC07"/>
    <w:rsid w:val="10372802"/>
    <w:rsid w:val="117400AF"/>
    <w:rsid w:val="11C56BB4"/>
    <w:rsid w:val="123D4B11"/>
    <w:rsid w:val="12437483"/>
    <w:rsid w:val="12500D17"/>
    <w:rsid w:val="128D65FD"/>
    <w:rsid w:val="12A32D1F"/>
    <w:rsid w:val="12AA012C"/>
    <w:rsid w:val="12B719C0"/>
    <w:rsid w:val="12B90746"/>
    <w:rsid w:val="12EB0906"/>
    <w:rsid w:val="130804C5"/>
    <w:rsid w:val="13451801"/>
    <w:rsid w:val="13DA366C"/>
    <w:rsid w:val="13EA433B"/>
    <w:rsid w:val="13F82C1C"/>
    <w:rsid w:val="1480482F"/>
    <w:rsid w:val="14AE78FC"/>
    <w:rsid w:val="1504288A"/>
    <w:rsid w:val="152044AC"/>
    <w:rsid w:val="15336E68"/>
    <w:rsid w:val="15DB74F7"/>
    <w:rsid w:val="160C7839"/>
    <w:rsid w:val="16AC1941"/>
    <w:rsid w:val="16F26832"/>
    <w:rsid w:val="177A1468"/>
    <w:rsid w:val="177F771A"/>
    <w:rsid w:val="17D46E24"/>
    <w:rsid w:val="18717FA7"/>
    <w:rsid w:val="197D395D"/>
    <w:rsid w:val="1986567A"/>
    <w:rsid w:val="19871CEE"/>
    <w:rsid w:val="1A281877"/>
    <w:rsid w:val="1A7828FB"/>
    <w:rsid w:val="1AB13D5A"/>
    <w:rsid w:val="1AD47792"/>
    <w:rsid w:val="1B7C0EA4"/>
    <w:rsid w:val="1BEB8967"/>
    <w:rsid w:val="1BFD09BF"/>
    <w:rsid w:val="1D014681"/>
    <w:rsid w:val="1D024523"/>
    <w:rsid w:val="1D3C0E85"/>
    <w:rsid w:val="1D682FCE"/>
    <w:rsid w:val="1D8D6F55"/>
    <w:rsid w:val="1E4C3240"/>
    <w:rsid w:val="1ED0129B"/>
    <w:rsid w:val="1EE597B3"/>
    <w:rsid w:val="1F2961EB"/>
    <w:rsid w:val="1F741DA9"/>
    <w:rsid w:val="1F7D4C37"/>
    <w:rsid w:val="1F7F208F"/>
    <w:rsid w:val="1F7F55DF"/>
    <w:rsid w:val="1F9D516C"/>
    <w:rsid w:val="1FE06EDA"/>
    <w:rsid w:val="1FEFA05B"/>
    <w:rsid w:val="1FFF54DC"/>
    <w:rsid w:val="1FFFA761"/>
    <w:rsid w:val="200B1023"/>
    <w:rsid w:val="2206685F"/>
    <w:rsid w:val="229A7217"/>
    <w:rsid w:val="22CE277B"/>
    <w:rsid w:val="22ED6B5D"/>
    <w:rsid w:val="23C62FBD"/>
    <w:rsid w:val="23CC2948"/>
    <w:rsid w:val="2467D93F"/>
    <w:rsid w:val="24AC1FB6"/>
    <w:rsid w:val="25502AC4"/>
    <w:rsid w:val="25D71AA3"/>
    <w:rsid w:val="25EA2CC2"/>
    <w:rsid w:val="25F71FD8"/>
    <w:rsid w:val="263A3D46"/>
    <w:rsid w:val="2665260C"/>
    <w:rsid w:val="26955359"/>
    <w:rsid w:val="2775024B"/>
    <w:rsid w:val="278F3FE6"/>
    <w:rsid w:val="27EE4691"/>
    <w:rsid w:val="27FB913D"/>
    <w:rsid w:val="288E6799"/>
    <w:rsid w:val="29001F50"/>
    <w:rsid w:val="2935022C"/>
    <w:rsid w:val="2A012DF7"/>
    <w:rsid w:val="2A0B6F8A"/>
    <w:rsid w:val="2A0D6C0A"/>
    <w:rsid w:val="2A8E045D"/>
    <w:rsid w:val="2B563729"/>
    <w:rsid w:val="2BBD0B4F"/>
    <w:rsid w:val="2BC86EE0"/>
    <w:rsid w:val="2C1C21ED"/>
    <w:rsid w:val="2C3B141D"/>
    <w:rsid w:val="2C503941"/>
    <w:rsid w:val="2C752D6E"/>
    <w:rsid w:val="2C792587"/>
    <w:rsid w:val="2C8A4A20"/>
    <w:rsid w:val="2C8E3426"/>
    <w:rsid w:val="2CA455C9"/>
    <w:rsid w:val="2D0D7577"/>
    <w:rsid w:val="2D3A4BC3"/>
    <w:rsid w:val="2D3B7B1A"/>
    <w:rsid w:val="2D642184"/>
    <w:rsid w:val="2D824FB8"/>
    <w:rsid w:val="2DF29F14"/>
    <w:rsid w:val="2E105B20"/>
    <w:rsid w:val="2E4C7F04"/>
    <w:rsid w:val="2ED7703C"/>
    <w:rsid w:val="2EE203F7"/>
    <w:rsid w:val="2F5AFDD9"/>
    <w:rsid w:val="2F947BA1"/>
    <w:rsid w:val="2FF619D0"/>
    <w:rsid w:val="2FFD56CC"/>
    <w:rsid w:val="308A4F2F"/>
    <w:rsid w:val="319331E3"/>
    <w:rsid w:val="320F3894"/>
    <w:rsid w:val="321005AF"/>
    <w:rsid w:val="32B310BD"/>
    <w:rsid w:val="32B77A51"/>
    <w:rsid w:val="32F5E03D"/>
    <w:rsid w:val="33401FA5"/>
    <w:rsid w:val="338E7B26"/>
    <w:rsid w:val="33D33712"/>
    <w:rsid w:val="33FB0B74"/>
    <w:rsid w:val="33FF5D3F"/>
    <w:rsid w:val="34A5186D"/>
    <w:rsid w:val="34E500D8"/>
    <w:rsid w:val="3507028C"/>
    <w:rsid w:val="3557CC71"/>
    <w:rsid w:val="355C5798"/>
    <w:rsid w:val="357C2B31"/>
    <w:rsid w:val="35AB6B9C"/>
    <w:rsid w:val="35B7A3EE"/>
    <w:rsid w:val="35F4C57E"/>
    <w:rsid w:val="35FB11FE"/>
    <w:rsid w:val="35FD7127"/>
    <w:rsid w:val="35FF4006"/>
    <w:rsid w:val="361913CE"/>
    <w:rsid w:val="364F7D28"/>
    <w:rsid w:val="36732D61"/>
    <w:rsid w:val="36ECE6D6"/>
    <w:rsid w:val="36FD1E2C"/>
    <w:rsid w:val="37266088"/>
    <w:rsid w:val="3729700D"/>
    <w:rsid w:val="37CB4618"/>
    <w:rsid w:val="37F792A7"/>
    <w:rsid w:val="37F7F639"/>
    <w:rsid w:val="389E6B6E"/>
    <w:rsid w:val="38FF590E"/>
    <w:rsid w:val="393947EE"/>
    <w:rsid w:val="39511E95"/>
    <w:rsid w:val="39D38234"/>
    <w:rsid w:val="39E11784"/>
    <w:rsid w:val="39F60425"/>
    <w:rsid w:val="39FF2F86"/>
    <w:rsid w:val="39FFB637"/>
    <w:rsid w:val="3A5FD750"/>
    <w:rsid w:val="3A6D4BEB"/>
    <w:rsid w:val="3A9C1EB7"/>
    <w:rsid w:val="3AE016A7"/>
    <w:rsid w:val="3AEC2F3B"/>
    <w:rsid w:val="3B0350DF"/>
    <w:rsid w:val="3B3F3308"/>
    <w:rsid w:val="3B807F2C"/>
    <w:rsid w:val="3B93114B"/>
    <w:rsid w:val="3B980E56"/>
    <w:rsid w:val="3BB65987"/>
    <w:rsid w:val="3BBF2343"/>
    <w:rsid w:val="3BBFA9E4"/>
    <w:rsid w:val="3BEBE050"/>
    <w:rsid w:val="3BF78DB8"/>
    <w:rsid w:val="3C807ACE"/>
    <w:rsid w:val="3CD97263"/>
    <w:rsid w:val="3CE861F9"/>
    <w:rsid w:val="3DB520C9"/>
    <w:rsid w:val="3DD781BE"/>
    <w:rsid w:val="3DF022AF"/>
    <w:rsid w:val="3DF30C1D"/>
    <w:rsid w:val="3DF5DF4B"/>
    <w:rsid w:val="3DF7877A"/>
    <w:rsid w:val="3DFA4D86"/>
    <w:rsid w:val="3DFF21A0"/>
    <w:rsid w:val="3DFF30C5"/>
    <w:rsid w:val="3E546750"/>
    <w:rsid w:val="3E787C09"/>
    <w:rsid w:val="3EBF8522"/>
    <w:rsid w:val="3EFFFE30"/>
    <w:rsid w:val="3F5DDE3B"/>
    <w:rsid w:val="3F7EDCB8"/>
    <w:rsid w:val="3F9D4470"/>
    <w:rsid w:val="3FA45178"/>
    <w:rsid w:val="3FD789DD"/>
    <w:rsid w:val="3FDE3B35"/>
    <w:rsid w:val="3FFBEEA8"/>
    <w:rsid w:val="3FFDB5BB"/>
    <w:rsid w:val="3FFF7FE4"/>
    <w:rsid w:val="40643F31"/>
    <w:rsid w:val="40977C03"/>
    <w:rsid w:val="40DA73F3"/>
    <w:rsid w:val="41317E02"/>
    <w:rsid w:val="41340D87"/>
    <w:rsid w:val="419B1A30"/>
    <w:rsid w:val="42263B92"/>
    <w:rsid w:val="425311DE"/>
    <w:rsid w:val="42706590"/>
    <w:rsid w:val="439F33FF"/>
    <w:rsid w:val="43BFB648"/>
    <w:rsid w:val="440E14B4"/>
    <w:rsid w:val="44174342"/>
    <w:rsid w:val="447D7569"/>
    <w:rsid w:val="4488337C"/>
    <w:rsid w:val="45F6CBF8"/>
    <w:rsid w:val="46641988"/>
    <w:rsid w:val="46654E8C"/>
    <w:rsid w:val="46783477"/>
    <w:rsid w:val="46916FD5"/>
    <w:rsid w:val="46BD331C"/>
    <w:rsid w:val="46D81947"/>
    <w:rsid w:val="47446A78"/>
    <w:rsid w:val="474C3E84"/>
    <w:rsid w:val="475B1F20"/>
    <w:rsid w:val="475E7622"/>
    <w:rsid w:val="478A4FEE"/>
    <w:rsid w:val="47A97AA1"/>
    <w:rsid w:val="47EA4500"/>
    <w:rsid w:val="47FB2B57"/>
    <w:rsid w:val="47FF383B"/>
    <w:rsid w:val="48104EC7"/>
    <w:rsid w:val="48700764"/>
    <w:rsid w:val="48C9597A"/>
    <w:rsid w:val="48D32A07"/>
    <w:rsid w:val="49431DC1"/>
    <w:rsid w:val="49493CCA"/>
    <w:rsid w:val="495FE498"/>
    <w:rsid w:val="49CFF2A9"/>
    <w:rsid w:val="49F927E9"/>
    <w:rsid w:val="4A0B5F87"/>
    <w:rsid w:val="4A423EE2"/>
    <w:rsid w:val="4A4B25F3"/>
    <w:rsid w:val="4A8F3FE1"/>
    <w:rsid w:val="4ABC5DAA"/>
    <w:rsid w:val="4B454A0A"/>
    <w:rsid w:val="4B5E33B5"/>
    <w:rsid w:val="4B7764DD"/>
    <w:rsid w:val="4BBF456E"/>
    <w:rsid w:val="4BEF59B0"/>
    <w:rsid w:val="4BF6482D"/>
    <w:rsid w:val="4BFD2FCF"/>
    <w:rsid w:val="4BFF6829"/>
    <w:rsid w:val="4CC306FE"/>
    <w:rsid w:val="4D950A56"/>
    <w:rsid w:val="4DE465D7"/>
    <w:rsid w:val="4DF11170"/>
    <w:rsid w:val="4DF6C412"/>
    <w:rsid w:val="4DFAA076"/>
    <w:rsid w:val="4E6E4BA4"/>
    <w:rsid w:val="4EE77D10"/>
    <w:rsid w:val="4F733BCD"/>
    <w:rsid w:val="4FAC1446"/>
    <w:rsid w:val="4FE87FA6"/>
    <w:rsid w:val="4FF2807A"/>
    <w:rsid w:val="4FF52E48"/>
    <w:rsid w:val="50DA2DB1"/>
    <w:rsid w:val="50EF74D3"/>
    <w:rsid w:val="51322546"/>
    <w:rsid w:val="5152D939"/>
    <w:rsid w:val="515F688E"/>
    <w:rsid w:val="51C17582"/>
    <w:rsid w:val="51FED7AB"/>
    <w:rsid w:val="52260855"/>
    <w:rsid w:val="52BE5550"/>
    <w:rsid w:val="52F61E27"/>
    <w:rsid w:val="53383B95"/>
    <w:rsid w:val="535A53CF"/>
    <w:rsid w:val="53987432"/>
    <w:rsid w:val="53DE271A"/>
    <w:rsid w:val="53EF65F7"/>
    <w:rsid w:val="54EB1CB1"/>
    <w:rsid w:val="54F20968"/>
    <w:rsid w:val="54FF3D1B"/>
    <w:rsid w:val="559DB240"/>
    <w:rsid w:val="55FFB22E"/>
    <w:rsid w:val="560662B2"/>
    <w:rsid w:val="56F42D05"/>
    <w:rsid w:val="57514FCF"/>
    <w:rsid w:val="577B5E13"/>
    <w:rsid w:val="58645D91"/>
    <w:rsid w:val="58BE7724"/>
    <w:rsid w:val="5918493B"/>
    <w:rsid w:val="594F402D"/>
    <w:rsid w:val="59926803"/>
    <w:rsid w:val="5A001035"/>
    <w:rsid w:val="5A0E034B"/>
    <w:rsid w:val="5A6A2C63"/>
    <w:rsid w:val="5A7E7705"/>
    <w:rsid w:val="5AC7557B"/>
    <w:rsid w:val="5ACF0409"/>
    <w:rsid w:val="5AD2138E"/>
    <w:rsid w:val="5AF1FFED"/>
    <w:rsid w:val="5B5A5DEF"/>
    <w:rsid w:val="5B872136"/>
    <w:rsid w:val="5B98496D"/>
    <w:rsid w:val="5BBB0B63"/>
    <w:rsid w:val="5BBD26B3"/>
    <w:rsid w:val="5D350B78"/>
    <w:rsid w:val="5DA930B5"/>
    <w:rsid w:val="5E1D14CA"/>
    <w:rsid w:val="5E27CC0C"/>
    <w:rsid w:val="5E2BB348"/>
    <w:rsid w:val="5E37A4BC"/>
    <w:rsid w:val="5E64A443"/>
    <w:rsid w:val="5E972D3D"/>
    <w:rsid w:val="5EDCEA2D"/>
    <w:rsid w:val="5EEDBFB4"/>
    <w:rsid w:val="5EEF3832"/>
    <w:rsid w:val="5EFA7CCD"/>
    <w:rsid w:val="5F6F6178"/>
    <w:rsid w:val="5F7CA484"/>
    <w:rsid w:val="5F7F35BD"/>
    <w:rsid w:val="5F7FDE29"/>
    <w:rsid w:val="5F7FF8DC"/>
    <w:rsid w:val="5FB9FFA4"/>
    <w:rsid w:val="5FBB2620"/>
    <w:rsid w:val="5FDB4C97"/>
    <w:rsid w:val="5FDFB258"/>
    <w:rsid w:val="5FFB1CCB"/>
    <w:rsid w:val="5FFC41E2"/>
    <w:rsid w:val="5FFE76C4"/>
    <w:rsid w:val="5FFF6556"/>
    <w:rsid w:val="5FFF732B"/>
    <w:rsid w:val="600F12A5"/>
    <w:rsid w:val="6038246A"/>
    <w:rsid w:val="60661CB4"/>
    <w:rsid w:val="612620F2"/>
    <w:rsid w:val="61954924"/>
    <w:rsid w:val="61D70B46"/>
    <w:rsid w:val="63483071"/>
    <w:rsid w:val="634F650B"/>
    <w:rsid w:val="63BDC5B8"/>
    <w:rsid w:val="63EBF428"/>
    <w:rsid w:val="63EF316B"/>
    <w:rsid w:val="644B199A"/>
    <w:rsid w:val="64515AA2"/>
    <w:rsid w:val="64C55A61"/>
    <w:rsid w:val="64CC53EB"/>
    <w:rsid w:val="64D811FE"/>
    <w:rsid w:val="650E16D8"/>
    <w:rsid w:val="656520E7"/>
    <w:rsid w:val="65966139"/>
    <w:rsid w:val="66A81479"/>
    <w:rsid w:val="66EBA5B6"/>
    <w:rsid w:val="66EF37DC"/>
    <w:rsid w:val="671D4CBB"/>
    <w:rsid w:val="675F96FA"/>
    <w:rsid w:val="67CD37DA"/>
    <w:rsid w:val="67DCB6BE"/>
    <w:rsid w:val="67DFDB4C"/>
    <w:rsid w:val="67EF0CCD"/>
    <w:rsid w:val="67EF9F16"/>
    <w:rsid w:val="67F10517"/>
    <w:rsid w:val="67F14C93"/>
    <w:rsid w:val="67F54B17"/>
    <w:rsid w:val="67FBBB76"/>
    <w:rsid w:val="67FBD47A"/>
    <w:rsid w:val="67FF1E65"/>
    <w:rsid w:val="680A7DBC"/>
    <w:rsid w:val="68153BCE"/>
    <w:rsid w:val="68465A22"/>
    <w:rsid w:val="68C71474"/>
    <w:rsid w:val="69187F79"/>
    <w:rsid w:val="69DD0A5C"/>
    <w:rsid w:val="6A2D2040"/>
    <w:rsid w:val="6A2F5543"/>
    <w:rsid w:val="6A333F49"/>
    <w:rsid w:val="6A4C7CFE"/>
    <w:rsid w:val="6A565402"/>
    <w:rsid w:val="6AB345DB"/>
    <w:rsid w:val="6B6F36FC"/>
    <w:rsid w:val="6BDED4E5"/>
    <w:rsid w:val="6BEF0F9E"/>
    <w:rsid w:val="6C030941"/>
    <w:rsid w:val="6C4A4939"/>
    <w:rsid w:val="6CD6671B"/>
    <w:rsid w:val="6CEFD7F4"/>
    <w:rsid w:val="6D3632BC"/>
    <w:rsid w:val="6D6C7F13"/>
    <w:rsid w:val="6D8B4F45"/>
    <w:rsid w:val="6DA822F6"/>
    <w:rsid w:val="6DC618A6"/>
    <w:rsid w:val="6DCF0F2F"/>
    <w:rsid w:val="6DEB53B3"/>
    <w:rsid w:val="6EED0EF1"/>
    <w:rsid w:val="6EF74BB5"/>
    <w:rsid w:val="6EF97E21"/>
    <w:rsid w:val="6EFF1FAD"/>
    <w:rsid w:val="6F2701E9"/>
    <w:rsid w:val="6F2F55F5"/>
    <w:rsid w:val="6F5E6145"/>
    <w:rsid w:val="6F7EF064"/>
    <w:rsid w:val="6FB39DF4"/>
    <w:rsid w:val="6FDE2FFC"/>
    <w:rsid w:val="6FF6A186"/>
    <w:rsid w:val="6FF6C632"/>
    <w:rsid w:val="6FFCCE06"/>
    <w:rsid w:val="6FFCD5F9"/>
    <w:rsid w:val="6FFCEC57"/>
    <w:rsid w:val="6FFE3C53"/>
    <w:rsid w:val="6FFF5646"/>
    <w:rsid w:val="6FFF5F77"/>
    <w:rsid w:val="6FFF95B9"/>
    <w:rsid w:val="700468D2"/>
    <w:rsid w:val="70BD3B02"/>
    <w:rsid w:val="71062FFD"/>
    <w:rsid w:val="719A5A6F"/>
    <w:rsid w:val="719B56EF"/>
    <w:rsid w:val="71A94A05"/>
    <w:rsid w:val="72587127"/>
    <w:rsid w:val="72CA035F"/>
    <w:rsid w:val="72CE25E9"/>
    <w:rsid w:val="737FB86C"/>
    <w:rsid w:val="745323E5"/>
    <w:rsid w:val="751C56B1"/>
    <w:rsid w:val="75581C92"/>
    <w:rsid w:val="75FD9ACF"/>
    <w:rsid w:val="761C6291"/>
    <w:rsid w:val="766259C8"/>
    <w:rsid w:val="7688C8F6"/>
    <w:rsid w:val="76A154AD"/>
    <w:rsid w:val="76BFAB68"/>
    <w:rsid w:val="772E0594"/>
    <w:rsid w:val="775FA29C"/>
    <w:rsid w:val="776D717F"/>
    <w:rsid w:val="777C35E6"/>
    <w:rsid w:val="777FE993"/>
    <w:rsid w:val="778A0CAD"/>
    <w:rsid w:val="77A3F2FD"/>
    <w:rsid w:val="77D9FF30"/>
    <w:rsid w:val="77DE4C68"/>
    <w:rsid w:val="77E7CBCF"/>
    <w:rsid w:val="77FB6CF4"/>
    <w:rsid w:val="77FDA6D0"/>
    <w:rsid w:val="77FDF40E"/>
    <w:rsid w:val="77FE291F"/>
    <w:rsid w:val="77FEA5F1"/>
    <w:rsid w:val="77FF5872"/>
    <w:rsid w:val="787F196A"/>
    <w:rsid w:val="78A33979"/>
    <w:rsid w:val="78DB9714"/>
    <w:rsid w:val="79536D03"/>
    <w:rsid w:val="79572161"/>
    <w:rsid w:val="796E2148"/>
    <w:rsid w:val="799396B7"/>
    <w:rsid w:val="79BFD968"/>
    <w:rsid w:val="79DB847F"/>
    <w:rsid w:val="79E34305"/>
    <w:rsid w:val="79E87B4E"/>
    <w:rsid w:val="79F92643"/>
    <w:rsid w:val="79FE941A"/>
    <w:rsid w:val="7AB968E7"/>
    <w:rsid w:val="7ABDB997"/>
    <w:rsid w:val="7AF50CCA"/>
    <w:rsid w:val="7AF7D64D"/>
    <w:rsid w:val="7B1F62B6"/>
    <w:rsid w:val="7B3DCEF7"/>
    <w:rsid w:val="7B3E134E"/>
    <w:rsid w:val="7B5C60F0"/>
    <w:rsid w:val="7B5E3F00"/>
    <w:rsid w:val="7B7E9062"/>
    <w:rsid w:val="7B9F2587"/>
    <w:rsid w:val="7BBF020E"/>
    <w:rsid w:val="7BCB3F8B"/>
    <w:rsid w:val="7BE7266F"/>
    <w:rsid w:val="7BF7C04A"/>
    <w:rsid w:val="7BFE4F58"/>
    <w:rsid w:val="7BFF452D"/>
    <w:rsid w:val="7C052856"/>
    <w:rsid w:val="7C2535BA"/>
    <w:rsid w:val="7C7F7047"/>
    <w:rsid w:val="7CA02F04"/>
    <w:rsid w:val="7CB57626"/>
    <w:rsid w:val="7CDF0FC8"/>
    <w:rsid w:val="7D145441"/>
    <w:rsid w:val="7D2D1351"/>
    <w:rsid w:val="7D5A5D61"/>
    <w:rsid w:val="7D77B5AA"/>
    <w:rsid w:val="7D913B11"/>
    <w:rsid w:val="7DB7110F"/>
    <w:rsid w:val="7DB820DE"/>
    <w:rsid w:val="7DC55265"/>
    <w:rsid w:val="7DCFF023"/>
    <w:rsid w:val="7DF9D890"/>
    <w:rsid w:val="7E0272C8"/>
    <w:rsid w:val="7EA03CCE"/>
    <w:rsid w:val="7EAF4649"/>
    <w:rsid w:val="7EBE237D"/>
    <w:rsid w:val="7EE953C8"/>
    <w:rsid w:val="7EF014CF"/>
    <w:rsid w:val="7EF5CF1E"/>
    <w:rsid w:val="7EF66C5B"/>
    <w:rsid w:val="7EF77E9A"/>
    <w:rsid w:val="7EF7A74B"/>
    <w:rsid w:val="7EFD8ACE"/>
    <w:rsid w:val="7EFF8DC9"/>
    <w:rsid w:val="7EFF9EEF"/>
    <w:rsid w:val="7F3FB24D"/>
    <w:rsid w:val="7F550FFB"/>
    <w:rsid w:val="7F6D8B4C"/>
    <w:rsid w:val="7F7D58EC"/>
    <w:rsid w:val="7F7DEFFA"/>
    <w:rsid w:val="7FA7A88B"/>
    <w:rsid w:val="7FAB1207"/>
    <w:rsid w:val="7FAE79AC"/>
    <w:rsid w:val="7FAFEBC5"/>
    <w:rsid w:val="7FB76AB7"/>
    <w:rsid w:val="7FBFC48A"/>
    <w:rsid w:val="7FD3116E"/>
    <w:rsid w:val="7FD5761D"/>
    <w:rsid w:val="7FDDED2D"/>
    <w:rsid w:val="7FDF6A08"/>
    <w:rsid w:val="7FEB1704"/>
    <w:rsid w:val="7FF5187A"/>
    <w:rsid w:val="7FF708E9"/>
    <w:rsid w:val="7FF91558"/>
    <w:rsid w:val="7FFB08C9"/>
    <w:rsid w:val="7FFB4318"/>
    <w:rsid w:val="7FFB5A07"/>
    <w:rsid w:val="7FFBF31E"/>
    <w:rsid w:val="7FFE4550"/>
    <w:rsid w:val="7FFF374C"/>
    <w:rsid w:val="7FFFBEF8"/>
    <w:rsid w:val="7FFFEAF8"/>
    <w:rsid w:val="83FF3356"/>
    <w:rsid w:val="8F1F85A6"/>
    <w:rsid w:val="8F6F1FCA"/>
    <w:rsid w:val="8F6FC28F"/>
    <w:rsid w:val="8FFE667D"/>
    <w:rsid w:val="93FB4653"/>
    <w:rsid w:val="97DE7802"/>
    <w:rsid w:val="97F973E7"/>
    <w:rsid w:val="9A9FF0E0"/>
    <w:rsid w:val="9BAF136F"/>
    <w:rsid w:val="9D4B5CFF"/>
    <w:rsid w:val="9DB788B1"/>
    <w:rsid w:val="9DFF9E66"/>
    <w:rsid w:val="9F3F0143"/>
    <w:rsid w:val="9FDF0ACE"/>
    <w:rsid w:val="9FFA74D1"/>
    <w:rsid w:val="A5DCBEFA"/>
    <w:rsid w:val="A7E9FE33"/>
    <w:rsid w:val="A87CF393"/>
    <w:rsid w:val="A93D056F"/>
    <w:rsid w:val="A959B62B"/>
    <w:rsid w:val="AD2FC2DF"/>
    <w:rsid w:val="ADE2BFA0"/>
    <w:rsid w:val="ADE7611B"/>
    <w:rsid w:val="AEDDEBD3"/>
    <w:rsid w:val="AFBF73BF"/>
    <w:rsid w:val="AFF6B847"/>
    <w:rsid w:val="AFF97083"/>
    <w:rsid w:val="AFFF8644"/>
    <w:rsid w:val="AFFFF474"/>
    <w:rsid w:val="B15F29BC"/>
    <w:rsid w:val="B17DD1F9"/>
    <w:rsid w:val="B1DF13DE"/>
    <w:rsid w:val="B5EF910F"/>
    <w:rsid w:val="B6BB1471"/>
    <w:rsid w:val="B6F58DB1"/>
    <w:rsid w:val="B7BC61B9"/>
    <w:rsid w:val="B95CF59C"/>
    <w:rsid w:val="B96F6D6B"/>
    <w:rsid w:val="B9BD3340"/>
    <w:rsid w:val="B9BFEF09"/>
    <w:rsid w:val="B9F868B6"/>
    <w:rsid w:val="BA7B23C6"/>
    <w:rsid w:val="BACF6353"/>
    <w:rsid w:val="BB8FFB7C"/>
    <w:rsid w:val="BBAF3722"/>
    <w:rsid w:val="BBDE23B6"/>
    <w:rsid w:val="BBFDA24C"/>
    <w:rsid w:val="BCFADC9C"/>
    <w:rsid w:val="BD5F304B"/>
    <w:rsid w:val="BDBA31CC"/>
    <w:rsid w:val="BDD7635C"/>
    <w:rsid w:val="BDDF59B9"/>
    <w:rsid w:val="BDF7C888"/>
    <w:rsid w:val="BE7F5920"/>
    <w:rsid w:val="BF1DCC9F"/>
    <w:rsid w:val="BF571E16"/>
    <w:rsid w:val="BF733BD0"/>
    <w:rsid w:val="BF7F0CC4"/>
    <w:rsid w:val="BF7FAEC8"/>
    <w:rsid w:val="BFAF2E3B"/>
    <w:rsid w:val="BFDC2FCA"/>
    <w:rsid w:val="BFEE90CA"/>
    <w:rsid w:val="BFFF29BD"/>
    <w:rsid w:val="BFFF543F"/>
    <w:rsid w:val="BFFFA87C"/>
    <w:rsid w:val="C3E6CC7E"/>
    <w:rsid w:val="C7E30611"/>
    <w:rsid w:val="C999F89D"/>
    <w:rsid w:val="C99BBC26"/>
    <w:rsid w:val="CD7FAC02"/>
    <w:rsid w:val="CDD7FDCB"/>
    <w:rsid w:val="CEF5FD48"/>
    <w:rsid w:val="CF5F6E1E"/>
    <w:rsid w:val="CF7FF63B"/>
    <w:rsid w:val="D2DF8B2A"/>
    <w:rsid w:val="D36B0B1B"/>
    <w:rsid w:val="D37FE97B"/>
    <w:rsid w:val="D39FD6DF"/>
    <w:rsid w:val="D3BE5F84"/>
    <w:rsid w:val="D51748FD"/>
    <w:rsid w:val="D5A63212"/>
    <w:rsid w:val="D5FD0688"/>
    <w:rsid w:val="D67F5122"/>
    <w:rsid w:val="D6D540B4"/>
    <w:rsid w:val="D79BDB10"/>
    <w:rsid w:val="D7DA8EC5"/>
    <w:rsid w:val="D7DBB63E"/>
    <w:rsid w:val="D9FFB88A"/>
    <w:rsid w:val="DAEFBD00"/>
    <w:rsid w:val="DBF6DD23"/>
    <w:rsid w:val="DBFE7E7D"/>
    <w:rsid w:val="DC5E63C7"/>
    <w:rsid w:val="DCFFD64D"/>
    <w:rsid w:val="DDDA9CF7"/>
    <w:rsid w:val="DDDBD4EC"/>
    <w:rsid w:val="DE3E6EF1"/>
    <w:rsid w:val="DE9EDDDA"/>
    <w:rsid w:val="DEFF1282"/>
    <w:rsid w:val="DEFF622E"/>
    <w:rsid w:val="DF2A2285"/>
    <w:rsid w:val="DF3BD94B"/>
    <w:rsid w:val="DF3F3722"/>
    <w:rsid w:val="DF4F0327"/>
    <w:rsid w:val="DF5B302C"/>
    <w:rsid w:val="DF7798C9"/>
    <w:rsid w:val="DFB84705"/>
    <w:rsid w:val="DFCF2CBF"/>
    <w:rsid w:val="DFD78087"/>
    <w:rsid w:val="DFDBADF3"/>
    <w:rsid w:val="DFEEEE40"/>
    <w:rsid w:val="E37D45BE"/>
    <w:rsid w:val="E3BDF3A3"/>
    <w:rsid w:val="E3FF9E85"/>
    <w:rsid w:val="E4FCA8B4"/>
    <w:rsid w:val="E54FB22B"/>
    <w:rsid w:val="E71DA87C"/>
    <w:rsid w:val="E78FA8EE"/>
    <w:rsid w:val="E7BB96C4"/>
    <w:rsid w:val="E7F36346"/>
    <w:rsid w:val="E7F5837F"/>
    <w:rsid w:val="E8CE07CC"/>
    <w:rsid w:val="E957B9A1"/>
    <w:rsid w:val="E9AFCCB7"/>
    <w:rsid w:val="EA7EE405"/>
    <w:rsid w:val="EB6AB574"/>
    <w:rsid w:val="EBE48B4E"/>
    <w:rsid w:val="EBE78C43"/>
    <w:rsid w:val="EDED7CB4"/>
    <w:rsid w:val="EDFB09FA"/>
    <w:rsid w:val="EE9BC423"/>
    <w:rsid w:val="EEBFCD04"/>
    <w:rsid w:val="EEFD4C98"/>
    <w:rsid w:val="EEFE2B27"/>
    <w:rsid w:val="EF5BE94B"/>
    <w:rsid w:val="EF64A32F"/>
    <w:rsid w:val="EF7D7CF8"/>
    <w:rsid w:val="EFA35338"/>
    <w:rsid w:val="EFAFFCC5"/>
    <w:rsid w:val="EFBB5979"/>
    <w:rsid w:val="EFBF5CF0"/>
    <w:rsid w:val="EFBFFE49"/>
    <w:rsid w:val="EFDC8879"/>
    <w:rsid w:val="EFF39C87"/>
    <w:rsid w:val="EFF9626C"/>
    <w:rsid w:val="EFFCA200"/>
    <w:rsid w:val="F1E75650"/>
    <w:rsid w:val="F23F95D4"/>
    <w:rsid w:val="F2F71855"/>
    <w:rsid w:val="F3AAC50E"/>
    <w:rsid w:val="F3EC894D"/>
    <w:rsid w:val="F4489E03"/>
    <w:rsid w:val="F4E47EE5"/>
    <w:rsid w:val="F5368A45"/>
    <w:rsid w:val="F5DF0294"/>
    <w:rsid w:val="F5FE0C98"/>
    <w:rsid w:val="F6EFF348"/>
    <w:rsid w:val="F73F460E"/>
    <w:rsid w:val="F77F7967"/>
    <w:rsid w:val="F7BF99AD"/>
    <w:rsid w:val="F7DF01D6"/>
    <w:rsid w:val="F7E381CC"/>
    <w:rsid w:val="F7F0F46C"/>
    <w:rsid w:val="F7FD36EB"/>
    <w:rsid w:val="F8D5EF3F"/>
    <w:rsid w:val="F8FDE886"/>
    <w:rsid w:val="F93F19C3"/>
    <w:rsid w:val="F976F291"/>
    <w:rsid w:val="F9B9E9B6"/>
    <w:rsid w:val="F9D5C7CD"/>
    <w:rsid w:val="F9DFB284"/>
    <w:rsid w:val="FAB32323"/>
    <w:rsid w:val="FABBB7A3"/>
    <w:rsid w:val="FAD3AE7A"/>
    <w:rsid w:val="FB3D0F37"/>
    <w:rsid w:val="FB3E092A"/>
    <w:rsid w:val="FB7F7EDC"/>
    <w:rsid w:val="FB8E1239"/>
    <w:rsid w:val="FB9FF735"/>
    <w:rsid w:val="FBBB63BE"/>
    <w:rsid w:val="FBBF3667"/>
    <w:rsid w:val="FBE35445"/>
    <w:rsid w:val="FBE7DCA4"/>
    <w:rsid w:val="FBEB6E98"/>
    <w:rsid w:val="FBEE9BB0"/>
    <w:rsid w:val="FBF7E155"/>
    <w:rsid w:val="FBFE1EFD"/>
    <w:rsid w:val="FBFF026F"/>
    <w:rsid w:val="FBFFBF39"/>
    <w:rsid w:val="FBFFD148"/>
    <w:rsid w:val="FBFFF3E5"/>
    <w:rsid w:val="FC66C5A5"/>
    <w:rsid w:val="FC79EC38"/>
    <w:rsid w:val="FCFF7772"/>
    <w:rsid w:val="FD55F8D0"/>
    <w:rsid w:val="FD74BF52"/>
    <w:rsid w:val="FD9BA0CD"/>
    <w:rsid w:val="FDA5E5F4"/>
    <w:rsid w:val="FDB78C26"/>
    <w:rsid w:val="FDBA964E"/>
    <w:rsid w:val="FDDE451C"/>
    <w:rsid w:val="FDDFAA4E"/>
    <w:rsid w:val="FDF7CD5A"/>
    <w:rsid w:val="FDFF9884"/>
    <w:rsid w:val="FE370A0E"/>
    <w:rsid w:val="FE3E16D9"/>
    <w:rsid w:val="FE734873"/>
    <w:rsid w:val="FE7BAE07"/>
    <w:rsid w:val="FE7F923D"/>
    <w:rsid w:val="FEBF571A"/>
    <w:rsid w:val="FEF1A851"/>
    <w:rsid w:val="FEF59658"/>
    <w:rsid w:val="FF1E3809"/>
    <w:rsid w:val="FF3AD976"/>
    <w:rsid w:val="FF4F0FA8"/>
    <w:rsid w:val="FF5CE10E"/>
    <w:rsid w:val="FF67BE57"/>
    <w:rsid w:val="FF6EE778"/>
    <w:rsid w:val="FF6F9EBF"/>
    <w:rsid w:val="FF73D19A"/>
    <w:rsid w:val="FF7E2DF9"/>
    <w:rsid w:val="FF7F0B36"/>
    <w:rsid w:val="FF7F1B75"/>
    <w:rsid w:val="FF9ECD23"/>
    <w:rsid w:val="FFA77503"/>
    <w:rsid w:val="FFA7EA28"/>
    <w:rsid w:val="FFBBB045"/>
    <w:rsid w:val="FFBE4A4F"/>
    <w:rsid w:val="FFBEFED1"/>
    <w:rsid w:val="FFBFC469"/>
    <w:rsid w:val="FFBFFE97"/>
    <w:rsid w:val="FFCB86F5"/>
    <w:rsid w:val="FFDA5F27"/>
    <w:rsid w:val="FFDF1D6B"/>
    <w:rsid w:val="FFE7C837"/>
    <w:rsid w:val="FFE7D163"/>
    <w:rsid w:val="FFEE1BE5"/>
    <w:rsid w:val="FFEF7889"/>
    <w:rsid w:val="FFEF8F73"/>
    <w:rsid w:val="FFF34CA3"/>
    <w:rsid w:val="FFF3D3E0"/>
    <w:rsid w:val="FFF7B087"/>
    <w:rsid w:val="FFFA7A4F"/>
    <w:rsid w:val="FFFB3F82"/>
    <w:rsid w:val="FFFBF6A9"/>
    <w:rsid w:val="FFFC702B"/>
    <w:rsid w:val="FFFD2A33"/>
    <w:rsid w:val="FFFDDA76"/>
    <w:rsid w:val="FFFF4268"/>
    <w:rsid w:val="FFFF5E5D"/>
    <w:rsid w:val="FFFF782E"/>
    <w:rsid w:val="FFFF7FB3"/>
    <w:rsid w:val="FFFF9DC3"/>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0" w:name="Normal Indent" w:locked="1"/>
    <w:lsdException w:qFormat="1" w:unhideWhenUsed="0" w:uiPriority="99"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ocked="1"/>
    <w:lsdException w:qFormat="1" w:unhideWhenUsed="0" w:uiPriority="0" w:semiHidden="0" w:name="caption"/>
    <w:lsdException w:qFormat="1" w:unhideWhenUsed="0" w:uiPriority="99" w:semiHidden="0" w:name="table of figures"/>
    <w:lsdException w:uiPriority="0" w:name="envelope address" w:locked="1"/>
    <w:lsdException w:uiPriority="0" w:name="envelope return" w:locked="1"/>
    <w:lsdException w:qFormat="1" w:unhideWhenUsed="0" w:uiPriority="99" w:semiHidden="0" w:name="footnote reference"/>
    <w:lsdException w:qFormat="1" w:unhideWhenUsed="0" w:uiPriority="99" w:name="annotation reference"/>
    <w:lsdException w:uiPriority="0" w:name="line number" w:locked="1"/>
    <w:lsdException w:uiPriority="0" w:name="page number" w:locked="1"/>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0" w:semiHidden="0" w:name="Title"/>
    <w:lsdException w:uiPriority="0" w:name="Closing" w:locked="1"/>
    <w:lsdException w:uiPriority="0" w:name="Signature" w:locked="1"/>
    <w:lsdException w:qFormat="1" w:uiPriority="1" w:semiHidden="0" w:name="Default Paragraph Font"/>
    <w:lsdException w:qFormat="1" w:uiPriority="99" w:semiHidden="0" w:name="Body Text" w:locked="1"/>
    <w:lsdException w:qFormat="1" w:unhideWhenUsed="0" w:uiPriority="0" w:semiHidden="0" w:name="Body Text Indent" w:locked="1"/>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0" w:semiHidden="0" w:name="Subtitle"/>
    <w:lsdException w:uiPriority="0" w:name="Salutation" w:locked="1"/>
    <w:lsdException w:uiPriority="0" w:name="Date" w:locked="1"/>
    <w:lsdException w:qFormat="1" w:uiPriority="99" w:semiHidden="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qFormat="1" w:uiPriority="99" w:semiHidden="0" w:name="Body Text Indent 2" w:locked="1"/>
    <w:lsdException w:qFormat="1" w:uiPriority="99" w:semiHidden="0" w:name="Body Text Indent 3" w:locked="1"/>
    <w:lsdException w:uiPriority="0" w:name="Block Text" w:locked="1"/>
    <w:lsdException w:qFormat="1" w:unhideWhenUsed="0" w:uiPriority="99" w:semiHidden="0" w:name="Hyperlink"/>
    <w:lsdException w:qFormat="1" w:uiPriority="0" w:semiHidden="0" w:name="FollowedHyperlink" w:locked="1"/>
    <w:lsdException w:qFormat="1" w:unhideWhenUsed="0" w:uiPriority="22" w:semiHidden="0" w:name="Strong"/>
    <w:lsdException w:qFormat="1" w:unhideWhenUsed="0" w:uiPriority="0" w:semiHidden="0" w:name="Emphasis"/>
    <w:lsdException w:uiPriority="0" w:name="Document Map" w:locked="1"/>
    <w:lsdException w:uiPriority="0" w:name="Plain Text" w:locked="1"/>
    <w:lsdException w:uiPriority="0" w:name="E-mail Signature" w:locked="1"/>
    <w:lsdException w:qFormat="1" w:unhideWhenUsed="0" w:uiPriority="99" w:semiHidden="0" w:name="Normal (Web)"/>
    <w:lsdException w:uiPriority="0" w:name="HTML Acronym" w:locked="1"/>
    <w:lsdException w:uiPriority="0" w:name="HTML Address" w:locked="1"/>
    <w:lsdException w:uiPriority="0" w:name="HTML Cite" w:locked="1"/>
    <w:lsdException w:qFormat="1" w:uiPriority="0" w:semiHidden="0" w:name="HTML Code" w:locked="1"/>
    <w:lsdException w:qFormat="1" w:uiPriority="0" w:semiHidden="0" w:name="HTML Definition" w:locked="1"/>
    <w:lsdException w:qFormat="1" w:uiPriority="0" w:semiHidden="0" w:name="HTML Keyboard" w:locked="1"/>
    <w:lsdException w:uiPriority="0" w:name="HTML Preformatted" w:locked="1"/>
    <w:lsdException w:qFormat="1" w:uiPriority="0" w:semiHidden="0" w:name="HTML Sample" w:locked="1"/>
    <w:lsdException w:uiPriority="0" w:name="HTML Typewriter" w:locked="1"/>
    <w:lsdException w:uiPriority="0" w:name="HTML Variable" w:locked="1"/>
    <w:lsdException w:qFormat="1" w:uiPriority="99" w:semiHidden="0" w:name="Normal Table"/>
    <w:lsdException w:qFormat="1" w:unhideWhenUsed="0" w:uiPriority="99"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99" w:semiHidden="0" w:name="Balloon Text"/>
    <w:lsdException w:qFormat="1" w:unhideWhenUsed="0" w:uiPriority="59"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0"/>
      <w:sz w:val="20"/>
      <w:szCs w:val="20"/>
      <w:lang w:val="en-US" w:eastAsia="zh-CN" w:bidi="ar-SA"/>
    </w:rPr>
  </w:style>
  <w:style w:type="paragraph" w:styleId="2">
    <w:name w:val="heading 1"/>
    <w:basedOn w:val="1"/>
    <w:next w:val="1"/>
    <w:link w:val="50"/>
    <w:qFormat/>
    <w:uiPriority w:val="99"/>
    <w:pPr>
      <w:keepNext/>
      <w:keepLines/>
      <w:spacing w:before="340" w:after="330" w:line="576" w:lineRule="auto"/>
      <w:outlineLvl w:val="0"/>
    </w:pPr>
    <w:rPr>
      <w:b/>
      <w:bCs/>
      <w:kern w:val="44"/>
      <w:sz w:val="44"/>
      <w:szCs w:val="44"/>
    </w:rPr>
  </w:style>
  <w:style w:type="paragraph" w:styleId="3">
    <w:name w:val="heading 2"/>
    <w:basedOn w:val="1"/>
    <w:next w:val="1"/>
    <w:link w:val="51"/>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link w:val="52"/>
    <w:qFormat/>
    <w:uiPriority w:val="99"/>
    <w:pPr>
      <w:keepNext/>
      <w:keepLines/>
      <w:spacing w:before="260" w:after="260" w:line="416" w:lineRule="auto"/>
      <w:outlineLvl w:val="2"/>
    </w:pPr>
    <w:rPr>
      <w:b/>
      <w:bCs/>
      <w:sz w:val="32"/>
      <w:szCs w:val="32"/>
    </w:rPr>
  </w:style>
  <w:style w:type="paragraph" w:styleId="5">
    <w:name w:val="heading 4"/>
    <w:basedOn w:val="1"/>
    <w:next w:val="1"/>
    <w:link w:val="53"/>
    <w:qFormat/>
    <w:uiPriority w:val="99"/>
    <w:pPr>
      <w:keepNext/>
      <w:keepLines/>
      <w:spacing w:before="280" w:after="290" w:line="376" w:lineRule="auto"/>
      <w:outlineLvl w:val="3"/>
    </w:pPr>
    <w:rPr>
      <w:rFonts w:ascii="Calibri Light" w:hAnsi="Calibri Light"/>
      <w:b/>
      <w:bCs/>
      <w:sz w:val="28"/>
      <w:szCs w:val="28"/>
    </w:rPr>
  </w:style>
  <w:style w:type="character" w:default="1" w:styleId="25">
    <w:name w:val="Default Paragraph Font"/>
    <w:unhideWhenUsed/>
    <w:qFormat/>
    <w:uiPriority w:val="1"/>
  </w:style>
  <w:style w:type="table" w:default="1" w:styleId="23">
    <w:name w:val="Normal Table"/>
    <w:unhideWhenUsed/>
    <w:qFormat/>
    <w:uiPriority w:val="99"/>
    <w:tblPr>
      <w:tblCellMar>
        <w:top w:w="0" w:type="dxa"/>
        <w:left w:w="108" w:type="dxa"/>
        <w:bottom w:w="0" w:type="dxa"/>
        <w:right w:w="108" w:type="dxa"/>
      </w:tblCellMar>
    </w:tblPr>
  </w:style>
  <w:style w:type="paragraph" w:styleId="6">
    <w:name w:val="caption"/>
    <w:basedOn w:val="1"/>
    <w:next w:val="1"/>
    <w:link w:val="60"/>
    <w:qFormat/>
    <w:uiPriority w:val="0"/>
    <w:pPr>
      <w:widowControl/>
      <w:jc w:val="left"/>
    </w:pPr>
    <w:rPr>
      <w:rFonts w:ascii="Cambria" w:hAnsi="Cambria" w:eastAsia="黑体"/>
      <w:kern w:val="2"/>
    </w:rPr>
  </w:style>
  <w:style w:type="paragraph" w:styleId="7">
    <w:name w:val="annotation text"/>
    <w:basedOn w:val="1"/>
    <w:link w:val="65"/>
    <w:semiHidden/>
    <w:qFormat/>
    <w:uiPriority w:val="99"/>
    <w:pPr>
      <w:jc w:val="left"/>
    </w:pPr>
  </w:style>
  <w:style w:type="paragraph" w:styleId="8">
    <w:name w:val="Body Text"/>
    <w:basedOn w:val="1"/>
    <w:link w:val="73"/>
    <w:unhideWhenUsed/>
    <w:qFormat/>
    <w:locked/>
    <w:uiPriority w:val="99"/>
    <w:pPr>
      <w:spacing w:after="120"/>
    </w:pPr>
  </w:style>
  <w:style w:type="paragraph" w:styleId="9">
    <w:name w:val="Body Text Indent"/>
    <w:basedOn w:val="1"/>
    <w:link w:val="69"/>
    <w:qFormat/>
    <w:locked/>
    <w:uiPriority w:val="0"/>
    <w:pPr>
      <w:spacing w:line="360" w:lineRule="auto"/>
      <w:ind w:firstLine="425"/>
    </w:pPr>
    <w:rPr>
      <w:rFonts w:ascii="宋体"/>
      <w:kern w:val="2"/>
      <w:sz w:val="24"/>
      <w:szCs w:val="22"/>
    </w:rPr>
  </w:style>
  <w:style w:type="paragraph" w:styleId="10">
    <w:name w:val="toc 3"/>
    <w:basedOn w:val="1"/>
    <w:next w:val="1"/>
    <w:qFormat/>
    <w:uiPriority w:val="39"/>
    <w:pPr>
      <w:ind w:left="840" w:leftChars="400"/>
    </w:pPr>
  </w:style>
  <w:style w:type="paragraph" w:styleId="11">
    <w:name w:val="Body Text Indent 2"/>
    <w:basedOn w:val="1"/>
    <w:link w:val="79"/>
    <w:unhideWhenUsed/>
    <w:qFormat/>
    <w:locked/>
    <w:uiPriority w:val="99"/>
    <w:pPr>
      <w:spacing w:after="120" w:line="480" w:lineRule="auto"/>
      <w:ind w:left="420" w:leftChars="200"/>
    </w:pPr>
  </w:style>
  <w:style w:type="paragraph" w:styleId="12">
    <w:name w:val="Balloon Text"/>
    <w:basedOn w:val="1"/>
    <w:link w:val="56"/>
    <w:qFormat/>
    <w:uiPriority w:val="99"/>
    <w:rPr>
      <w:sz w:val="18"/>
      <w:szCs w:val="18"/>
    </w:rPr>
  </w:style>
  <w:style w:type="paragraph" w:styleId="13">
    <w:name w:val="footer"/>
    <w:basedOn w:val="1"/>
    <w:link w:val="54"/>
    <w:qFormat/>
    <w:uiPriority w:val="99"/>
    <w:pPr>
      <w:tabs>
        <w:tab w:val="center" w:pos="4153"/>
        <w:tab w:val="right" w:pos="8306"/>
      </w:tabs>
      <w:snapToGrid w:val="0"/>
      <w:jc w:val="left"/>
    </w:pPr>
    <w:rPr>
      <w:sz w:val="18"/>
    </w:rPr>
  </w:style>
  <w:style w:type="paragraph" w:styleId="14">
    <w:name w:val="header"/>
    <w:basedOn w:val="1"/>
    <w:link w:val="55"/>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pPr>
      <w:tabs>
        <w:tab w:val="right" w:leader="dot" w:pos="8296"/>
      </w:tabs>
      <w:spacing w:beforeLines="50" w:line="600" w:lineRule="exact"/>
    </w:pPr>
    <w:rPr>
      <w:rFonts w:ascii="Times New Roman" w:hAnsi="Times New Roman" w:eastAsia="黑体"/>
      <w:b/>
      <w:bCs/>
      <w:color w:val="002060"/>
      <w:kern w:val="44"/>
      <w:sz w:val="24"/>
      <w:szCs w:val="24"/>
    </w:rPr>
  </w:style>
  <w:style w:type="paragraph" w:styleId="16">
    <w:name w:val="footnote text"/>
    <w:basedOn w:val="1"/>
    <w:link w:val="57"/>
    <w:qFormat/>
    <w:uiPriority w:val="99"/>
    <w:pPr>
      <w:snapToGrid w:val="0"/>
      <w:jc w:val="left"/>
    </w:pPr>
    <w:rPr>
      <w:sz w:val="18"/>
      <w:szCs w:val="18"/>
    </w:rPr>
  </w:style>
  <w:style w:type="paragraph" w:styleId="17">
    <w:name w:val="Body Text Indent 3"/>
    <w:basedOn w:val="1"/>
    <w:link w:val="71"/>
    <w:unhideWhenUsed/>
    <w:qFormat/>
    <w:locked/>
    <w:uiPriority w:val="99"/>
    <w:pPr>
      <w:spacing w:after="120"/>
      <w:ind w:left="420" w:leftChars="200"/>
    </w:pPr>
    <w:rPr>
      <w:rFonts w:ascii="Calibri" w:hAnsi="Calibri" w:eastAsia="宋体" w:cs="黑体"/>
      <w:kern w:val="2"/>
      <w:sz w:val="16"/>
      <w:szCs w:val="16"/>
    </w:rPr>
  </w:style>
  <w:style w:type="paragraph" w:styleId="18">
    <w:name w:val="table of figures"/>
    <w:basedOn w:val="1"/>
    <w:next w:val="1"/>
    <w:qFormat/>
    <w:uiPriority w:val="99"/>
    <w:pPr>
      <w:spacing w:line="540" w:lineRule="exact"/>
      <w:jc w:val="left"/>
    </w:pPr>
    <w:rPr>
      <w:rFonts w:eastAsia="仿宋"/>
      <w:sz w:val="24"/>
    </w:rPr>
  </w:style>
  <w:style w:type="paragraph" w:styleId="19">
    <w:name w:val="toc 2"/>
    <w:basedOn w:val="1"/>
    <w:next w:val="1"/>
    <w:qFormat/>
    <w:uiPriority w:val="39"/>
    <w:pPr>
      <w:tabs>
        <w:tab w:val="right" w:leader="dot" w:pos="8296"/>
      </w:tabs>
      <w:spacing w:line="560" w:lineRule="exact"/>
      <w:ind w:left="400" w:leftChars="200"/>
    </w:pPr>
    <w:rPr>
      <w:rFonts w:ascii="Times New Roman" w:hAnsi="Times New Roman"/>
      <w:kern w:val="44"/>
      <w:sz w:val="24"/>
      <w:szCs w:val="24"/>
    </w:rPr>
  </w:style>
  <w:style w:type="paragraph" w:styleId="20">
    <w:name w:val="Normal (Web)"/>
    <w:basedOn w:val="1"/>
    <w:qFormat/>
    <w:uiPriority w:val="99"/>
    <w:pPr>
      <w:widowControl/>
      <w:spacing w:before="100" w:beforeAutospacing="1" w:after="100" w:afterAutospacing="1"/>
      <w:jc w:val="left"/>
    </w:pPr>
    <w:rPr>
      <w:rFonts w:ascii="宋体" w:hAnsi="宋体" w:cs="宋体"/>
      <w:sz w:val="24"/>
    </w:rPr>
  </w:style>
  <w:style w:type="paragraph" w:styleId="21">
    <w:name w:val="annotation subject"/>
    <w:basedOn w:val="7"/>
    <w:next w:val="7"/>
    <w:link w:val="66"/>
    <w:semiHidden/>
    <w:qFormat/>
    <w:uiPriority w:val="99"/>
    <w:rPr>
      <w:b/>
      <w:bCs/>
    </w:rPr>
  </w:style>
  <w:style w:type="paragraph" w:styleId="22">
    <w:name w:val="Body Text First Indent"/>
    <w:basedOn w:val="8"/>
    <w:link w:val="74"/>
    <w:unhideWhenUsed/>
    <w:qFormat/>
    <w:locked/>
    <w:uiPriority w:val="99"/>
    <w:pPr>
      <w:ind w:firstLine="420" w:firstLineChars="100"/>
    </w:pPr>
  </w:style>
  <w:style w:type="table" w:styleId="24">
    <w:name w:val="Table Grid"/>
    <w:basedOn w:val="23"/>
    <w:qFormat/>
    <w:uiPriority w:val="5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basedOn w:val="25"/>
    <w:qFormat/>
    <w:uiPriority w:val="22"/>
    <w:rPr>
      <w:rFonts w:cs="Times New Roman"/>
      <w:b/>
      <w:bCs/>
    </w:rPr>
  </w:style>
  <w:style w:type="character" w:styleId="27">
    <w:name w:val="FollowedHyperlink"/>
    <w:basedOn w:val="25"/>
    <w:unhideWhenUsed/>
    <w:qFormat/>
    <w:locked/>
    <w:uiPriority w:val="0"/>
    <w:rPr>
      <w:color w:val="333333"/>
      <w:u w:val="none"/>
    </w:rPr>
  </w:style>
  <w:style w:type="character" w:styleId="28">
    <w:name w:val="HTML Definition"/>
    <w:basedOn w:val="25"/>
    <w:unhideWhenUsed/>
    <w:qFormat/>
    <w:locked/>
    <w:uiPriority w:val="0"/>
    <w:rPr>
      <w:i/>
    </w:rPr>
  </w:style>
  <w:style w:type="character" w:styleId="29">
    <w:name w:val="Hyperlink"/>
    <w:basedOn w:val="25"/>
    <w:qFormat/>
    <w:uiPriority w:val="99"/>
    <w:rPr>
      <w:rFonts w:cs="Times New Roman"/>
      <w:color w:val="2D2D2D"/>
      <w:u w:val="none"/>
    </w:rPr>
  </w:style>
  <w:style w:type="character" w:styleId="30">
    <w:name w:val="HTML Code"/>
    <w:basedOn w:val="25"/>
    <w:unhideWhenUsed/>
    <w:qFormat/>
    <w:locked/>
    <w:uiPriority w:val="0"/>
    <w:rPr>
      <w:rFonts w:hint="default" w:ascii="Menlo" w:hAnsi="Menlo" w:eastAsia="Menlo" w:cs="Menlo"/>
      <w:color w:val="C7254E"/>
      <w:sz w:val="21"/>
      <w:szCs w:val="21"/>
      <w:shd w:val="clear" w:color="auto" w:fill="F9F2F4"/>
    </w:rPr>
  </w:style>
  <w:style w:type="character" w:styleId="31">
    <w:name w:val="annotation reference"/>
    <w:basedOn w:val="25"/>
    <w:semiHidden/>
    <w:qFormat/>
    <w:uiPriority w:val="99"/>
    <w:rPr>
      <w:rFonts w:cs="Times New Roman"/>
      <w:sz w:val="21"/>
      <w:szCs w:val="21"/>
    </w:rPr>
  </w:style>
  <w:style w:type="character" w:styleId="32">
    <w:name w:val="footnote reference"/>
    <w:basedOn w:val="25"/>
    <w:qFormat/>
    <w:uiPriority w:val="99"/>
    <w:rPr>
      <w:rFonts w:cs="Times New Roman"/>
      <w:vertAlign w:val="superscript"/>
    </w:rPr>
  </w:style>
  <w:style w:type="character" w:styleId="33">
    <w:name w:val="HTML Keyboard"/>
    <w:basedOn w:val="25"/>
    <w:unhideWhenUsed/>
    <w:qFormat/>
    <w:locked/>
    <w:uiPriority w:val="0"/>
    <w:rPr>
      <w:rFonts w:ascii="Menlo" w:hAnsi="Menlo" w:eastAsia="Menlo" w:cs="Menlo"/>
      <w:color w:val="FFFFFF"/>
      <w:sz w:val="21"/>
      <w:szCs w:val="21"/>
      <w:shd w:val="clear" w:color="auto" w:fill="333333"/>
    </w:rPr>
  </w:style>
  <w:style w:type="character" w:styleId="34">
    <w:name w:val="HTML Sample"/>
    <w:basedOn w:val="25"/>
    <w:unhideWhenUsed/>
    <w:qFormat/>
    <w:locked/>
    <w:uiPriority w:val="0"/>
    <w:rPr>
      <w:rFonts w:hint="default" w:ascii="Menlo" w:hAnsi="Menlo" w:eastAsia="Menlo" w:cs="Menlo"/>
      <w:sz w:val="21"/>
      <w:szCs w:val="21"/>
    </w:rPr>
  </w:style>
  <w:style w:type="paragraph" w:customStyle="1" w:styleId="35">
    <w:name w:val="List Paragraph"/>
    <w:basedOn w:val="1"/>
    <w:qFormat/>
    <w:uiPriority w:val="34"/>
    <w:pPr>
      <w:ind w:firstLine="420" w:firstLineChars="200"/>
    </w:pPr>
    <w:rPr>
      <w:szCs w:val="22"/>
    </w:rPr>
  </w:style>
  <w:style w:type="paragraph" w:customStyle="1" w:styleId="36">
    <w:name w:val="列出段落11"/>
    <w:basedOn w:val="1"/>
    <w:qFormat/>
    <w:uiPriority w:val="99"/>
    <w:pPr>
      <w:widowControl/>
      <w:adjustRightInd w:val="0"/>
      <w:snapToGrid w:val="0"/>
      <w:spacing w:after="200" w:line="540" w:lineRule="exact"/>
      <w:ind w:firstLine="420" w:firstLineChars="200"/>
      <w:jc w:val="left"/>
    </w:pPr>
    <w:rPr>
      <w:rFonts w:ascii="Tahoma" w:hAnsi="Tahoma" w:eastAsia="微软雅黑"/>
      <w:sz w:val="22"/>
      <w:szCs w:val="22"/>
    </w:rPr>
  </w:style>
  <w:style w:type="paragraph" w:customStyle="1" w:styleId="37">
    <w:name w:val="无间隔2"/>
    <w:link w:val="63"/>
    <w:qFormat/>
    <w:uiPriority w:val="99"/>
    <w:pPr>
      <w:widowControl w:val="0"/>
      <w:jc w:val="both"/>
    </w:pPr>
    <w:rPr>
      <w:rFonts w:ascii="Calibri" w:hAnsi="Calibri" w:eastAsia="宋体" w:cs="Times New Roman"/>
      <w:kern w:val="2"/>
      <w:sz w:val="21"/>
      <w:szCs w:val="22"/>
      <w:lang w:val="en-US" w:eastAsia="zh-CN" w:bidi="ar-SA"/>
    </w:rPr>
  </w:style>
  <w:style w:type="paragraph" w:customStyle="1" w:styleId="38">
    <w:name w:val="TOC Heading"/>
    <w:basedOn w:val="2"/>
    <w:next w:val="1"/>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39">
    <w:name w:val="Revision"/>
    <w:hidden/>
    <w:semiHidden/>
    <w:qFormat/>
    <w:uiPriority w:val="99"/>
    <w:rPr>
      <w:rFonts w:ascii="Calibri" w:hAnsi="Calibri" w:eastAsia="宋体" w:cs="Times New Roman"/>
      <w:kern w:val="0"/>
      <w:sz w:val="20"/>
      <w:szCs w:val="20"/>
      <w:lang w:val="en-US" w:eastAsia="zh-CN" w:bidi="ar-SA"/>
    </w:rPr>
  </w:style>
  <w:style w:type="paragraph" w:customStyle="1" w:styleId="40">
    <w:name w:val="p0"/>
    <w:basedOn w:val="1"/>
    <w:qFormat/>
    <w:uiPriority w:val="0"/>
    <w:pPr>
      <w:widowControl/>
      <w:spacing w:before="100" w:beforeAutospacing="1" w:after="100" w:afterAutospacing="1"/>
      <w:jc w:val="left"/>
    </w:pPr>
    <w:rPr>
      <w:rFonts w:ascii="宋体" w:hAnsi="宋体" w:cs="宋体"/>
      <w:sz w:val="24"/>
      <w:szCs w:val="24"/>
    </w:rPr>
  </w:style>
  <w:style w:type="paragraph" w:customStyle="1" w:styleId="41">
    <w:name w:val="Default"/>
    <w:qFormat/>
    <w:uiPriority w:val="0"/>
    <w:pPr>
      <w:widowControl w:val="0"/>
      <w:autoSpaceDE w:val="0"/>
      <w:autoSpaceDN w:val="0"/>
      <w:adjustRightInd w:val="0"/>
    </w:pPr>
    <w:rPr>
      <w:rFonts w:ascii="仿宋" w:hAnsi="仿宋" w:eastAsia="宋体" w:cs="仿宋"/>
      <w:color w:val="000000"/>
      <w:kern w:val="0"/>
      <w:sz w:val="24"/>
      <w:szCs w:val="24"/>
      <w:lang w:val="en-US" w:eastAsia="zh-CN" w:bidi="ar-SA"/>
    </w:rPr>
  </w:style>
  <w:style w:type="paragraph" w:customStyle="1" w:styleId="42">
    <w:name w:val="公告表格"/>
    <w:basedOn w:val="1"/>
    <w:link w:val="75"/>
    <w:qFormat/>
    <w:uiPriority w:val="0"/>
    <w:pPr>
      <w:spacing w:line="220" w:lineRule="exact"/>
      <w:jc w:val="center"/>
    </w:pPr>
    <w:rPr>
      <w:rFonts w:ascii="Times New Roman" w:hAnsi="Times New Roman" w:eastAsia="楷体_GB2312" w:cs="宋体"/>
      <w:sz w:val="18"/>
      <w:szCs w:val="18"/>
    </w:rPr>
  </w:style>
  <w:style w:type="paragraph" w:customStyle="1" w:styleId="43">
    <w:name w:val="空行"/>
    <w:basedOn w:val="1"/>
    <w:link w:val="76"/>
    <w:qFormat/>
    <w:uiPriority w:val="0"/>
    <w:pPr>
      <w:snapToGrid w:val="0"/>
      <w:spacing w:line="60" w:lineRule="exact"/>
      <w:ind w:firstLine="200" w:firstLineChars="200"/>
    </w:pPr>
    <w:rPr>
      <w:rFonts w:ascii="Times New Roman" w:hAnsi="Times New Roman" w:cs="宋体"/>
      <w:position w:val="2"/>
      <w:sz w:val="21"/>
      <w:szCs w:val="21"/>
    </w:rPr>
  </w:style>
  <w:style w:type="paragraph" w:customStyle="1" w:styleId="44">
    <w:name w:val="公告正文"/>
    <w:basedOn w:val="1"/>
    <w:link w:val="77"/>
    <w:qFormat/>
    <w:uiPriority w:val="0"/>
    <w:pPr>
      <w:snapToGrid w:val="0"/>
      <w:spacing w:line="300" w:lineRule="auto"/>
      <w:ind w:firstLine="200" w:firstLineChars="200"/>
    </w:pPr>
    <w:rPr>
      <w:rFonts w:ascii="Times New Roman" w:hAnsi="Times New Roman" w:cs="宋体"/>
      <w:sz w:val="21"/>
      <w:szCs w:val="21"/>
    </w:rPr>
  </w:style>
  <w:style w:type="paragraph" w:customStyle="1" w:styleId="45">
    <w:name w:val="无间隔1"/>
    <w:qFormat/>
    <w:uiPriority w:val="99"/>
    <w:pPr>
      <w:widowControl w:val="0"/>
      <w:jc w:val="both"/>
    </w:pPr>
    <w:rPr>
      <w:rFonts w:ascii="Calibri" w:hAnsi="Calibri" w:eastAsia="宋体" w:cs="Calibri"/>
      <w:kern w:val="2"/>
      <w:sz w:val="21"/>
      <w:szCs w:val="21"/>
      <w:lang w:val="en-US" w:eastAsia="zh-CN" w:bidi="ar-SA"/>
    </w:rPr>
  </w:style>
  <w:style w:type="paragraph" w:customStyle="1" w:styleId="46">
    <w:name w:val="正文 A"/>
    <w:qFormat/>
    <w:uiPriority w:val="0"/>
    <w:pPr>
      <w:widowControl w:val="0"/>
      <w:jc w:val="both"/>
    </w:pPr>
    <w:rPr>
      <w:rFonts w:ascii="Calibri" w:hAnsi="Calibri" w:eastAsia="Calibri" w:cs="Calibri"/>
      <w:color w:val="000000"/>
      <w:kern w:val="2"/>
      <w:sz w:val="21"/>
      <w:szCs w:val="21"/>
      <w:u w:val="none" w:color="000000"/>
      <w:lang w:val="en-US" w:eastAsia="zh-CN" w:bidi="ar-SA"/>
    </w:rPr>
  </w:style>
  <w:style w:type="paragraph" w:customStyle="1" w:styleId="47">
    <w:name w:val="样式 左 行距: 1.5 倍行距1"/>
    <w:qFormat/>
    <w:uiPriority w:val="0"/>
    <w:pPr>
      <w:widowControl w:val="0"/>
      <w:spacing w:line="360" w:lineRule="auto"/>
    </w:pPr>
    <w:rPr>
      <w:rFonts w:ascii="Calibri" w:hAnsi="Calibri" w:eastAsia="宋体" w:cs="宋体"/>
      <w:color w:val="000000"/>
      <w:kern w:val="1"/>
      <w:sz w:val="24"/>
      <w:szCs w:val="20"/>
      <w:lang w:val="en-US" w:eastAsia="zh-CN" w:bidi="ar-SA"/>
    </w:rPr>
  </w:style>
  <w:style w:type="paragraph" w:customStyle="1" w:styleId="48">
    <w:name w:val="样式2"/>
    <w:basedOn w:val="3"/>
    <w:next w:val="1"/>
    <w:qFormat/>
    <w:uiPriority w:val="0"/>
    <w:pPr>
      <w:spacing w:before="0" w:after="0" w:line="240" w:lineRule="auto"/>
      <w:ind w:left="5980" w:leftChars="100" w:right="100" w:rightChars="100"/>
      <w:jc w:val="left"/>
    </w:pPr>
    <w:rPr>
      <w:rFonts w:eastAsia="仿宋_GB2312"/>
    </w:rPr>
  </w:style>
  <w:style w:type="paragraph" w:customStyle="1" w:styleId="49">
    <w:name w:val="Table Paragraph"/>
    <w:basedOn w:val="1"/>
    <w:qFormat/>
    <w:uiPriority w:val="0"/>
    <w:pPr>
      <w:autoSpaceDE w:val="0"/>
      <w:autoSpaceDN w:val="0"/>
      <w:jc w:val="center"/>
    </w:pPr>
    <w:rPr>
      <w:rFonts w:ascii="??" w:hAnsi="??" w:eastAsia="Times New Roman" w:cs="??"/>
      <w:kern w:val="0"/>
      <w:sz w:val="22"/>
      <w:lang w:val="zh-CN"/>
    </w:rPr>
  </w:style>
  <w:style w:type="character" w:customStyle="1" w:styleId="50">
    <w:name w:val="标题 1 Char"/>
    <w:basedOn w:val="25"/>
    <w:link w:val="2"/>
    <w:qFormat/>
    <w:locked/>
    <w:uiPriority w:val="99"/>
    <w:rPr>
      <w:rFonts w:ascii="Calibri" w:hAnsi="Calibri" w:eastAsia="宋体" w:cs="Times New Roman"/>
      <w:b/>
      <w:kern w:val="44"/>
      <w:sz w:val="44"/>
    </w:rPr>
  </w:style>
  <w:style w:type="character" w:customStyle="1" w:styleId="51">
    <w:name w:val="标题 2 Char"/>
    <w:basedOn w:val="25"/>
    <w:link w:val="3"/>
    <w:qFormat/>
    <w:locked/>
    <w:uiPriority w:val="0"/>
    <w:rPr>
      <w:rFonts w:ascii="Cambria" w:hAnsi="Cambria" w:eastAsia="宋体" w:cs="Times New Roman"/>
      <w:b/>
      <w:sz w:val="32"/>
    </w:rPr>
  </w:style>
  <w:style w:type="character" w:customStyle="1" w:styleId="52">
    <w:name w:val="标题 3 Char"/>
    <w:basedOn w:val="25"/>
    <w:link w:val="4"/>
    <w:semiHidden/>
    <w:qFormat/>
    <w:locked/>
    <w:uiPriority w:val="99"/>
    <w:rPr>
      <w:rFonts w:cs="Times New Roman"/>
      <w:b/>
      <w:bCs/>
      <w:sz w:val="32"/>
      <w:szCs w:val="32"/>
    </w:rPr>
  </w:style>
  <w:style w:type="character" w:customStyle="1" w:styleId="53">
    <w:name w:val="标题 4 Char"/>
    <w:basedOn w:val="25"/>
    <w:link w:val="5"/>
    <w:qFormat/>
    <w:locked/>
    <w:uiPriority w:val="99"/>
    <w:rPr>
      <w:rFonts w:ascii="Calibri Light" w:hAnsi="Calibri Light" w:eastAsia="宋体" w:cs="Times New Roman"/>
      <w:b/>
      <w:bCs/>
      <w:kern w:val="2"/>
      <w:sz w:val="28"/>
      <w:szCs w:val="28"/>
    </w:rPr>
  </w:style>
  <w:style w:type="character" w:customStyle="1" w:styleId="54">
    <w:name w:val="页脚 Char"/>
    <w:basedOn w:val="25"/>
    <w:link w:val="13"/>
    <w:qFormat/>
    <w:locked/>
    <w:uiPriority w:val="99"/>
    <w:rPr>
      <w:rFonts w:ascii="Calibri" w:hAnsi="Calibri" w:eastAsia="宋体" w:cs="Times New Roman"/>
      <w:kern w:val="2"/>
      <w:sz w:val="24"/>
      <w:szCs w:val="24"/>
    </w:rPr>
  </w:style>
  <w:style w:type="character" w:customStyle="1" w:styleId="55">
    <w:name w:val="页眉 Char"/>
    <w:basedOn w:val="25"/>
    <w:link w:val="14"/>
    <w:qFormat/>
    <w:locked/>
    <w:uiPriority w:val="99"/>
    <w:rPr>
      <w:rFonts w:ascii="Calibri" w:hAnsi="Calibri" w:eastAsia="宋体" w:cs="Times New Roman"/>
      <w:kern w:val="2"/>
      <w:sz w:val="18"/>
      <w:szCs w:val="18"/>
    </w:rPr>
  </w:style>
  <w:style w:type="character" w:customStyle="1" w:styleId="56">
    <w:name w:val="批注框文本 Char"/>
    <w:basedOn w:val="25"/>
    <w:link w:val="12"/>
    <w:qFormat/>
    <w:locked/>
    <w:uiPriority w:val="99"/>
    <w:rPr>
      <w:rFonts w:ascii="Calibri" w:hAnsi="Calibri" w:eastAsia="宋体" w:cs="Times New Roman"/>
      <w:kern w:val="2"/>
      <w:sz w:val="18"/>
      <w:szCs w:val="18"/>
    </w:rPr>
  </w:style>
  <w:style w:type="character" w:customStyle="1" w:styleId="57">
    <w:name w:val="脚注文本 Char1"/>
    <w:basedOn w:val="25"/>
    <w:link w:val="16"/>
    <w:semiHidden/>
    <w:qFormat/>
    <w:locked/>
    <w:uiPriority w:val="99"/>
    <w:rPr>
      <w:rFonts w:ascii="Calibri" w:hAnsi="Calibri" w:eastAsia="宋体" w:cs="Times New Roman"/>
      <w:kern w:val="2"/>
      <w:sz w:val="18"/>
      <w:szCs w:val="18"/>
    </w:rPr>
  </w:style>
  <w:style w:type="character" w:customStyle="1" w:styleId="58">
    <w:name w:val="标题 1 字符"/>
    <w:basedOn w:val="25"/>
    <w:qFormat/>
    <w:uiPriority w:val="99"/>
    <w:rPr>
      <w:rFonts w:ascii="Calibri" w:hAnsi="Calibri" w:eastAsia="宋体" w:cs="Times New Roman"/>
      <w:b/>
      <w:bCs/>
      <w:kern w:val="44"/>
      <w:sz w:val="44"/>
      <w:szCs w:val="44"/>
    </w:rPr>
  </w:style>
  <w:style w:type="character" w:customStyle="1" w:styleId="59">
    <w:name w:val="标题 2 字符"/>
    <w:basedOn w:val="25"/>
    <w:qFormat/>
    <w:uiPriority w:val="99"/>
    <w:rPr>
      <w:rFonts w:ascii="Calibri Light" w:hAnsi="Calibri Light" w:eastAsia="宋体" w:cs="Times New Roman"/>
      <w:b/>
      <w:bCs/>
      <w:kern w:val="2"/>
      <w:sz w:val="32"/>
      <w:szCs w:val="32"/>
    </w:rPr>
  </w:style>
  <w:style w:type="character" w:customStyle="1" w:styleId="60">
    <w:name w:val="题注 Char"/>
    <w:link w:val="6"/>
    <w:qFormat/>
    <w:locked/>
    <w:uiPriority w:val="0"/>
    <w:rPr>
      <w:rFonts w:ascii="Cambria" w:hAnsi="Cambria" w:eastAsia="黑体"/>
      <w:kern w:val="2"/>
    </w:rPr>
  </w:style>
  <w:style w:type="character" w:customStyle="1" w:styleId="61">
    <w:name w:val="脚注文本 Char"/>
    <w:qFormat/>
    <w:uiPriority w:val="99"/>
    <w:rPr>
      <w:rFonts w:ascii="Times New Roman" w:hAnsi="Times New Roman" w:eastAsia="宋体"/>
      <w:sz w:val="18"/>
    </w:rPr>
  </w:style>
  <w:style w:type="character" w:customStyle="1" w:styleId="62">
    <w:name w:val="@他1"/>
    <w:basedOn w:val="25"/>
    <w:semiHidden/>
    <w:qFormat/>
    <w:uiPriority w:val="99"/>
    <w:rPr>
      <w:rFonts w:cs="Times New Roman"/>
      <w:color w:val="2B579A"/>
      <w:shd w:val="clear" w:color="auto" w:fill="E6E6E6"/>
    </w:rPr>
  </w:style>
  <w:style w:type="character" w:customStyle="1" w:styleId="63">
    <w:name w:val="无间隔 Char"/>
    <w:basedOn w:val="25"/>
    <w:link w:val="37"/>
    <w:qFormat/>
    <w:locked/>
    <w:uiPriority w:val="99"/>
    <w:rPr>
      <w:rFonts w:cs="Times New Roman"/>
      <w:kern w:val="2"/>
      <w:sz w:val="22"/>
      <w:szCs w:val="22"/>
      <w:lang w:val="en-US" w:eastAsia="zh-CN" w:bidi="ar-SA"/>
    </w:rPr>
  </w:style>
  <w:style w:type="character" w:customStyle="1" w:styleId="64">
    <w:name w:val="未处理的提及1"/>
    <w:basedOn w:val="25"/>
    <w:semiHidden/>
    <w:qFormat/>
    <w:uiPriority w:val="99"/>
    <w:rPr>
      <w:rFonts w:cs="Times New Roman"/>
      <w:color w:val="808080"/>
      <w:shd w:val="clear" w:color="auto" w:fill="E6E6E6"/>
    </w:rPr>
  </w:style>
  <w:style w:type="character" w:customStyle="1" w:styleId="65">
    <w:name w:val="批注文字 Char"/>
    <w:basedOn w:val="25"/>
    <w:link w:val="7"/>
    <w:semiHidden/>
    <w:qFormat/>
    <w:locked/>
    <w:uiPriority w:val="99"/>
    <w:rPr>
      <w:rFonts w:cs="Times New Roman"/>
      <w:kern w:val="0"/>
      <w:sz w:val="20"/>
      <w:szCs w:val="20"/>
    </w:rPr>
  </w:style>
  <w:style w:type="character" w:customStyle="1" w:styleId="66">
    <w:name w:val="批注主题 Char"/>
    <w:basedOn w:val="65"/>
    <w:link w:val="21"/>
    <w:semiHidden/>
    <w:qFormat/>
    <w:locked/>
    <w:uiPriority w:val="99"/>
    <w:rPr>
      <w:rFonts w:cs="Times New Roman"/>
      <w:b/>
      <w:bCs/>
      <w:kern w:val="0"/>
      <w:sz w:val="20"/>
      <w:szCs w:val="20"/>
    </w:rPr>
  </w:style>
  <w:style w:type="character" w:customStyle="1" w:styleId="67">
    <w:name w:val="未处理的提及2"/>
    <w:basedOn w:val="25"/>
    <w:unhideWhenUsed/>
    <w:qFormat/>
    <w:uiPriority w:val="99"/>
    <w:rPr>
      <w:color w:val="808080"/>
      <w:shd w:val="clear" w:color="auto" w:fill="E6E6E6"/>
    </w:rPr>
  </w:style>
  <w:style w:type="character" w:customStyle="1" w:styleId="68">
    <w:name w:val="未处理的提及3"/>
    <w:basedOn w:val="25"/>
    <w:unhideWhenUsed/>
    <w:qFormat/>
    <w:uiPriority w:val="99"/>
    <w:rPr>
      <w:color w:val="808080"/>
      <w:shd w:val="clear" w:color="auto" w:fill="E6E6E6"/>
    </w:rPr>
  </w:style>
  <w:style w:type="character" w:customStyle="1" w:styleId="69">
    <w:name w:val="正文文本缩进 Char"/>
    <w:link w:val="9"/>
    <w:qFormat/>
    <w:uiPriority w:val="0"/>
    <w:rPr>
      <w:rFonts w:ascii="宋体"/>
      <w:sz w:val="24"/>
    </w:rPr>
  </w:style>
  <w:style w:type="character" w:customStyle="1" w:styleId="70">
    <w:name w:val="正文文本缩进 Char1"/>
    <w:basedOn w:val="25"/>
    <w:semiHidden/>
    <w:qFormat/>
    <w:uiPriority w:val="99"/>
    <w:rPr>
      <w:kern w:val="0"/>
      <w:sz w:val="20"/>
      <w:szCs w:val="20"/>
    </w:rPr>
  </w:style>
  <w:style w:type="character" w:customStyle="1" w:styleId="71">
    <w:name w:val="正文文本缩进 3 Char"/>
    <w:basedOn w:val="25"/>
    <w:link w:val="17"/>
    <w:semiHidden/>
    <w:qFormat/>
    <w:uiPriority w:val="99"/>
    <w:rPr>
      <w:rFonts w:ascii="Calibri" w:hAnsi="Calibri" w:eastAsia="宋体" w:cs="黑体"/>
      <w:sz w:val="16"/>
      <w:szCs w:val="16"/>
    </w:rPr>
  </w:style>
  <w:style w:type="character" w:customStyle="1" w:styleId="72">
    <w:name w:val="fontstyle01"/>
    <w:basedOn w:val="25"/>
    <w:qFormat/>
    <w:uiPriority w:val="0"/>
    <w:rPr>
      <w:rFonts w:hint="default" w:ascii="仿宋" w:hAnsi="仿宋"/>
      <w:color w:val="000000"/>
      <w:sz w:val="24"/>
      <w:szCs w:val="24"/>
    </w:rPr>
  </w:style>
  <w:style w:type="character" w:customStyle="1" w:styleId="73">
    <w:name w:val="正文文本 Char"/>
    <w:basedOn w:val="25"/>
    <w:link w:val="8"/>
    <w:semiHidden/>
    <w:qFormat/>
    <w:uiPriority w:val="99"/>
    <w:rPr>
      <w:kern w:val="0"/>
      <w:sz w:val="20"/>
      <w:szCs w:val="20"/>
    </w:rPr>
  </w:style>
  <w:style w:type="character" w:customStyle="1" w:styleId="74">
    <w:name w:val="正文首行缩进 Char"/>
    <w:basedOn w:val="73"/>
    <w:link w:val="22"/>
    <w:qFormat/>
    <w:uiPriority w:val="99"/>
    <w:rPr>
      <w:kern w:val="0"/>
      <w:sz w:val="20"/>
      <w:szCs w:val="20"/>
    </w:rPr>
  </w:style>
  <w:style w:type="character" w:customStyle="1" w:styleId="75">
    <w:name w:val="公告表格 Char"/>
    <w:basedOn w:val="25"/>
    <w:link w:val="42"/>
    <w:qFormat/>
    <w:uiPriority w:val="0"/>
    <w:rPr>
      <w:rFonts w:ascii="Times New Roman" w:hAnsi="Times New Roman" w:eastAsia="楷体_GB2312" w:cs="宋体"/>
      <w:kern w:val="0"/>
      <w:sz w:val="18"/>
      <w:szCs w:val="18"/>
    </w:rPr>
  </w:style>
  <w:style w:type="character" w:customStyle="1" w:styleId="76">
    <w:name w:val="空行 Char"/>
    <w:basedOn w:val="25"/>
    <w:link w:val="43"/>
    <w:qFormat/>
    <w:uiPriority w:val="0"/>
    <w:rPr>
      <w:rFonts w:ascii="Times New Roman" w:hAnsi="Times New Roman" w:cs="宋体"/>
      <w:kern w:val="0"/>
      <w:position w:val="2"/>
      <w:szCs w:val="21"/>
    </w:rPr>
  </w:style>
  <w:style w:type="character" w:customStyle="1" w:styleId="77">
    <w:name w:val="公告正文 Char"/>
    <w:basedOn w:val="25"/>
    <w:link w:val="44"/>
    <w:qFormat/>
    <w:uiPriority w:val="0"/>
    <w:rPr>
      <w:rFonts w:ascii="Times New Roman" w:hAnsi="Times New Roman" w:cs="宋体"/>
      <w:kern w:val="0"/>
      <w:szCs w:val="21"/>
    </w:rPr>
  </w:style>
  <w:style w:type="character" w:customStyle="1" w:styleId="78">
    <w:name w:val="脚注文本 字符1"/>
    <w:qFormat/>
    <w:uiPriority w:val="0"/>
    <w:rPr>
      <w:rFonts w:ascii="Calibri" w:hAnsi="Calibri"/>
      <w:kern w:val="2"/>
      <w:sz w:val="18"/>
      <w:szCs w:val="18"/>
    </w:rPr>
  </w:style>
  <w:style w:type="character" w:customStyle="1" w:styleId="79">
    <w:name w:val="正文文本缩进 2 Char"/>
    <w:basedOn w:val="25"/>
    <w:link w:val="11"/>
    <w:semiHidden/>
    <w:qFormat/>
    <w:uiPriority w:val="99"/>
    <w:rPr>
      <w:kern w:val="0"/>
      <w:sz w:val="20"/>
      <w:szCs w:val="20"/>
    </w:rPr>
  </w:style>
  <w:style w:type="character" w:customStyle="1" w:styleId="80">
    <w:name w:val="bsharetext"/>
    <w:basedOn w:val="25"/>
    <w:qFormat/>
    <w:uiPriority w:val="0"/>
  </w:style>
  <w:style w:type="table" w:customStyle="1" w:styleId="81">
    <w:name w:val="网格型1"/>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2">
    <w:name w:val="网格表 4 - 着色 51"/>
    <w:qFormat/>
    <w:uiPriority w:val="99"/>
    <w:rPr>
      <w:kern w:val="0"/>
      <w:sz w:val="20"/>
      <w:szCs w:val="20"/>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108" w:type="dxa"/>
        <w:bottom w:w="0" w:type="dxa"/>
        <w:right w:w="108" w:type="dxa"/>
      </w:tblCellMar>
    </w:tblPr>
  </w:style>
  <w:style w:type="table" w:customStyle="1" w:styleId="83">
    <w:name w:val="网格型2"/>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4">
    <w:name w:val="网格型11"/>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5">
    <w:name w:val="WPSOffice手动目录 1"/>
    <w:qFormat/>
    <w:uiPriority w:val="0"/>
    <w:pPr>
      <w:ind w:leftChars="0"/>
    </w:pPr>
    <w:rPr>
      <w:rFonts w:ascii="Times New Roman" w:hAnsi="Times New Roman" w:eastAsia="宋体" w:cs="Times New Roman"/>
      <w:sz w:val="20"/>
      <w:szCs w:val="20"/>
    </w:rPr>
  </w:style>
  <w:style w:type="paragraph" w:customStyle="1" w:styleId="86">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home/user/Desktop/20210202.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home/user/Desktop/20210202.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home/user/Desktop/20210202.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home/user/Desktop/20210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bar"/>
        <c:grouping val="stacked"/>
        <c:varyColors val="false"/>
        <c:ser>
          <c:idx val="0"/>
          <c:order val="0"/>
          <c:tx>
            <c:strRef>
              <c:f>[20210202.xlsx]Sheet1!$A$5</c:f>
              <c:strCache>
                <c:ptCount val="1"/>
                <c:pt idx="0">
                  <c:v>双师型教师数量</c:v>
                </c:pt>
              </c:strCache>
            </c:strRef>
          </c:tx>
          <c:spPr>
            <a:solidFill>
              <a:schemeClr val="accent1"/>
            </a:solidFill>
            <a:ln>
              <a:noFill/>
            </a:ln>
            <a:effectLst/>
          </c:spPr>
          <c:invertIfNegative val="false"/>
          <c:dLbls>
            <c:dLbl>
              <c:idx val="1"/>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t>203</a:t>
                    </a:r>
                    <a:r>
                      <a:rPr lang="en-US" altLang="zh-CN"/>
                      <a:t>6</a:t>
                    </a:r>
                    <a:endParaRPr lang="en-US" altLang="zh-CN"/>
                  </a:p>
                </c:rich>
              </c:tx>
              <c:dLblPos val="ctr"/>
              <c:showLegendKey val="false"/>
              <c:showVal val="true"/>
              <c:showCatName val="false"/>
              <c:showSerName val="false"/>
              <c:showPercent val="false"/>
              <c:showBubbleSize val="false"/>
              <c:extLst>
                <c:ext xmlns:c15="http://schemas.microsoft.com/office/drawing/2012/chart" uri="{CE6537A1-D6FC-4f65-9D91-7224C49458BB}"/>
              </c:extLst>
            </c:dLbl>
            <c:numFmt formatCode="General" sourceLinked="tru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spPr>
                    <a:ln w="9525" cap="flat" cmpd="sng" algn="ctr">
                      <a:solidFill>
                        <a:schemeClr val="tx1">
                          <a:lumMod val="35000"/>
                          <a:lumOff val="65000"/>
                        </a:schemeClr>
                      </a:solidFill>
                      <a:round/>
                    </a:ln>
                    <a:effectLst/>
                  </c:spPr>
                </c15:leaderLines>
              </c:ext>
            </c:extLst>
          </c:dLbls>
          <c:cat>
            <c:strRef>
              <c:f>[20210202.xlsx]Sheet1!$B$4:$C$4</c:f>
              <c:strCache>
                <c:ptCount val="2"/>
                <c:pt idx="0">
                  <c:v>2019年</c:v>
                </c:pt>
                <c:pt idx="1">
                  <c:v>2020年</c:v>
                </c:pt>
              </c:strCache>
            </c:strRef>
          </c:cat>
          <c:val>
            <c:numRef>
              <c:f>[20210202.xlsx]Sheet1!$B$5:$C$5</c:f>
              <c:numCache>
                <c:formatCode>General</c:formatCode>
                <c:ptCount val="2"/>
                <c:pt idx="0">
                  <c:v>1977</c:v>
                </c:pt>
                <c:pt idx="1">
                  <c:v>2036</c:v>
                </c:pt>
              </c:numCache>
            </c:numRef>
          </c:val>
        </c:ser>
        <c:ser>
          <c:idx val="1"/>
          <c:order val="1"/>
          <c:tx>
            <c:strRef>
              <c:f>[20210202.xlsx]Sheet1!$A$6</c:f>
              <c:strCache>
                <c:ptCount val="1"/>
                <c:pt idx="0">
                  <c:v>非双师型教师数量</c:v>
                </c:pt>
              </c:strCache>
            </c:strRef>
          </c:tx>
          <c:spPr>
            <a:solidFill>
              <a:schemeClr val="accent2"/>
            </a:solidFill>
            <a:ln>
              <a:noFill/>
            </a:ln>
            <a:effectLst/>
          </c:spPr>
          <c:invertIfNegative val="false"/>
          <c:dLbls>
            <c:numFmt formatCode="General" sourceLinked="tru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spPr>
                    <a:ln w="9525" cap="flat" cmpd="sng" algn="ctr">
                      <a:solidFill>
                        <a:schemeClr val="tx1">
                          <a:lumMod val="35000"/>
                          <a:lumOff val="65000"/>
                        </a:schemeClr>
                      </a:solidFill>
                      <a:round/>
                    </a:ln>
                    <a:effectLst/>
                  </c:spPr>
                </c15:leaderLines>
              </c:ext>
            </c:extLst>
          </c:dLbls>
          <c:cat>
            <c:strRef>
              <c:f>[20210202.xlsx]Sheet1!$B$4:$C$4</c:f>
              <c:strCache>
                <c:ptCount val="2"/>
                <c:pt idx="0">
                  <c:v>2019年</c:v>
                </c:pt>
                <c:pt idx="1">
                  <c:v>2020年</c:v>
                </c:pt>
              </c:strCache>
            </c:strRef>
          </c:cat>
          <c:val>
            <c:numRef>
              <c:f>[20210202.xlsx]Sheet1!$B$6:$C$6</c:f>
              <c:numCache>
                <c:formatCode>General</c:formatCode>
                <c:ptCount val="2"/>
                <c:pt idx="0">
                  <c:v>256</c:v>
                </c:pt>
                <c:pt idx="1">
                  <c:v>251</c:v>
                </c:pt>
              </c:numCache>
            </c:numRef>
          </c:val>
        </c:ser>
        <c:dLbls>
          <c:showLegendKey val="false"/>
          <c:showVal val="true"/>
          <c:showCatName val="false"/>
          <c:showSerName val="false"/>
          <c:showPercent val="false"/>
          <c:showBubbleSize val="false"/>
        </c:dLbls>
        <c:gapWidth val="150"/>
        <c:overlap val="100"/>
        <c:axId val="88217088"/>
        <c:axId val="88218624"/>
      </c:barChart>
      <c:catAx>
        <c:axId val="88217088"/>
        <c:scaling>
          <c:orientation val="minMax"/>
        </c:scaling>
        <c:delete val="false"/>
        <c:axPos val="l"/>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88218624"/>
        <c:crosses val="autoZero"/>
        <c:auto val="true"/>
        <c:lblAlgn val="ctr"/>
        <c:lblOffset val="100"/>
        <c:noMultiLvlLbl val="false"/>
      </c:catAx>
      <c:valAx>
        <c:axId val="88218624"/>
        <c:scaling>
          <c:orientation val="minMax"/>
          <c:min val="0"/>
        </c:scaling>
        <c:delete val="false"/>
        <c:axPos val="b"/>
        <c:majorGridlines>
          <c:spPr>
            <a:ln w="9525" cap="flat" cmpd="sng" algn="ctr">
              <a:solidFill>
                <a:schemeClr val="tx1">
                  <a:lumMod val="15000"/>
                  <a:lumOff val="85000"/>
                </a:schemeClr>
              </a:solidFill>
              <a:round/>
            </a:ln>
            <a:effectLst/>
          </c:spPr>
        </c:majorGridlines>
        <c:numFmt formatCode="General" sourceLinked="true"/>
        <c:majorTickMark val="out"/>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88217088"/>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lineChart>
        <c:grouping val="standard"/>
        <c:varyColors val="false"/>
        <c:ser>
          <c:idx val="0"/>
          <c:order val="0"/>
          <c:tx>
            <c:strRef>
              <c:f>[20210202.xlsx]Sheet2!$C$49</c:f>
              <c:strCache>
                <c:ptCount val="1"/>
                <c:pt idx="0">
                  <c:v>2020年在校人数占比</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elete val="true"/>
          </c:dLbls>
          <c:cat>
            <c:strRef>
              <c:f>[20210202.xlsx]Sheet2!$B$50:$B$63</c:f>
              <c:strCache>
                <c:ptCount val="14"/>
                <c:pt idx="0">
                  <c:v>农林牧渔类</c:v>
                </c:pt>
                <c:pt idx="1">
                  <c:v>资源环境类</c:v>
                </c:pt>
                <c:pt idx="2">
                  <c:v>能源与新能源类</c:v>
                </c:pt>
                <c:pt idx="3">
                  <c:v>土木水利类</c:v>
                </c:pt>
                <c:pt idx="4">
                  <c:v>加工制造类</c:v>
                </c:pt>
                <c:pt idx="5">
                  <c:v>石油化工类</c:v>
                </c:pt>
                <c:pt idx="6">
                  <c:v>交通运输类</c:v>
                </c:pt>
                <c:pt idx="7">
                  <c:v>信息技术类</c:v>
                </c:pt>
                <c:pt idx="8">
                  <c:v>医药卫生类</c:v>
                </c:pt>
                <c:pt idx="9">
                  <c:v>财经商贸类</c:v>
                </c:pt>
                <c:pt idx="10">
                  <c:v>旅游服务类</c:v>
                </c:pt>
                <c:pt idx="11">
                  <c:v>文化艺术类、体育与健身类</c:v>
                </c:pt>
                <c:pt idx="12">
                  <c:v>教育类</c:v>
                </c:pt>
                <c:pt idx="13">
                  <c:v>公共管理与服务类、司法服务类</c:v>
                </c:pt>
              </c:strCache>
            </c:strRef>
          </c:cat>
          <c:val>
            <c:numRef>
              <c:f>[20210202.xlsx]Sheet2!$C$50:$C$63</c:f>
              <c:numCache>
                <c:formatCode>0.00%</c:formatCode>
                <c:ptCount val="14"/>
                <c:pt idx="0">
                  <c:v>0.031285697236288</c:v>
                </c:pt>
                <c:pt idx="1">
                  <c:v>0.00954767872061105</c:v>
                </c:pt>
                <c:pt idx="2">
                  <c:v>0</c:v>
                </c:pt>
                <c:pt idx="3">
                  <c:v>0.0455049187594837</c:v>
                </c:pt>
                <c:pt idx="4">
                  <c:v>0.107002199375991</c:v>
                </c:pt>
                <c:pt idx="5">
                  <c:v>0.00799618092851176</c:v>
                </c:pt>
                <c:pt idx="6">
                  <c:v>0.0772679999318023</c:v>
                </c:pt>
                <c:pt idx="7">
                  <c:v>0.11997681278025</c:v>
                </c:pt>
                <c:pt idx="8">
                  <c:v>0.0513869708284316</c:v>
                </c:pt>
                <c:pt idx="9">
                  <c:v>0.234344364312141</c:v>
                </c:pt>
                <c:pt idx="10">
                  <c:v>0.127205769525855</c:v>
                </c:pt>
                <c:pt idx="11">
                  <c:v>0.0862700970112356</c:v>
                </c:pt>
                <c:pt idx="12">
                  <c:v>0.0813598622406356</c:v>
                </c:pt>
                <c:pt idx="13">
                  <c:v>0.0208514483487631</c:v>
                </c:pt>
              </c:numCache>
            </c:numRef>
          </c:val>
          <c:smooth val="false"/>
        </c:ser>
        <c:ser>
          <c:idx val="1"/>
          <c:order val="1"/>
          <c:tx>
            <c:strRef>
              <c:f>[20210202.xlsx]Sheet2!$D$49</c:f>
              <c:strCache>
                <c:ptCount val="1"/>
                <c:pt idx="0">
                  <c:v>2019年末从业人数占比</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elete val="true"/>
          </c:dLbls>
          <c:cat>
            <c:strRef>
              <c:f>[20210202.xlsx]Sheet2!$B$50:$B$63</c:f>
              <c:strCache>
                <c:ptCount val="14"/>
                <c:pt idx="0">
                  <c:v>农林牧渔类</c:v>
                </c:pt>
                <c:pt idx="1">
                  <c:v>资源环境类</c:v>
                </c:pt>
                <c:pt idx="2">
                  <c:v>能源与新能源类</c:v>
                </c:pt>
                <c:pt idx="3">
                  <c:v>土木水利类</c:v>
                </c:pt>
                <c:pt idx="4">
                  <c:v>加工制造类</c:v>
                </c:pt>
                <c:pt idx="5">
                  <c:v>石油化工类</c:v>
                </c:pt>
                <c:pt idx="6">
                  <c:v>交通运输类</c:v>
                </c:pt>
                <c:pt idx="7">
                  <c:v>信息技术类</c:v>
                </c:pt>
                <c:pt idx="8">
                  <c:v>医药卫生类</c:v>
                </c:pt>
                <c:pt idx="9">
                  <c:v>财经商贸类</c:v>
                </c:pt>
                <c:pt idx="10">
                  <c:v>旅游服务类</c:v>
                </c:pt>
                <c:pt idx="11">
                  <c:v>文化艺术类、体育与健身类</c:v>
                </c:pt>
                <c:pt idx="12">
                  <c:v>教育类</c:v>
                </c:pt>
                <c:pt idx="13">
                  <c:v>公共管理与服务类、司法服务类</c:v>
                </c:pt>
              </c:strCache>
            </c:strRef>
          </c:cat>
          <c:val>
            <c:numRef>
              <c:f>[20210202.xlsx]Sheet2!$D$50:$D$63</c:f>
              <c:numCache>
                <c:formatCode>0.00%</c:formatCode>
                <c:ptCount val="14"/>
                <c:pt idx="0">
                  <c:v>0.000234173977362458</c:v>
                </c:pt>
                <c:pt idx="1">
                  <c:v>0.000462265513754463</c:v>
                </c:pt>
                <c:pt idx="2">
                  <c:v>0.00385952602578738</c:v>
                </c:pt>
                <c:pt idx="3">
                  <c:v>0.319926185234223</c:v>
                </c:pt>
                <c:pt idx="4">
                  <c:v>0.218933552590848</c:v>
                </c:pt>
                <c:pt idx="5">
                  <c:v>0.0290703749281783</c:v>
                </c:pt>
                <c:pt idx="6">
                  <c:v>0.0297505221666958</c:v>
                </c:pt>
                <c:pt idx="7">
                  <c:v>0.0571343231057813</c:v>
                </c:pt>
                <c:pt idx="8">
                  <c:v>0.0314403546063086</c:v>
                </c:pt>
                <c:pt idx="9">
                  <c:v>0.178891323072111</c:v>
                </c:pt>
                <c:pt idx="10">
                  <c:v>0.0261166981469192</c:v>
                </c:pt>
                <c:pt idx="11">
                  <c:v>0.00642718503545737</c:v>
                </c:pt>
                <c:pt idx="12">
                  <c:v>0.0474241405565216</c:v>
                </c:pt>
                <c:pt idx="13">
                  <c:v>0.0503293750400518</c:v>
                </c:pt>
              </c:numCache>
            </c:numRef>
          </c:val>
          <c:smooth val="false"/>
        </c:ser>
        <c:dLbls>
          <c:showLegendKey val="false"/>
          <c:showVal val="false"/>
          <c:showCatName val="false"/>
          <c:showSerName val="false"/>
          <c:showPercent val="false"/>
          <c:showBubbleSize val="false"/>
        </c:dLbls>
        <c:marker val="true"/>
        <c:smooth val="false"/>
        <c:axId val="976546973"/>
        <c:axId val="348799164"/>
      </c:lineChart>
      <c:catAx>
        <c:axId val="976546973"/>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348799164"/>
        <c:crosses val="autoZero"/>
        <c:auto val="true"/>
        <c:lblAlgn val="ctr"/>
        <c:lblOffset val="100"/>
        <c:noMultiLvlLbl val="false"/>
      </c:catAx>
      <c:valAx>
        <c:axId val="348799164"/>
        <c:scaling>
          <c:orientation val="minMax"/>
        </c:scaling>
        <c:delete val="false"/>
        <c:axPos val="l"/>
        <c:majorGridlines>
          <c:spPr>
            <a:ln w="9525" cap="flat" cmpd="sng" algn="ctr">
              <a:solidFill>
                <a:schemeClr val="tx1">
                  <a:lumMod val="15000"/>
                  <a:lumOff val="85000"/>
                </a:schemeClr>
              </a:solidFill>
              <a:round/>
            </a:ln>
            <a:effectLst/>
          </c:spPr>
        </c:majorGridlines>
        <c:numFmt formatCode="0.00%"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976546973"/>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[20210202.xlsx]Sheet2!$B$81:$B$83</c:f>
              <c:strCache>
                <c:ptCount val="3"/>
                <c:pt idx="0">
                  <c:v>第一产业</c:v>
                </c:pt>
                <c:pt idx="1">
                  <c:v>第二产业</c:v>
                </c:pt>
                <c:pt idx="2">
                  <c:v>第三产业</c:v>
                </c:pt>
              </c:strCache>
            </c:strRef>
          </c:cat>
          <c:val>
            <c:numRef>
              <c:f>[20210202.xlsx]Sheet2!$C$81:$C$83</c:f>
              <c:numCache>
                <c:formatCode>0.00%</c:formatCode>
                <c:ptCount val="3"/>
                <c:pt idx="0">
                  <c:v>0.0212</c:v>
                </c:pt>
                <c:pt idx="1">
                  <c:v>0.3171</c:v>
                </c:pt>
                <c:pt idx="2">
                  <c:v>0.6617</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[20210202.xlsx]Sheet2!$B$76:$B$78</c:f>
              <c:strCache>
                <c:ptCount val="3"/>
                <c:pt idx="0">
                  <c:v>第一产业</c:v>
                </c:pt>
                <c:pt idx="1">
                  <c:v>第二产业</c:v>
                </c:pt>
                <c:pt idx="2">
                  <c:v>第三产业</c:v>
                </c:pt>
              </c:strCache>
            </c:strRef>
          </c:cat>
          <c:val>
            <c:numRef>
              <c:f>[20210202.xlsx]Sheet2!$C$76:$C$78</c:f>
              <c:numCache>
                <c:formatCode>0.00%</c:formatCode>
                <c:ptCount val="3"/>
                <c:pt idx="0">
                  <c:v>0.0249</c:v>
                </c:pt>
                <c:pt idx="1">
                  <c:v>0.2427</c:v>
                </c:pt>
                <c:pt idx="2">
                  <c:v>0.7324</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700a7988-84fb-4eed-8070-dc06513d744c}"/>
        <w:style w:val=""/>
        <w:category>
          <w:name w:val="常规"/>
          <w:gallery w:val="placeholder"/>
        </w:category>
        <w:types>
          <w:type w:val="bbPlcHdr"/>
        </w:types>
        <w:behaviors>
          <w:behavior w:val="content"/>
        </w:behaviors>
        <w:description w:val=""/>
        <w:guid w:val="{700a7988-84fb-4eed-8070-dc06513d744c}"/>
      </w:docPartPr>
      <w:docPartBody>
        <w:p>
          <w:r>
            <w:rPr>
              <w:color w:val="808080"/>
            </w:rPr>
            <w:t>单击此处输入文字。</w:t>
          </w:r>
        </w:p>
      </w:docPartBody>
    </w:docPart>
    <w:docPart>
      <w:docPartPr>
        <w:name w:val="{aba17d0f-4604-4d78-abf7-1f77e8c809ee}"/>
        <w:style w:val=""/>
        <w:category>
          <w:name w:val="常规"/>
          <w:gallery w:val="placeholder"/>
        </w:category>
        <w:types>
          <w:type w:val="bbPlcHdr"/>
        </w:types>
        <w:behaviors>
          <w:behavior w:val="content"/>
        </w:behaviors>
        <w:description w:val=""/>
        <w:guid w:val="{aba17d0f-4604-4d78-abf7-1f77e8c809ee}"/>
      </w:docPartPr>
      <w:docPartBody>
        <w:p>
          <w:r>
            <w:rPr>
              <w:color w:val="808080"/>
            </w:rPr>
            <w:t>单击此处输入文字。</w:t>
          </w:r>
        </w:p>
      </w:docPartBody>
    </w:docPart>
    <w:docPart>
      <w:docPartPr>
        <w:name w:val="{c2984d17-e9b4-4570-ab6c-ff9b87d3ad71}"/>
        <w:style w:val=""/>
        <w:category>
          <w:name w:val="常规"/>
          <w:gallery w:val="placeholder"/>
        </w:category>
        <w:types>
          <w:type w:val="bbPlcHdr"/>
        </w:types>
        <w:behaviors>
          <w:behavior w:val="content"/>
        </w:behaviors>
        <w:description w:val=""/>
        <w:guid w:val="{c2984d17-e9b4-4570-ab6c-ff9b87d3ad71}"/>
      </w:docPartPr>
      <w:docPartBody>
        <w:p>
          <w:r>
            <w:rPr>
              <w:color w:val="808080"/>
            </w:rPr>
            <w:t>单击此处输入文字。</w:t>
          </w:r>
        </w:p>
      </w:docPartBody>
    </w:docPart>
    <w:docPart>
      <w:docPartPr>
        <w:name w:val="{ab2a3586-a1bd-4303-bc40-55cfbd3f7eaa}"/>
        <w:style w:val=""/>
        <w:category>
          <w:name w:val="常规"/>
          <w:gallery w:val="placeholder"/>
        </w:category>
        <w:types>
          <w:type w:val="bbPlcHdr"/>
        </w:types>
        <w:behaviors>
          <w:behavior w:val="content"/>
        </w:behaviors>
        <w:description w:val=""/>
        <w:guid w:val="{ab2a3586-a1bd-4303-bc40-55cfbd3f7eaa}"/>
      </w:docPartPr>
      <w:docPartBody>
        <w:p>
          <w:r>
            <w:rPr>
              <w:color w:val="808080"/>
            </w:rPr>
            <w:t>单击此处输入文字。</w:t>
          </w:r>
        </w:p>
      </w:docPartBody>
    </w:docPart>
    <w:docPart>
      <w:docPartPr>
        <w:name w:val="{0cbb55fa-7698-4565-9b7f-8b77706b4595}"/>
        <w:style w:val=""/>
        <w:category>
          <w:name w:val="常规"/>
          <w:gallery w:val="placeholder"/>
        </w:category>
        <w:types>
          <w:type w:val="bbPlcHdr"/>
        </w:types>
        <w:behaviors>
          <w:behavior w:val="content"/>
        </w:behaviors>
        <w:description w:val=""/>
        <w:guid w:val="{0cbb55fa-7698-4565-9b7f-8b77706b4595}"/>
      </w:docPartPr>
      <w:docPartBody>
        <w:p>
          <w:r>
            <w:rPr>
              <w:color w:val="808080"/>
            </w:rPr>
            <w:t>单击此处输入文字。</w:t>
          </w:r>
        </w:p>
      </w:docPartBody>
    </w:docPart>
    <w:docPart>
      <w:docPartPr>
        <w:name w:val="{8d3a2937-2b67-4ca6-8f43-d3c8754a1c9f}"/>
        <w:style w:val=""/>
        <w:category>
          <w:name w:val="常规"/>
          <w:gallery w:val="placeholder"/>
        </w:category>
        <w:types>
          <w:type w:val="bbPlcHdr"/>
        </w:types>
        <w:behaviors>
          <w:behavior w:val="content"/>
        </w:behaviors>
        <w:description w:val=""/>
        <w:guid w:val="{8d3a2937-2b67-4ca6-8f43-d3c8754a1c9f}"/>
      </w:docPartPr>
      <w:docPartBody>
        <w:p>
          <w:r>
            <w:rPr>
              <w:color w:val="808080"/>
            </w:rPr>
            <w:t>单击此处输入文字。</w:t>
          </w:r>
        </w:p>
      </w:docPartBody>
    </w:docPart>
    <w:docPart>
      <w:docPartPr>
        <w:name w:val="{928ce5d4-7daa-46e4-87cd-c32155b42c74}"/>
        <w:style w:val=""/>
        <w:category>
          <w:name w:val="常规"/>
          <w:gallery w:val="placeholder"/>
        </w:category>
        <w:types>
          <w:type w:val="bbPlcHdr"/>
        </w:types>
        <w:behaviors>
          <w:behavior w:val="content"/>
        </w:behaviors>
        <w:description w:val=""/>
        <w:guid w:val="{928ce5d4-7daa-46e4-87cd-c32155b42c74}"/>
      </w:docPartPr>
      <w:docPartBody>
        <w:p>
          <w:r>
            <w:rPr>
              <w:color w:val="808080"/>
            </w:rPr>
            <w:t>单击此处输入文字。</w:t>
          </w:r>
        </w:p>
      </w:docPartBody>
    </w:docPart>
    <w:docPart>
      <w:docPartPr>
        <w:name w:val="{026b74f3-78f6-41f5-9ecd-deca7a8360bf}"/>
        <w:style w:val=""/>
        <w:category>
          <w:name w:val="常规"/>
          <w:gallery w:val="placeholder"/>
        </w:category>
        <w:types>
          <w:type w:val="bbPlcHdr"/>
        </w:types>
        <w:behaviors>
          <w:behavior w:val="content"/>
        </w:behaviors>
        <w:description w:val=""/>
        <w:guid w:val="{026b74f3-78f6-41f5-9ecd-deca7a8360bf}"/>
      </w:docPartPr>
      <w:docPartBody>
        <w:p>
          <w:r>
            <w:rPr>
              <w:color w:val="808080"/>
            </w:rPr>
            <w:t>单击此处输入文字。</w:t>
          </w:r>
        </w:p>
      </w:docPartBody>
    </w:docPart>
    <w:docPart>
      <w:docPartPr>
        <w:name w:val="{10453c6f-7e53-4f63-8638-3825d5197316}"/>
        <w:style w:val=""/>
        <w:category>
          <w:name w:val="常规"/>
          <w:gallery w:val="placeholder"/>
        </w:category>
        <w:types>
          <w:type w:val="bbPlcHdr"/>
        </w:types>
        <w:behaviors>
          <w:behavior w:val="content"/>
        </w:behaviors>
        <w:description w:val=""/>
        <w:guid w:val="{10453c6f-7e53-4f63-8638-3825d5197316}"/>
      </w:docPartPr>
      <w:docPartBody>
        <w:p>
          <w:r>
            <w:rPr>
              <w:color w:val="808080"/>
            </w:rPr>
            <w:t>单击此处输入文字。</w:t>
          </w:r>
        </w:p>
      </w:docPartBody>
    </w:docPart>
    <w:docPart>
      <w:docPartPr>
        <w:name w:val="{63e121b5-6ac5-45da-a3f9-e4c38853be84}"/>
        <w:style w:val=""/>
        <w:category>
          <w:name w:val="常规"/>
          <w:gallery w:val="placeholder"/>
        </w:category>
        <w:types>
          <w:type w:val="bbPlcHdr"/>
        </w:types>
        <w:behaviors>
          <w:behavior w:val="content"/>
        </w:behaviors>
        <w:description w:val=""/>
        <w:guid w:val="{63e121b5-6ac5-45da-a3f9-e4c38853be84}"/>
      </w:docPartPr>
      <w:docPartBody>
        <w:p>
          <w:r>
            <w:rPr>
              <w:color w:val="808080"/>
            </w:rPr>
            <w:t>单击此处输入文字。</w:t>
          </w:r>
        </w:p>
      </w:docPartBody>
    </w:docPart>
    <w:docPart>
      <w:docPartPr>
        <w:name w:val="{6f02738b-f8e0-486f-a275-1894f67d6f70}"/>
        <w:style w:val=""/>
        <w:category>
          <w:name w:val="常规"/>
          <w:gallery w:val="placeholder"/>
        </w:category>
        <w:types>
          <w:type w:val="bbPlcHdr"/>
        </w:types>
        <w:behaviors>
          <w:behavior w:val="content"/>
        </w:behaviors>
        <w:description w:val=""/>
        <w:guid w:val="{6f02738b-f8e0-486f-a275-1894f67d6f70}"/>
      </w:docPartPr>
      <w:docPartBody>
        <w:p>
          <w:r>
            <w:rPr>
              <w:color w:val="808080"/>
            </w:rPr>
            <w:t>单击此处输入文字。</w:t>
          </w:r>
        </w:p>
      </w:docPartBody>
    </w:docPart>
    <w:docPart>
      <w:docPartPr>
        <w:name w:val="{178a9805-37f1-431f-baed-96350ac1ca8e}"/>
        <w:style w:val=""/>
        <w:category>
          <w:name w:val="常规"/>
          <w:gallery w:val="placeholder"/>
        </w:category>
        <w:types>
          <w:type w:val="bbPlcHdr"/>
        </w:types>
        <w:behaviors>
          <w:behavior w:val="content"/>
        </w:behaviors>
        <w:description w:val=""/>
        <w:guid w:val="{178a9805-37f1-431f-baed-96350ac1ca8e}"/>
      </w:docPartPr>
      <w:docPartBody>
        <w:p>
          <w:r>
            <w:rPr>
              <w:color w:val="808080"/>
            </w:rPr>
            <w:t>单击此处输入文字。</w:t>
          </w:r>
        </w:p>
      </w:docPartBody>
    </w:docPart>
    <w:docPart>
      <w:docPartPr>
        <w:name w:val="{5f36ff61-87fe-4daa-90e9-3025a81d8765}"/>
        <w:style w:val=""/>
        <w:category>
          <w:name w:val="常规"/>
          <w:gallery w:val="placeholder"/>
        </w:category>
        <w:types>
          <w:type w:val="bbPlcHdr"/>
        </w:types>
        <w:behaviors>
          <w:behavior w:val="content"/>
        </w:behaviors>
        <w:description w:val=""/>
        <w:guid w:val="{5f36ff61-87fe-4daa-90e9-3025a81d8765}"/>
      </w:docPartPr>
      <w:docPartBody>
        <w:p>
          <w:r>
            <w:rPr>
              <w:color w:val="808080"/>
            </w:rPr>
            <w:t>单击此处输入文字。</w:t>
          </w:r>
        </w:p>
      </w:docPartBody>
    </w:docPart>
    <w:docPart>
      <w:docPartPr>
        <w:name w:val="{99f7da7b-2278-4a6e-979e-9faccc47905a}"/>
        <w:style w:val=""/>
        <w:category>
          <w:name w:val="常规"/>
          <w:gallery w:val="placeholder"/>
        </w:category>
        <w:types>
          <w:type w:val="bbPlcHdr"/>
        </w:types>
        <w:behaviors>
          <w:behavior w:val="content"/>
        </w:behaviors>
        <w:description w:val=""/>
        <w:guid w:val="{99f7da7b-2278-4a6e-979e-9faccc47905a}"/>
      </w:docPartPr>
      <w:docPartBody>
        <w:p>
          <w:r>
            <w:rPr>
              <w:color w:val="808080"/>
            </w:rPr>
            <w:t>单击此处输入文字。</w:t>
          </w:r>
        </w:p>
      </w:docPartBody>
    </w:docPart>
    <w:docPart>
      <w:docPartPr>
        <w:name w:val="{199ea4ac-e455-41cf-b871-d22f45cbae9b}"/>
        <w:style w:val=""/>
        <w:category>
          <w:name w:val="常规"/>
          <w:gallery w:val="placeholder"/>
        </w:category>
        <w:types>
          <w:type w:val="bbPlcHdr"/>
        </w:types>
        <w:behaviors>
          <w:behavior w:val="content"/>
        </w:behaviors>
        <w:description w:val=""/>
        <w:guid w:val="{199ea4ac-e455-41cf-b871-d22f45cbae9b}"/>
      </w:docPartPr>
      <w:docPartBody>
        <w:p>
          <w:r>
            <w:rPr>
              <w:color w:val="808080"/>
            </w:rPr>
            <w:t>单击此处输入文字。</w:t>
          </w:r>
        </w:p>
      </w:docPartBody>
    </w:docPart>
    <w:docPart>
      <w:docPartPr>
        <w:name w:val="{2758b25d-c6e3-445a-a5e3-0d7f91fe9cc4}"/>
        <w:style w:val=""/>
        <w:category>
          <w:name w:val="常规"/>
          <w:gallery w:val="placeholder"/>
        </w:category>
        <w:types>
          <w:type w:val="bbPlcHdr"/>
        </w:types>
        <w:behaviors>
          <w:behavior w:val="content"/>
        </w:behaviors>
        <w:description w:val=""/>
        <w:guid w:val="{2758b25d-c6e3-445a-a5e3-0d7f91fe9cc4}"/>
      </w:docPartPr>
      <w:docPartBody>
        <w:p>
          <w:r>
            <w:rPr>
              <w:color w:val="808080"/>
            </w:rPr>
            <w:t>单击此处输入文字。</w:t>
          </w:r>
        </w:p>
      </w:docPartBody>
    </w:docPart>
    <w:docPart>
      <w:docPartPr>
        <w:name w:val="{3cba854b-c17f-4476-8527-e2b50e4fb761}"/>
        <w:style w:val=""/>
        <w:category>
          <w:name w:val="常规"/>
          <w:gallery w:val="placeholder"/>
        </w:category>
        <w:types>
          <w:type w:val="bbPlcHdr"/>
        </w:types>
        <w:behaviors>
          <w:behavior w:val="content"/>
        </w:behaviors>
        <w:description w:val=""/>
        <w:guid w:val="{3cba854b-c17f-4476-8527-e2b50e4fb761}"/>
      </w:docPartPr>
      <w:docPartBody>
        <w:p>
          <w:r>
            <w:rPr>
              <w:color w:val="808080"/>
            </w:rPr>
            <w:t>单击此处输入文字。</w:t>
          </w:r>
        </w:p>
      </w:docPartBody>
    </w:docPart>
    <w:docPart>
      <w:docPartPr>
        <w:name w:val="{53c07a74-d3e2-4389-adac-c169306bb845}"/>
        <w:style w:val=""/>
        <w:category>
          <w:name w:val="常规"/>
          <w:gallery w:val="placeholder"/>
        </w:category>
        <w:types>
          <w:type w:val="bbPlcHdr"/>
        </w:types>
        <w:behaviors>
          <w:behavior w:val="content"/>
        </w:behaviors>
        <w:description w:val=""/>
        <w:guid w:val="{53c07a74-d3e2-4389-adac-c169306bb845}"/>
      </w:docPartPr>
      <w:docPartBody>
        <w:p>
          <w:r>
            <w:rPr>
              <w:color w:val="808080"/>
            </w:rPr>
            <w:t>单击此处输入文字。</w:t>
          </w:r>
        </w:p>
      </w:docPartBody>
    </w:docPart>
    <w:docPart>
      <w:docPartPr>
        <w:name w:val="{9386c82f-506e-4241-aa94-589e6df9c535}"/>
        <w:style w:val=""/>
        <w:category>
          <w:name w:val="常规"/>
          <w:gallery w:val="placeholder"/>
        </w:category>
        <w:types>
          <w:type w:val="bbPlcHdr"/>
        </w:types>
        <w:behaviors>
          <w:behavior w:val="content"/>
        </w:behaviors>
        <w:description w:val=""/>
        <w:guid w:val="{9386c82f-506e-4241-aa94-589e6df9c535}"/>
      </w:docPartPr>
      <w:docPartBody>
        <w:p>
          <w:r>
            <w:rPr>
              <w:color w:val="808080"/>
            </w:rPr>
            <w:t>单击此处输入文字。</w:t>
          </w:r>
        </w:p>
      </w:docPartBody>
    </w:docPart>
    <w:docPart>
      <w:docPartPr>
        <w:name w:val="{07f5c9b3-2bb8-4696-88a9-e2f1e49cf529}"/>
        <w:style w:val=""/>
        <w:category>
          <w:name w:val="常规"/>
          <w:gallery w:val="placeholder"/>
        </w:category>
        <w:types>
          <w:type w:val="bbPlcHdr"/>
        </w:types>
        <w:behaviors>
          <w:behavior w:val="content"/>
        </w:behaviors>
        <w:description w:val=""/>
        <w:guid w:val="{07f5c9b3-2bb8-4696-88a9-e2f1e49cf529}"/>
      </w:docPartPr>
      <w:docPartBody>
        <w:p>
          <w:r>
            <w:rPr>
              <w:color w:val="808080"/>
            </w:rPr>
            <w:t>单击此处输入文字。</w:t>
          </w:r>
        </w:p>
      </w:docPartBody>
    </w:docPart>
    <w:docPart>
      <w:docPartPr>
        <w:name w:val="{358a34eb-ec74-47b2-8bc7-d4f1448f0808}"/>
        <w:style w:val=""/>
        <w:category>
          <w:name w:val="常规"/>
          <w:gallery w:val="placeholder"/>
        </w:category>
        <w:types>
          <w:type w:val="bbPlcHdr"/>
        </w:types>
        <w:behaviors>
          <w:behavior w:val="content"/>
        </w:behaviors>
        <w:description w:val=""/>
        <w:guid w:val="{358a34eb-ec74-47b2-8bc7-d4f1448f0808}"/>
      </w:docPartPr>
      <w:docPartBody>
        <w:p>
          <w:r>
            <w:rPr>
              <w:color w:val="808080"/>
            </w:rPr>
            <w:t>单击此处输入文字。</w:t>
          </w:r>
        </w:p>
      </w:docPartBody>
    </w:docPart>
    <w:docPart>
      <w:docPartPr>
        <w:name w:val="{a0bb3532-c134-4d6d-817c-2dbdd5e71c8a}"/>
        <w:style w:val=""/>
        <w:category>
          <w:name w:val="常规"/>
          <w:gallery w:val="placeholder"/>
        </w:category>
        <w:types>
          <w:type w:val="bbPlcHdr"/>
        </w:types>
        <w:behaviors>
          <w:behavior w:val="content"/>
        </w:behaviors>
        <w:description w:val=""/>
        <w:guid w:val="{a0bb3532-c134-4d6d-817c-2dbdd5e71c8a}"/>
      </w:docPartPr>
      <w:docPartBody>
        <w:p>
          <w:r>
            <w:rPr>
              <w:color w:val="808080"/>
            </w:rPr>
            <w:t>单击此处输入文字。</w:t>
          </w:r>
        </w:p>
      </w:docPartBody>
    </w:docPart>
    <w:docPart>
      <w:docPartPr>
        <w:name w:val="{4f0dfea4-de29-45b5-9bcc-ba8a0c0b3cf9}"/>
        <w:style w:val=""/>
        <w:category>
          <w:name w:val="常规"/>
          <w:gallery w:val="placeholder"/>
        </w:category>
        <w:types>
          <w:type w:val="bbPlcHdr"/>
        </w:types>
        <w:behaviors>
          <w:behavior w:val="content"/>
        </w:behaviors>
        <w:description w:val=""/>
        <w:guid w:val="{4f0dfea4-de29-45b5-9bcc-ba8a0c0b3cf9}"/>
      </w:docPartPr>
      <w:docPartBody>
        <w:p>
          <w:r>
            <w:rPr>
              <w:color w:val="808080"/>
            </w:rPr>
            <w:t>单击此处输入文字。</w:t>
          </w:r>
        </w:p>
      </w:docPartBody>
    </w:docPart>
    <w:docPart>
      <w:docPartPr>
        <w:name w:val="{1aa925be-e42c-4759-bfb7-1137e6fc7eca}"/>
        <w:style w:val=""/>
        <w:category>
          <w:name w:val="常规"/>
          <w:gallery w:val="placeholder"/>
        </w:category>
        <w:types>
          <w:type w:val="bbPlcHdr"/>
        </w:types>
        <w:behaviors>
          <w:behavior w:val="content"/>
        </w:behaviors>
        <w:description w:val=""/>
        <w:guid w:val="{1aa925be-e42c-4759-bfb7-1137e6fc7eca}"/>
      </w:docPartPr>
      <w:docPartBody>
        <w:p>
          <w:r>
            <w:rPr>
              <w:color w:val="808080"/>
            </w:rPr>
            <w:t>单击此处输入文字。</w:t>
          </w:r>
        </w:p>
      </w:docPartBody>
    </w:docPart>
    <w:docPart>
      <w:docPartPr>
        <w:name w:val="{68bbbeae-1487-45de-a40e-7c1592338577}"/>
        <w:style w:val=""/>
        <w:category>
          <w:name w:val="常规"/>
          <w:gallery w:val="placeholder"/>
        </w:category>
        <w:types>
          <w:type w:val="bbPlcHdr"/>
        </w:types>
        <w:behaviors>
          <w:behavior w:val="content"/>
        </w:behaviors>
        <w:description w:val=""/>
        <w:guid w:val="{68bbbeae-1487-45de-a40e-7c1592338577}"/>
      </w:docPartPr>
      <w:docPartBody>
        <w:p>
          <w:r>
            <w:rPr>
              <w:color w:val="808080"/>
            </w:rPr>
            <w:t>单击此处输入文字。</w:t>
          </w:r>
        </w:p>
      </w:docPartBody>
    </w:docPart>
    <w:docPart>
      <w:docPartPr>
        <w:name w:val="{e55ca8ee-3758-49e9-87e0-ab0f3abc4dd2}"/>
        <w:style w:val=""/>
        <w:category>
          <w:name w:val="常规"/>
          <w:gallery w:val="placeholder"/>
        </w:category>
        <w:types>
          <w:type w:val="bbPlcHdr"/>
        </w:types>
        <w:behaviors>
          <w:behavior w:val="content"/>
        </w:behaviors>
        <w:description w:val=""/>
        <w:guid w:val="{e55ca8ee-3758-49e9-87e0-ab0f3abc4dd2}"/>
      </w:docPartPr>
      <w:docPartBody>
        <w:p>
          <w:r>
            <w:rPr>
              <w:color w:val="808080"/>
            </w:rPr>
            <w:t>单击此处输入文字。</w:t>
          </w:r>
        </w:p>
      </w:docPartBody>
    </w:docPart>
    <w:docPart>
      <w:docPartPr>
        <w:name w:val="{2bfb342e-29b7-4377-b846-6589a471c810}"/>
        <w:style w:val=""/>
        <w:category>
          <w:name w:val="常规"/>
          <w:gallery w:val="placeholder"/>
        </w:category>
        <w:types>
          <w:type w:val="bbPlcHdr"/>
        </w:types>
        <w:behaviors>
          <w:behavior w:val="content"/>
        </w:behaviors>
        <w:description w:val=""/>
        <w:guid w:val="{2bfb342e-29b7-4377-b846-6589a471c810}"/>
      </w:docPartPr>
      <w:docPartBody>
        <w:p>
          <w:r>
            <w:rPr>
              <w:color w:val="808080"/>
            </w:rPr>
            <w:t>单击此处输入文字。</w:t>
          </w:r>
        </w:p>
      </w:docPartBody>
    </w:docPart>
    <w:docPart>
      <w:docPartPr>
        <w:name w:val="{1dee2f24-9fdd-4440-ab82-04ffb679c369}"/>
        <w:style w:val=""/>
        <w:category>
          <w:name w:val="常规"/>
          <w:gallery w:val="placeholder"/>
        </w:category>
        <w:types>
          <w:type w:val="bbPlcHdr"/>
        </w:types>
        <w:behaviors>
          <w:behavior w:val="content"/>
        </w:behaviors>
        <w:description w:val=""/>
        <w:guid w:val="{1dee2f24-9fdd-4440-ab82-04ffb679c369}"/>
      </w:docPartPr>
      <w:docPartBody>
        <w:p>
          <w:r>
            <w:rPr>
              <w:color w:val="808080"/>
            </w:rPr>
            <w:t>单击此处输入文字。</w:t>
          </w:r>
        </w:p>
      </w:docPartBody>
    </w:docPart>
    <w:docPart>
      <w:docPartPr>
        <w:name w:val="{764d7baf-ba39-492b-ae2a-c6ed453a5b1d}"/>
        <w:style w:val=""/>
        <w:category>
          <w:name w:val="常规"/>
          <w:gallery w:val="placeholder"/>
        </w:category>
        <w:types>
          <w:type w:val="bbPlcHdr"/>
        </w:types>
        <w:behaviors>
          <w:behavior w:val="content"/>
        </w:behaviors>
        <w:description w:val=""/>
        <w:guid w:val="{764d7baf-ba39-492b-ae2a-c6ed453a5b1d}"/>
      </w:docPartPr>
      <w:docPartBody>
        <w:p>
          <w:r>
            <w:rPr>
              <w:color w:val="808080"/>
            </w:rPr>
            <w:t>单击此处输入文字。</w:t>
          </w:r>
        </w:p>
      </w:docPartBody>
    </w:docPart>
    <w:docPart>
      <w:docPartPr>
        <w:name w:val="{7faf1278-5e11-4f8b-81f7-14d3850d43b3}"/>
        <w:style w:val=""/>
        <w:category>
          <w:name w:val="常规"/>
          <w:gallery w:val="placeholder"/>
        </w:category>
        <w:types>
          <w:type w:val="bbPlcHdr"/>
        </w:types>
        <w:behaviors>
          <w:behavior w:val="content"/>
        </w:behaviors>
        <w:description w:val=""/>
        <w:guid w:val="{7faf1278-5e11-4f8b-81f7-14d3850d43b3}"/>
      </w:docPartPr>
      <w:docPartBody>
        <w:p>
          <w:r>
            <w:rPr>
              <w:color w:val="808080"/>
            </w:rPr>
            <w:t>单击此处输入文字。</w:t>
          </w:r>
        </w:p>
      </w:docPartBody>
    </w:docPart>
    <w:docPart>
      <w:docPartPr>
        <w:name w:val="{88ffeacd-b9ba-483e-94d3-d3f1cdeb7b8c}"/>
        <w:style w:val=""/>
        <w:category>
          <w:name w:val="常规"/>
          <w:gallery w:val="placeholder"/>
        </w:category>
        <w:types>
          <w:type w:val="bbPlcHdr"/>
        </w:types>
        <w:behaviors>
          <w:behavior w:val="content"/>
        </w:behaviors>
        <w:description w:val=""/>
        <w:guid w:val="{88ffeacd-b9ba-483e-94d3-d3f1cdeb7b8c}"/>
      </w:docPartPr>
      <w:docPartBody>
        <w:p>
          <w:r>
            <w:rPr>
              <w:color w:val="808080"/>
            </w:rPr>
            <w:t>单击此处输入文字。</w:t>
          </w:r>
        </w:p>
      </w:docPartBody>
    </w:docPart>
    <w:docPart>
      <w:docPartPr>
        <w:name w:val="{b91b36d6-5971-4279-ac2b-d083fa55156f}"/>
        <w:style w:val=""/>
        <w:category>
          <w:name w:val="常规"/>
          <w:gallery w:val="placeholder"/>
        </w:category>
        <w:types>
          <w:type w:val="bbPlcHdr"/>
        </w:types>
        <w:behaviors>
          <w:behavior w:val="content"/>
        </w:behaviors>
        <w:description w:val=""/>
        <w:guid w:val="{b91b36d6-5971-4279-ac2b-d083fa55156f}"/>
      </w:docPartPr>
      <w:docPartBody>
        <w:p>
          <w:r>
            <w:rPr>
              <w:color w:val="808080"/>
            </w:rPr>
            <w:t>单击此处输入文字。</w:t>
          </w:r>
        </w:p>
      </w:docPartBody>
    </w:docPart>
    <w:docPart>
      <w:docPartPr>
        <w:name w:val="{9ecdb9e4-12e6-46d1-b57e-c12390aff8c2}"/>
        <w:style w:val=""/>
        <w:category>
          <w:name w:val="常规"/>
          <w:gallery w:val="placeholder"/>
        </w:category>
        <w:types>
          <w:type w:val="bbPlcHdr"/>
        </w:types>
        <w:behaviors>
          <w:behavior w:val="content"/>
        </w:behaviors>
        <w:description w:val=""/>
        <w:guid w:val="{9ecdb9e4-12e6-46d1-b57e-c12390aff8c2}"/>
      </w:docPartPr>
      <w:docPartBody>
        <w:p>
          <w:r>
            <w:rPr>
              <w:color w:val="808080"/>
            </w:rPr>
            <w:t>单击此处输入文字。</w:t>
          </w:r>
        </w:p>
      </w:docPartBody>
    </w:docPart>
    <w:docPart>
      <w:docPartPr>
        <w:name w:val="{9f8fac78-51ee-4e00-9f93-7614a25796b8}"/>
        <w:style w:val=""/>
        <w:category>
          <w:name w:val="常规"/>
          <w:gallery w:val="placeholder"/>
        </w:category>
        <w:types>
          <w:type w:val="bbPlcHdr"/>
        </w:types>
        <w:behaviors>
          <w:behavior w:val="content"/>
        </w:behaviors>
        <w:description w:val=""/>
        <w:guid w:val="{9f8fac78-51ee-4e00-9f93-7614a25796b8}"/>
      </w:docPartPr>
      <w:docPartBody>
        <w:p>
          <w:r>
            <w:rPr>
              <w:color w:val="808080"/>
            </w:rPr>
            <w:t>单击此处输入文字。</w:t>
          </w:r>
        </w:p>
      </w:docPartBody>
    </w:docPart>
    <w:docPart>
      <w:docPartPr>
        <w:name w:val="{b9fa7504-7318-4ef2-9ac9-1e00e8e96fa8}"/>
        <w:style w:val=""/>
        <w:category>
          <w:name w:val="常规"/>
          <w:gallery w:val="placeholder"/>
        </w:category>
        <w:types>
          <w:type w:val="bbPlcHdr"/>
        </w:types>
        <w:behaviors>
          <w:behavior w:val="content"/>
        </w:behaviors>
        <w:description w:val=""/>
        <w:guid w:val="{b9fa7504-7318-4ef2-9ac9-1e00e8e96fa8}"/>
      </w:docPartPr>
      <w:docPartBody>
        <w:p>
          <w:r>
            <w:rPr>
              <w:color w:val="808080"/>
            </w:rPr>
            <w:t>单击此处输入文字。</w:t>
          </w:r>
        </w:p>
      </w:docPartBody>
    </w:docPart>
    <w:docPart>
      <w:docPartPr>
        <w:name w:val="{817ffbd6-ee70-4ee2-a076-f0573331d185}"/>
        <w:style w:val=""/>
        <w:category>
          <w:name w:val="常规"/>
          <w:gallery w:val="placeholder"/>
        </w:category>
        <w:types>
          <w:type w:val="bbPlcHdr"/>
        </w:types>
        <w:behaviors>
          <w:behavior w:val="content"/>
        </w:behaviors>
        <w:description w:val=""/>
        <w:guid w:val="{817ffbd6-ee70-4ee2-a076-f0573331d185}"/>
      </w:docPartPr>
      <w:docPartBody>
        <w:p>
          <w:r>
            <w:rPr>
              <w:color w:val="808080"/>
            </w:rPr>
            <w:t>单击此处输入文字。</w:t>
          </w:r>
        </w:p>
      </w:docPartBody>
    </w:docPart>
    <w:docPart>
      <w:docPartPr>
        <w:name w:val="{0f25dea3-bc26-430f-8bb8-240fade5efd9}"/>
        <w:style w:val=""/>
        <w:category>
          <w:name w:val="常规"/>
          <w:gallery w:val="placeholder"/>
        </w:category>
        <w:types>
          <w:type w:val="bbPlcHdr"/>
        </w:types>
        <w:behaviors>
          <w:behavior w:val="content"/>
        </w:behaviors>
        <w:description w:val=""/>
        <w:guid w:val="{0f25dea3-bc26-430f-8bb8-240fade5efd9}"/>
      </w:docPartPr>
      <w:docPartBody>
        <w:p>
          <w:r>
            <w:rPr>
              <w:color w:val="808080"/>
            </w:rPr>
            <w:t>单击此处输入文字。</w:t>
          </w:r>
        </w:p>
      </w:docPartBody>
    </w:docPart>
    <w:docPart>
      <w:docPartPr>
        <w:name w:val="{95ac549e-8941-40ea-a4fe-734d64531201}"/>
        <w:style w:val=""/>
        <w:category>
          <w:name w:val="常规"/>
          <w:gallery w:val="placeholder"/>
        </w:category>
        <w:types>
          <w:type w:val="bbPlcHdr"/>
        </w:types>
        <w:behaviors>
          <w:behavior w:val="content"/>
        </w:behaviors>
        <w:description w:val=""/>
        <w:guid w:val="{95ac549e-8941-40ea-a4fe-734d64531201}"/>
      </w:docPartPr>
      <w:docPartBody>
        <w:p>
          <w:r>
            <w:rPr>
              <w:color w:val="808080"/>
            </w:rPr>
            <w:t>单击此处输入文字。</w:t>
          </w:r>
        </w:p>
      </w:docPartBody>
    </w:docPart>
    <w:docPart>
      <w:docPartPr>
        <w:name w:val="{a4252951-7e12-4c2e-8145-5263580ff085}"/>
        <w:style w:val=""/>
        <w:category>
          <w:name w:val="常规"/>
          <w:gallery w:val="placeholder"/>
        </w:category>
        <w:types>
          <w:type w:val="bbPlcHdr"/>
        </w:types>
        <w:behaviors>
          <w:behavior w:val="content"/>
        </w:behaviors>
        <w:description w:val=""/>
        <w:guid w:val="{a4252951-7e12-4c2e-8145-5263580ff085}"/>
      </w:docPartPr>
      <w:docPartBody>
        <w:p>
          <w:r>
            <w:rPr>
              <w:color w:val="808080"/>
            </w:rPr>
            <w:t>单击此处输入文字。</w:t>
          </w:r>
        </w:p>
      </w:docPartBody>
    </w:docPart>
    <w:docPart>
      <w:docPartPr>
        <w:name w:val="{39453a94-4d96-4423-bf7b-1329f4877e4f}"/>
        <w:style w:val=""/>
        <w:category>
          <w:name w:val="常规"/>
          <w:gallery w:val="placeholder"/>
        </w:category>
        <w:types>
          <w:type w:val="bbPlcHdr"/>
        </w:types>
        <w:behaviors>
          <w:behavior w:val="content"/>
        </w:behaviors>
        <w:description w:val=""/>
        <w:guid w:val="{39453a94-4d96-4423-bf7b-1329f4877e4f}"/>
      </w:docPartPr>
      <w:docPartBody>
        <w:p>
          <w:r>
            <w:rPr>
              <w:color w:val="808080"/>
            </w:rPr>
            <w:t>单击此处输入文字。</w:t>
          </w:r>
        </w:p>
      </w:docPartBody>
    </w:docPart>
    <w:docPart>
      <w:docPartPr>
        <w:name w:val="{d3e20530-247a-46dc-8fea-20af2b5122a9}"/>
        <w:style w:val=""/>
        <w:category>
          <w:name w:val="常规"/>
          <w:gallery w:val="placeholder"/>
        </w:category>
        <w:types>
          <w:type w:val="bbPlcHdr"/>
        </w:types>
        <w:behaviors>
          <w:behavior w:val="content"/>
        </w:behaviors>
        <w:description w:val=""/>
        <w:guid w:val="{d3e20530-247a-46dc-8fea-20af2b5122a9}"/>
      </w:docPartPr>
      <w:docPartBody>
        <w:p>
          <w:r>
            <w:rPr>
              <w:color w:val="808080"/>
            </w:rPr>
            <w:t>单击此处输入文字。</w:t>
          </w:r>
        </w:p>
      </w:docPartBody>
    </w:docPart>
    <w:docPart>
      <w:docPartPr>
        <w:name w:val="{27264576-f4a0-4bbf-9d85-bc2fd7d7afad}"/>
        <w:style w:val=""/>
        <w:category>
          <w:name w:val="常规"/>
          <w:gallery w:val="placeholder"/>
        </w:category>
        <w:types>
          <w:type w:val="bbPlcHdr"/>
        </w:types>
        <w:behaviors>
          <w:behavior w:val="content"/>
        </w:behaviors>
        <w:description w:val=""/>
        <w:guid w:val="{27264576-f4a0-4bbf-9d85-bc2fd7d7afad}"/>
      </w:docPartPr>
      <w:docPartBody>
        <w:p>
          <w:r>
            <w:rPr>
              <w:color w:val="808080"/>
            </w:rPr>
            <w:t>单击此处输入文字。</w:t>
          </w:r>
        </w:p>
      </w:docPartBody>
    </w:docPart>
    <w:docPart>
      <w:docPartPr>
        <w:name w:val="{f13a4368-9087-4c2e-b45e-a40d67904859}"/>
        <w:style w:val=""/>
        <w:category>
          <w:name w:val="常规"/>
          <w:gallery w:val="placeholder"/>
        </w:category>
        <w:types>
          <w:type w:val="bbPlcHdr"/>
        </w:types>
        <w:behaviors>
          <w:behavior w:val="content"/>
        </w:behaviors>
        <w:description w:val=""/>
        <w:guid w:val="{f13a4368-9087-4c2e-b45e-a40d67904859}"/>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2"/>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57</Pages>
  <Words>6968</Words>
  <Characters>39719</Characters>
  <Lines>330</Lines>
  <Paragraphs>93</Paragraphs>
  <TotalTime>24</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2020-03-25T10:12:00Z</dcterms:created>
  <dc:creator>dell</dc:creator>
  <cp:lastModifiedBy>user</cp:lastModifiedBy>
  <cp:lastPrinted>2021-03-01T00:42:00Z</cp:lastPrinted>
  <dcterms:modified xsi:type="dcterms:W3CDTF">2021-03-01T09:57:21Z</dcterms:modified>
  <dc:title>2019年度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