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34" o:spid="_x0000_s1034" o:spt="202" type="#_x0000_t202" style="position:absolute;left:0pt;margin-left:24.7pt;margin-top:97.6pt;height:72pt;width:353.25pt;z-index:251659264;mso-width-relative:page;mso-height-relative:page;" fillcolor="#FFFFFF" filled="f" stroked="f" coordsize="21600,21600">
            <v:path/>
            <v:fill on="f" color2="#FFFFFF" focussize="0,0"/>
            <v:stroke on="f"/>
            <v:imagedata o:title=""/>
            <o:lock v:ext="edit" grouping="f" rotation="f" text="f" aspectratio="f"/>
            <v:textbox>
              <w:txbxContent>
                <w:p>
                  <w:pPr>
                    <w:ind w:left="0" w:leftChars="0" w:right="0" w:rightChars="0" w:firstLine="0" w:firstLineChars="0"/>
                    <w:jc w:val="center"/>
                  </w:pPr>
                </w:p>
              </w:txbxContent>
            </v:textbox>
          </v:shape>
        </w:pict>
      </w:r>
    </w:p>
    <w:p>
      <w:pPr>
        <w:pStyle w:val="9"/>
        <w:tabs>
          <w:tab w:val="right" w:leader="dot" w:pos="8306"/>
        </w:tabs>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r>
        <w:pict>
          <v:shape id="_x0000_s1033" o:spid="_x0000_s1033" o:spt="202" type="#_x0000_t202" style="position:absolute;left:0pt;margin-left:39.35pt;margin-top:178.75pt;height:131.4pt;width:354.95pt;z-index:251660288;mso-width-relative:page;mso-height-relative:page;" filled="f" stroked="f" coordsize="21600,2160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仿宋" w:eastAsia="方正小标宋简体"/>
                      <w:sz w:val="52"/>
                      <w:szCs w:val="52"/>
                    </w:rPr>
                  </w:pPr>
                  <w:r>
                    <w:rPr>
                      <w:rFonts w:hint="eastAsia" w:ascii="方正小标宋简体" w:hAnsi="仿宋" w:eastAsia="方正小标宋简体"/>
                      <w:sz w:val="52"/>
                      <w:szCs w:val="52"/>
                    </w:rPr>
                    <w:t>衢州市中等职业教育</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黑体" w:hAnsi="黑体" w:eastAsia="黑体"/>
                      <w:sz w:val="52"/>
                      <w:lang w:val="en-US" w:eastAsia="zh-CN"/>
                    </w:rPr>
                  </w:pPr>
                  <w:r>
                    <w:rPr>
                      <w:rFonts w:hint="eastAsia" w:ascii="方正小标宋简体" w:hAnsi="仿宋" w:eastAsia="方正小标宋简体"/>
                      <w:sz w:val="52"/>
                      <w:szCs w:val="52"/>
                      <w:lang w:val="en-US" w:eastAsia="zh-CN"/>
                    </w:rPr>
                    <w:t>2020</w:t>
                  </w:r>
                  <w:r>
                    <w:rPr>
                      <w:rFonts w:hint="eastAsia" w:ascii="方正小标宋简体" w:hAnsi="仿宋" w:eastAsia="方正小标宋简体"/>
                      <w:sz w:val="52"/>
                      <w:szCs w:val="52"/>
                    </w:rPr>
                    <w:t>年度教育质量报告</w:t>
                  </w:r>
                </w:p>
              </w:txbxContent>
            </v:textbox>
          </v:shape>
        </w:pict>
      </w:r>
      <w:r>
        <w:pict>
          <v:shape id="_x0000_s1035" o:spid="_x0000_s1035" o:spt="202" type="#_x0000_t202" style="position:absolute;left:0pt;margin-left:46pt;margin-top:453.7pt;height:271.3pt;width:321.7pt;z-index:251661312;mso-width-relative:page;mso-height-relative:page;" fillcolor="#FFFFFF" filled="f" stroked="f" coordsize="21600,21600">
            <v:path/>
            <v:fill on="f" color2="#FFFFFF" focussize="0,0"/>
            <v:stroke on="f"/>
            <v:imagedata o:title=""/>
            <o:lock v:ext="edit" grouping="f" rotation="f" text="f" aspectratio="f"/>
            <v:textbox>
              <w:txbxContent>
                <w:p>
                  <w:pPr>
                    <w:spacing w:line="1000" w:lineRule="exact"/>
                    <w:ind w:left="0" w:leftChars="0" w:firstLine="419" w:firstLineChars="131"/>
                    <w:jc w:val="left"/>
                    <w:rPr>
                      <w:rFonts w:hint="eastAsia"/>
                      <w:sz w:val="32"/>
                      <w:u w:val="single"/>
                    </w:rPr>
                  </w:pPr>
                </w:p>
                <w:p>
                  <w:pPr>
                    <w:spacing w:line="1000" w:lineRule="exact"/>
                    <w:rPr>
                      <w:rFonts w:hint="eastAsia"/>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8" w:firstLineChars="130"/>
                    <w:jc w:val="center"/>
                    <w:textAlignment w:val="auto"/>
                    <w:outlineLvl w:val="9"/>
                    <w:rPr>
                      <w:rFonts w:hint="eastAsia"/>
                      <w:sz w:val="36"/>
                      <w:szCs w:val="36"/>
                      <w:lang w:val="en-US" w:eastAsia="zh-CN"/>
                    </w:rPr>
                  </w:pPr>
                  <w:r>
                    <w:rPr>
                      <w:rFonts w:hint="eastAsia"/>
                      <w:sz w:val="36"/>
                      <w:szCs w:val="36"/>
                      <w:lang w:val="en-US" w:eastAsia="zh-CN"/>
                    </w:rPr>
                    <w:t>衢州市教育局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8" w:firstLineChars="130"/>
                    <w:jc w:val="center"/>
                    <w:textAlignment w:val="auto"/>
                    <w:outlineLvl w:val="9"/>
                    <w:rPr>
                      <w:rFonts w:hint="eastAsia" w:eastAsia="宋体"/>
                      <w:sz w:val="36"/>
                      <w:szCs w:val="36"/>
                      <w:u w:val="single" w:color="auto"/>
                      <w:lang w:val="en-US" w:eastAsia="zh-CN"/>
                    </w:rPr>
                  </w:pPr>
                  <w:r>
                    <w:rPr>
                      <w:rFonts w:hint="eastAsia"/>
                      <w:sz w:val="36"/>
                      <w:szCs w:val="36"/>
                      <w:lang w:val="en-US" w:eastAsia="zh-CN"/>
                    </w:rPr>
                    <w:t>2021年2月</w:t>
                  </w:r>
                </w:p>
              </w:txbxContent>
            </v:textbox>
          </v:shape>
        </w:pict>
      </w:r>
    </w:p>
    <w:p>
      <w:pPr>
        <w:pStyle w:val="9"/>
        <w:tabs>
          <w:tab w:val="right" w:leader="dot" w:pos="8504"/>
        </w:tabs>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目录</w:t>
      </w:r>
    </w:p>
    <w:p>
      <w:pPr>
        <w:rPr>
          <w:rFonts w:hint="eastAsia"/>
          <w:lang w:eastAsia="zh-CN"/>
        </w:rPr>
      </w:pP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TOC \o "1-3" \t "" \h \z \u </w:instrText>
      </w:r>
      <w:r>
        <w:rPr>
          <w:rFonts w:hint="eastAsia"/>
          <w:sz w:val="28"/>
          <w:szCs w:val="28"/>
        </w:rPr>
        <w:fldChar w:fldCharType="separate"/>
      </w:r>
      <w:r>
        <w:rPr>
          <w:rFonts w:hint="eastAsia"/>
          <w:sz w:val="28"/>
          <w:szCs w:val="28"/>
        </w:rPr>
        <w:fldChar w:fldCharType="begin"/>
      </w:r>
      <w:r>
        <w:rPr>
          <w:rFonts w:hint="eastAsia"/>
          <w:sz w:val="28"/>
          <w:szCs w:val="28"/>
        </w:rPr>
        <w:instrText xml:space="preserve"> HYPERLINK \l _Toc7705 </w:instrText>
      </w:r>
      <w:r>
        <w:rPr>
          <w:rFonts w:hint="eastAsia"/>
          <w:sz w:val="28"/>
          <w:szCs w:val="28"/>
        </w:rPr>
        <w:fldChar w:fldCharType="separate"/>
      </w:r>
      <w:r>
        <w:rPr>
          <w:rFonts w:hint="eastAsia" w:ascii="Arial" w:hAnsi="Arial" w:eastAsia="楷体" w:cs="Times New Roman"/>
          <w:kern w:val="2"/>
          <w:sz w:val="28"/>
          <w:szCs w:val="28"/>
          <w:lang w:val="en-US" w:eastAsia="zh-CN" w:bidi="ar-SA"/>
        </w:rPr>
        <w:t>1.</w:t>
      </w:r>
      <w:r>
        <w:rPr>
          <w:sz w:val="28"/>
          <w:szCs w:val="28"/>
        </w:rPr>
        <w:t>基本情况</w:t>
      </w:r>
      <w:r>
        <w:rPr>
          <w:sz w:val="28"/>
          <w:szCs w:val="28"/>
        </w:rPr>
        <w:tab/>
      </w:r>
      <w:r>
        <w:rPr>
          <w:sz w:val="28"/>
          <w:szCs w:val="28"/>
        </w:rPr>
        <w:fldChar w:fldCharType="begin"/>
      </w:r>
      <w:r>
        <w:rPr>
          <w:sz w:val="28"/>
          <w:szCs w:val="28"/>
        </w:rPr>
        <w:instrText xml:space="preserve"> PAGEREF _Toc7705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_Toc15920 </w:instrText>
      </w:r>
      <w:r>
        <w:rPr>
          <w:rFonts w:hint="eastAsia"/>
          <w:sz w:val="28"/>
          <w:szCs w:val="28"/>
        </w:rPr>
        <w:fldChar w:fldCharType="separate"/>
      </w:r>
      <w:r>
        <w:rPr>
          <w:rFonts w:hint="eastAsia"/>
          <w:sz w:val="28"/>
          <w:szCs w:val="28"/>
        </w:rPr>
        <w:t>1.1 规模和结构</w:t>
      </w:r>
      <w:r>
        <w:rPr>
          <w:sz w:val="28"/>
          <w:szCs w:val="28"/>
        </w:rPr>
        <w:tab/>
      </w:r>
      <w:r>
        <w:rPr>
          <w:sz w:val="28"/>
          <w:szCs w:val="28"/>
        </w:rPr>
        <w:fldChar w:fldCharType="begin"/>
      </w:r>
      <w:r>
        <w:rPr>
          <w:sz w:val="28"/>
          <w:szCs w:val="28"/>
        </w:rPr>
        <w:instrText xml:space="preserve"> PAGEREF _Toc15920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_Toc23445 </w:instrText>
      </w:r>
      <w:r>
        <w:rPr>
          <w:rFonts w:hint="eastAsia"/>
          <w:sz w:val="28"/>
          <w:szCs w:val="28"/>
        </w:rPr>
        <w:fldChar w:fldCharType="separate"/>
      </w:r>
      <w:r>
        <w:rPr>
          <w:rFonts w:hint="eastAsia"/>
          <w:sz w:val="28"/>
          <w:szCs w:val="28"/>
        </w:rPr>
        <w:t>1.2 设施设备</w:t>
      </w:r>
      <w:r>
        <w:rPr>
          <w:sz w:val="28"/>
          <w:szCs w:val="28"/>
        </w:rPr>
        <w:tab/>
      </w:r>
      <w:r>
        <w:rPr>
          <w:sz w:val="28"/>
          <w:szCs w:val="28"/>
        </w:rPr>
        <w:fldChar w:fldCharType="begin"/>
      </w:r>
      <w:r>
        <w:rPr>
          <w:sz w:val="28"/>
          <w:szCs w:val="28"/>
        </w:rPr>
        <w:instrText xml:space="preserve"> PAGEREF _Toc23445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_Toc12889 </w:instrText>
      </w:r>
      <w:r>
        <w:rPr>
          <w:rFonts w:hint="eastAsia"/>
          <w:sz w:val="28"/>
          <w:szCs w:val="28"/>
        </w:rPr>
        <w:fldChar w:fldCharType="separate"/>
      </w:r>
      <w:r>
        <w:rPr>
          <w:rFonts w:hint="eastAsia"/>
          <w:sz w:val="28"/>
          <w:szCs w:val="28"/>
        </w:rPr>
        <w:t>1.3教师队伍</w:t>
      </w:r>
      <w:r>
        <w:rPr>
          <w:sz w:val="28"/>
          <w:szCs w:val="28"/>
        </w:rPr>
        <w:tab/>
      </w:r>
      <w:r>
        <w:rPr>
          <w:sz w:val="28"/>
          <w:szCs w:val="28"/>
        </w:rPr>
        <w:fldChar w:fldCharType="begin"/>
      </w:r>
      <w:r>
        <w:rPr>
          <w:sz w:val="28"/>
          <w:szCs w:val="28"/>
        </w:rPr>
        <w:instrText xml:space="preserve"> PAGEREF _Toc12889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_Toc26978 </w:instrText>
      </w:r>
      <w:r>
        <w:rPr>
          <w:rFonts w:hint="eastAsia"/>
          <w:sz w:val="28"/>
          <w:szCs w:val="28"/>
        </w:rPr>
        <w:fldChar w:fldCharType="separate"/>
      </w:r>
      <w:r>
        <w:rPr>
          <w:rFonts w:hint="eastAsia" w:ascii="Arial" w:hAnsi="Arial" w:eastAsia="楷体" w:cs="Times New Roman"/>
          <w:kern w:val="2"/>
          <w:sz w:val="28"/>
          <w:szCs w:val="28"/>
          <w:lang w:val="en-US" w:eastAsia="zh-CN" w:bidi="ar-SA"/>
        </w:rPr>
        <w:t>2.</w:t>
      </w:r>
      <w:r>
        <w:rPr>
          <w:sz w:val="28"/>
          <w:szCs w:val="28"/>
        </w:rPr>
        <w:t>学生发展</w:t>
      </w:r>
      <w:r>
        <w:rPr>
          <w:sz w:val="28"/>
          <w:szCs w:val="28"/>
        </w:rPr>
        <w:tab/>
      </w:r>
      <w:r>
        <w:rPr>
          <w:sz w:val="28"/>
          <w:szCs w:val="28"/>
        </w:rPr>
        <w:fldChar w:fldCharType="begin"/>
      </w:r>
      <w:r>
        <w:rPr>
          <w:sz w:val="28"/>
          <w:szCs w:val="28"/>
        </w:rPr>
        <w:instrText xml:space="preserve"> PAGEREF _Toc26978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_Toc31164 </w:instrText>
      </w:r>
      <w:r>
        <w:rPr>
          <w:rFonts w:hint="eastAsia"/>
          <w:sz w:val="28"/>
          <w:szCs w:val="28"/>
        </w:rPr>
        <w:fldChar w:fldCharType="separate"/>
      </w:r>
      <w:r>
        <w:rPr>
          <w:rFonts w:hint="eastAsia"/>
          <w:sz w:val="28"/>
          <w:szCs w:val="28"/>
          <w:lang w:val="en-US" w:eastAsia="zh-CN"/>
        </w:rPr>
        <w:t>2.1</w:t>
      </w:r>
      <w:r>
        <w:rPr>
          <w:rFonts w:hint="eastAsia"/>
          <w:sz w:val="28"/>
          <w:szCs w:val="28"/>
        </w:rPr>
        <w:t>学生素质</w:t>
      </w:r>
      <w:r>
        <w:rPr>
          <w:sz w:val="28"/>
          <w:szCs w:val="28"/>
        </w:rPr>
        <w:tab/>
      </w:r>
      <w:r>
        <w:rPr>
          <w:sz w:val="28"/>
          <w:szCs w:val="28"/>
        </w:rPr>
        <w:fldChar w:fldCharType="begin"/>
      </w:r>
      <w:r>
        <w:rPr>
          <w:sz w:val="28"/>
          <w:szCs w:val="28"/>
        </w:rPr>
        <w:instrText xml:space="preserve"> PAGEREF _Toc31164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_Toc12795 </w:instrText>
      </w:r>
      <w:r>
        <w:rPr>
          <w:rFonts w:hint="eastAsia"/>
          <w:sz w:val="28"/>
          <w:szCs w:val="28"/>
        </w:rPr>
        <w:fldChar w:fldCharType="separate"/>
      </w:r>
      <w:r>
        <w:rPr>
          <w:rFonts w:hint="eastAsia"/>
          <w:sz w:val="28"/>
          <w:szCs w:val="28"/>
          <w:lang w:val="en-US" w:eastAsia="zh-CN"/>
        </w:rPr>
        <w:t>2.2就业质量</w:t>
      </w:r>
      <w:r>
        <w:rPr>
          <w:sz w:val="28"/>
          <w:szCs w:val="28"/>
        </w:rPr>
        <w:tab/>
      </w:r>
      <w:r>
        <w:rPr>
          <w:sz w:val="28"/>
          <w:szCs w:val="28"/>
        </w:rPr>
        <w:fldChar w:fldCharType="begin"/>
      </w:r>
      <w:r>
        <w:rPr>
          <w:sz w:val="28"/>
          <w:szCs w:val="28"/>
        </w:rPr>
        <w:instrText xml:space="preserve"> PAGEREF _Toc12795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_Toc28745 </w:instrText>
      </w:r>
      <w:r>
        <w:rPr>
          <w:rFonts w:hint="eastAsia"/>
          <w:sz w:val="28"/>
          <w:szCs w:val="28"/>
        </w:rPr>
        <w:fldChar w:fldCharType="separate"/>
      </w:r>
      <w:r>
        <w:rPr>
          <w:rFonts w:hint="eastAsia"/>
          <w:sz w:val="28"/>
          <w:szCs w:val="28"/>
          <w:lang w:val="en-US" w:eastAsia="zh-CN"/>
        </w:rPr>
        <w:t>2.3升学情况</w:t>
      </w:r>
      <w:r>
        <w:rPr>
          <w:sz w:val="28"/>
          <w:szCs w:val="28"/>
        </w:rPr>
        <w:tab/>
      </w:r>
      <w:r>
        <w:rPr>
          <w:sz w:val="28"/>
          <w:szCs w:val="28"/>
        </w:rPr>
        <w:fldChar w:fldCharType="begin"/>
      </w:r>
      <w:r>
        <w:rPr>
          <w:sz w:val="28"/>
          <w:szCs w:val="28"/>
        </w:rPr>
        <w:instrText xml:space="preserve"> PAGEREF _Toc28745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_Toc22379 </w:instrText>
      </w:r>
      <w:r>
        <w:rPr>
          <w:rFonts w:hint="eastAsia"/>
          <w:sz w:val="28"/>
          <w:szCs w:val="28"/>
        </w:rPr>
        <w:fldChar w:fldCharType="separate"/>
      </w:r>
      <w:r>
        <w:rPr>
          <w:rFonts w:hint="eastAsia" w:ascii="楷体" w:hAnsi="楷体" w:eastAsia="楷体" w:cs="楷体"/>
          <w:bCs w:val="0"/>
          <w:kern w:val="2"/>
          <w:sz w:val="28"/>
          <w:szCs w:val="28"/>
          <w:shd w:val="clear" w:color="auto" w:fill="FFFFFF"/>
          <w:lang w:val="en-US" w:eastAsia="zh-CN" w:bidi="ar-SA"/>
        </w:rPr>
        <w:t>3.</w:t>
      </w:r>
      <w:r>
        <w:rPr>
          <w:sz w:val="28"/>
          <w:szCs w:val="28"/>
        </w:rPr>
        <w:t>质量保障措施</w:t>
      </w:r>
      <w:r>
        <w:rPr>
          <w:sz w:val="28"/>
          <w:szCs w:val="28"/>
        </w:rPr>
        <w:tab/>
      </w:r>
      <w:r>
        <w:rPr>
          <w:sz w:val="28"/>
          <w:szCs w:val="28"/>
        </w:rPr>
        <w:fldChar w:fldCharType="begin"/>
      </w:r>
      <w:r>
        <w:rPr>
          <w:sz w:val="28"/>
          <w:szCs w:val="28"/>
        </w:rPr>
        <w:instrText xml:space="preserve"> PAGEREF _Toc22379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_Toc30290 </w:instrText>
      </w:r>
      <w:r>
        <w:rPr>
          <w:rFonts w:hint="eastAsia"/>
          <w:sz w:val="28"/>
          <w:szCs w:val="28"/>
        </w:rPr>
        <w:fldChar w:fldCharType="separate"/>
      </w:r>
      <w:r>
        <w:rPr>
          <w:rFonts w:hint="eastAsia"/>
          <w:sz w:val="28"/>
          <w:szCs w:val="28"/>
          <w:lang w:val="en-US" w:eastAsia="zh-CN"/>
        </w:rPr>
        <w:t>3.1 专业布局</w:t>
      </w:r>
      <w:r>
        <w:rPr>
          <w:sz w:val="28"/>
          <w:szCs w:val="28"/>
        </w:rPr>
        <w:tab/>
      </w:r>
      <w:r>
        <w:rPr>
          <w:sz w:val="28"/>
          <w:szCs w:val="28"/>
        </w:rPr>
        <w:fldChar w:fldCharType="begin"/>
      </w:r>
      <w:r>
        <w:rPr>
          <w:sz w:val="28"/>
          <w:szCs w:val="28"/>
        </w:rPr>
        <w:instrText xml:space="preserve"> PAGEREF _Toc30290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_Toc11625 </w:instrText>
      </w:r>
      <w:r>
        <w:rPr>
          <w:rFonts w:hint="eastAsia"/>
          <w:sz w:val="28"/>
          <w:szCs w:val="28"/>
        </w:rPr>
        <w:fldChar w:fldCharType="separate"/>
      </w:r>
      <w:r>
        <w:rPr>
          <w:rFonts w:hint="eastAsia"/>
          <w:sz w:val="28"/>
          <w:szCs w:val="28"/>
          <w:lang w:val="en-US" w:eastAsia="zh-CN"/>
        </w:rPr>
        <w:t>3.2 质量保证</w:t>
      </w:r>
      <w:r>
        <w:rPr>
          <w:sz w:val="28"/>
          <w:szCs w:val="28"/>
        </w:rPr>
        <w:tab/>
      </w:r>
      <w:r>
        <w:rPr>
          <w:sz w:val="28"/>
          <w:szCs w:val="28"/>
        </w:rPr>
        <w:fldChar w:fldCharType="begin"/>
      </w:r>
      <w:r>
        <w:rPr>
          <w:sz w:val="28"/>
          <w:szCs w:val="28"/>
        </w:rPr>
        <w:instrText xml:space="preserve"> PAGEREF _Toc11625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_Toc23220 </w:instrText>
      </w:r>
      <w:r>
        <w:rPr>
          <w:rFonts w:hint="eastAsia"/>
          <w:sz w:val="28"/>
          <w:szCs w:val="28"/>
        </w:rPr>
        <w:fldChar w:fldCharType="separate"/>
      </w:r>
      <w:r>
        <w:rPr>
          <w:rFonts w:hint="eastAsia"/>
          <w:sz w:val="28"/>
          <w:szCs w:val="28"/>
          <w:lang w:val="en-US" w:eastAsia="zh-CN"/>
        </w:rPr>
        <w:t>3.3 落实教师编制，教师培养培训情况</w:t>
      </w:r>
      <w:r>
        <w:rPr>
          <w:sz w:val="28"/>
          <w:szCs w:val="28"/>
        </w:rPr>
        <w:tab/>
      </w:r>
      <w:r>
        <w:rPr>
          <w:sz w:val="28"/>
          <w:szCs w:val="28"/>
        </w:rPr>
        <w:fldChar w:fldCharType="begin"/>
      </w:r>
      <w:r>
        <w:rPr>
          <w:sz w:val="28"/>
          <w:szCs w:val="28"/>
        </w:rPr>
        <w:instrText xml:space="preserve"> PAGEREF _Toc23220 </w:instrText>
      </w:r>
      <w:r>
        <w:rPr>
          <w:sz w:val="28"/>
          <w:szCs w:val="28"/>
        </w:rPr>
        <w:fldChar w:fldCharType="separate"/>
      </w:r>
      <w:r>
        <w:rPr>
          <w:sz w:val="28"/>
          <w:szCs w:val="28"/>
        </w:rPr>
        <w:t>10</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_Toc29011 </w:instrText>
      </w:r>
      <w:r>
        <w:rPr>
          <w:rFonts w:hint="eastAsia"/>
          <w:sz w:val="28"/>
          <w:szCs w:val="28"/>
        </w:rPr>
        <w:fldChar w:fldCharType="separate"/>
      </w:r>
      <w:r>
        <w:rPr>
          <w:rFonts w:hint="eastAsia" w:ascii="Arial" w:hAnsi="Arial" w:eastAsia="楷体" w:cs="Times New Roman"/>
          <w:kern w:val="2"/>
          <w:sz w:val="28"/>
          <w:szCs w:val="28"/>
          <w:lang w:val="en-US" w:eastAsia="zh-CN" w:bidi="ar-SA"/>
        </w:rPr>
        <w:t>4.</w:t>
      </w:r>
      <w:r>
        <w:rPr>
          <w:rFonts w:hint="eastAsia"/>
          <w:sz w:val="28"/>
          <w:szCs w:val="28"/>
        </w:rPr>
        <w:t>校企合作</w:t>
      </w:r>
      <w:r>
        <w:rPr>
          <w:sz w:val="28"/>
          <w:szCs w:val="28"/>
        </w:rPr>
        <w:tab/>
      </w:r>
      <w:r>
        <w:rPr>
          <w:sz w:val="28"/>
          <w:szCs w:val="28"/>
        </w:rPr>
        <w:fldChar w:fldCharType="begin"/>
      </w:r>
      <w:r>
        <w:rPr>
          <w:sz w:val="28"/>
          <w:szCs w:val="28"/>
        </w:rPr>
        <w:instrText xml:space="preserve"> PAGEREF _Toc29011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_Toc20323 </w:instrText>
      </w:r>
      <w:r>
        <w:rPr>
          <w:rFonts w:hint="eastAsia"/>
          <w:sz w:val="28"/>
          <w:szCs w:val="28"/>
        </w:rPr>
        <w:fldChar w:fldCharType="separate"/>
      </w:r>
      <w:r>
        <w:rPr>
          <w:rFonts w:hint="eastAsia"/>
          <w:sz w:val="28"/>
          <w:szCs w:val="28"/>
          <w:lang w:val="en-US" w:eastAsia="zh-CN"/>
        </w:rPr>
        <w:t>4.1 校企合作开展情况和效果</w:t>
      </w:r>
      <w:r>
        <w:rPr>
          <w:sz w:val="28"/>
          <w:szCs w:val="28"/>
        </w:rPr>
        <w:tab/>
      </w:r>
      <w:r>
        <w:rPr>
          <w:sz w:val="28"/>
          <w:szCs w:val="28"/>
        </w:rPr>
        <w:fldChar w:fldCharType="begin"/>
      </w:r>
      <w:r>
        <w:rPr>
          <w:sz w:val="28"/>
          <w:szCs w:val="28"/>
        </w:rPr>
        <w:instrText xml:space="preserve"> PAGEREF _Toc20323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_Toc5913 </w:instrText>
      </w:r>
      <w:r>
        <w:rPr>
          <w:rFonts w:hint="eastAsia"/>
          <w:sz w:val="28"/>
          <w:szCs w:val="28"/>
        </w:rPr>
        <w:fldChar w:fldCharType="separate"/>
      </w:r>
      <w:r>
        <w:rPr>
          <w:rFonts w:hint="eastAsia"/>
          <w:sz w:val="28"/>
          <w:szCs w:val="28"/>
          <w:lang w:val="en-US" w:eastAsia="zh-CN"/>
        </w:rPr>
        <w:t>4.2 学生实习情况</w:t>
      </w:r>
      <w:r>
        <w:rPr>
          <w:sz w:val="28"/>
          <w:szCs w:val="28"/>
        </w:rPr>
        <w:tab/>
      </w:r>
      <w:r>
        <w:rPr>
          <w:sz w:val="28"/>
          <w:szCs w:val="28"/>
        </w:rPr>
        <w:fldChar w:fldCharType="begin"/>
      </w:r>
      <w:r>
        <w:rPr>
          <w:sz w:val="28"/>
          <w:szCs w:val="28"/>
        </w:rPr>
        <w:instrText xml:space="preserve"> PAGEREF _Toc5913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_Toc823 </w:instrText>
      </w:r>
      <w:r>
        <w:rPr>
          <w:rFonts w:hint="eastAsia"/>
          <w:sz w:val="28"/>
          <w:szCs w:val="28"/>
        </w:rPr>
        <w:fldChar w:fldCharType="separate"/>
      </w:r>
      <w:r>
        <w:rPr>
          <w:rFonts w:hint="eastAsia"/>
          <w:sz w:val="28"/>
          <w:szCs w:val="28"/>
          <w:lang w:val="en-US" w:eastAsia="zh-CN"/>
        </w:rPr>
        <w:t>4.3 集团化办学情况</w:t>
      </w:r>
      <w:r>
        <w:rPr>
          <w:sz w:val="28"/>
          <w:szCs w:val="28"/>
        </w:rPr>
        <w:tab/>
      </w:r>
      <w:r>
        <w:rPr>
          <w:sz w:val="28"/>
          <w:szCs w:val="28"/>
        </w:rPr>
        <w:fldChar w:fldCharType="begin"/>
      </w:r>
      <w:r>
        <w:rPr>
          <w:sz w:val="28"/>
          <w:szCs w:val="28"/>
        </w:rPr>
        <w:instrText xml:space="preserve"> PAGEREF _Toc823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_Toc31310 </w:instrText>
      </w:r>
      <w:r>
        <w:rPr>
          <w:rFonts w:hint="eastAsia"/>
          <w:sz w:val="28"/>
          <w:szCs w:val="28"/>
        </w:rPr>
        <w:fldChar w:fldCharType="separate"/>
      </w:r>
      <w:r>
        <w:rPr>
          <w:rFonts w:hint="eastAsia" w:ascii="Arial" w:hAnsi="Arial" w:eastAsia="楷体" w:cs="Times New Roman"/>
          <w:kern w:val="2"/>
          <w:sz w:val="28"/>
          <w:szCs w:val="28"/>
          <w:lang w:val="en-US" w:eastAsia="zh-CN" w:bidi="ar-SA"/>
        </w:rPr>
        <w:t>5.</w:t>
      </w:r>
      <w:r>
        <w:rPr>
          <w:rFonts w:hint="eastAsia"/>
          <w:sz w:val="28"/>
          <w:szCs w:val="28"/>
        </w:rPr>
        <w:t>社会贡献</w:t>
      </w:r>
      <w:r>
        <w:rPr>
          <w:sz w:val="28"/>
          <w:szCs w:val="28"/>
        </w:rPr>
        <w:tab/>
      </w:r>
      <w:r>
        <w:rPr>
          <w:sz w:val="28"/>
          <w:szCs w:val="28"/>
        </w:rPr>
        <w:fldChar w:fldCharType="begin"/>
      </w:r>
      <w:r>
        <w:rPr>
          <w:sz w:val="28"/>
          <w:szCs w:val="28"/>
        </w:rPr>
        <w:instrText xml:space="preserve"> PAGEREF _Toc31310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_Toc4901 </w:instrText>
      </w:r>
      <w:r>
        <w:rPr>
          <w:rFonts w:hint="eastAsia"/>
          <w:sz w:val="28"/>
          <w:szCs w:val="28"/>
        </w:rPr>
        <w:fldChar w:fldCharType="separate"/>
      </w:r>
      <w:r>
        <w:rPr>
          <w:rFonts w:hint="eastAsia"/>
          <w:sz w:val="28"/>
          <w:szCs w:val="28"/>
          <w:lang w:val="en-US" w:eastAsia="zh-CN"/>
        </w:rPr>
        <w:t>5.1 技术技能人才培养</w:t>
      </w:r>
      <w:r>
        <w:rPr>
          <w:sz w:val="28"/>
          <w:szCs w:val="28"/>
        </w:rPr>
        <w:tab/>
      </w:r>
      <w:r>
        <w:rPr>
          <w:sz w:val="28"/>
          <w:szCs w:val="28"/>
        </w:rPr>
        <w:fldChar w:fldCharType="begin"/>
      </w:r>
      <w:r>
        <w:rPr>
          <w:sz w:val="28"/>
          <w:szCs w:val="28"/>
        </w:rPr>
        <w:instrText xml:space="preserve"> PAGEREF _Toc4901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_Toc31997 </w:instrText>
      </w:r>
      <w:r>
        <w:rPr>
          <w:rFonts w:hint="eastAsia"/>
          <w:sz w:val="28"/>
          <w:szCs w:val="28"/>
        </w:rPr>
        <w:fldChar w:fldCharType="separate"/>
      </w:r>
      <w:r>
        <w:rPr>
          <w:rFonts w:hint="eastAsia"/>
          <w:sz w:val="28"/>
          <w:szCs w:val="28"/>
          <w:lang w:val="en-US" w:eastAsia="zh-CN"/>
        </w:rPr>
        <w:t>5.2 社会服务</w:t>
      </w:r>
      <w:r>
        <w:rPr>
          <w:sz w:val="28"/>
          <w:szCs w:val="28"/>
        </w:rPr>
        <w:tab/>
      </w:r>
      <w:r>
        <w:rPr>
          <w:sz w:val="28"/>
          <w:szCs w:val="28"/>
        </w:rPr>
        <w:fldChar w:fldCharType="begin"/>
      </w:r>
      <w:r>
        <w:rPr>
          <w:sz w:val="28"/>
          <w:szCs w:val="28"/>
        </w:rPr>
        <w:instrText xml:space="preserve"> PAGEREF _Toc31997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_Toc22095 </w:instrText>
      </w:r>
      <w:r>
        <w:rPr>
          <w:rFonts w:hint="eastAsia"/>
          <w:sz w:val="28"/>
          <w:szCs w:val="28"/>
        </w:rPr>
        <w:fldChar w:fldCharType="separate"/>
      </w:r>
      <w:r>
        <w:rPr>
          <w:rFonts w:hint="eastAsia"/>
          <w:sz w:val="28"/>
          <w:szCs w:val="28"/>
          <w:lang w:val="en-US" w:eastAsia="zh-CN"/>
        </w:rPr>
        <w:t>5.3 对口支援</w:t>
      </w:r>
      <w:r>
        <w:rPr>
          <w:sz w:val="28"/>
          <w:szCs w:val="28"/>
        </w:rPr>
        <w:tab/>
      </w:r>
      <w:r>
        <w:rPr>
          <w:sz w:val="28"/>
          <w:szCs w:val="28"/>
        </w:rPr>
        <w:fldChar w:fldCharType="begin"/>
      </w:r>
      <w:r>
        <w:rPr>
          <w:sz w:val="28"/>
          <w:szCs w:val="28"/>
        </w:rPr>
        <w:instrText xml:space="preserve"> PAGEREF _Toc22095 </w:instrText>
      </w:r>
      <w:r>
        <w:rPr>
          <w:sz w:val="28"/>
          <w:szCs w:val="28"/>
        </w:rPr>
        <w:fldChar w:fldCharType="separate"/>
      </w:r>
      <w:r>
        <w:rPr>
          <w:sz w:val="28"/>
          <w:szCs w:val="28"/>
        </w:rPr>
        <w:t>15</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_Toc10744 </w:instrText>
      </w:r>
      <w:r>
        <w:rPr>
          <w:rFonts w:hint="eastAsia"/>
          <w:sz w:val="28"/>
          <w:szCs w:val="28"/>
        </w:rPr>
        <w:fldChar w:fldCharType="separate"/>
      </w:r>
      <w:r>
        <w:rPr>
          <w:rFonts w:hint="eastAsia"/>
          <w:sz w:val="28"/>
          <w:szCs w:val="28"/>
          <w:lang w:val="en-US" w:eastAsia="zh-CN"/>
        </w:rPr>
        <w:t>5.4服务抗疫</w:t>
      </w:r>
      <w:r>
        <w:rPr>
          <w:sz w:val="28"/>
          <w:szCs w:val="28"/>
        </w:rPr>
        <w:tab/>
      </w:r>
      <w:r>
        <w:rPr>
          <w:sz w:val="28"/>
          <w:szCs w:val="28"/>
        </w:rPr>
        <w:fldChar w:fldCharType="begin"/>
      </w:r>
      <w:r>
        <w:rPr>
          <w:sz w:val="28"/>
          <w:szCs w:val="28"/>
        </w:rPr>
        <w:instrText xml:space="preserve"> PAGEREF _Toc10744 </w:instrText>
      </w:r>
      <w:r>
        <w:rPr>
          <w:sz w:val="28"/>
          <w:szCs w:val="28"/>
        </w:rPr>
        <w:fldChar w:fldCharType="separate"/>
      </w:r>
      <w:r>
        <w:rPr>
          <w:sz w:val="28"/>
          <w:szCs w:val="28"/>
        </w:rPr>
        <w:t>16</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_Toc25491 </w:instrText>
      </w:r>
      <w:r>
        <w:rPr>
          <w:rFonts w:hint="eastAsia"/>
          <w:sz w:val="28"/>
          <w:szCs w:val="28"/>
        </w:rPr>
        <w:fldChar w:fldCharType="separate"/>
      </w:r>
      <w:r>
        <w:rPr>
          <w:rFonts w:hint="eastAsia" w:ascii="Arial" w:hAnsi="Arial" w:eastAsia="楷体" w:cs="Times New Roman"/>
          <w:kern w:val="2"/>
          <w:sz w:val="28"/>
          <w:szCs w:val="28"/>
          <w:lang w:val="en-US" w:eastAsia="zh-CN" w:bidi="ar-SA"/>
        </w:rPr>
        <w:t>6.</w:t>
      </w:r>
      <w:r>
        <w:rPr>
          <w:rFonts w:hint="eastAsia"/>
          <w:sz w:val="28"/>
          <w:szCs w:val="28"/>
        </w:rPr>
        <w:t>政府履责</w:t>
      </w:r>
      <w:r>
        <w:rPr>
          <w:sz w:val="28"/>
          <w:szCs w:val="28"/>
        </w:rPr>
        <w:tab/>
      </w:r>
      <w:r>
        <w:rPr>
          <w:sz w:val="28"/>
          <w:szCs w:val="28"/>
        </w:rPr>
        <w:fldChar w:fldCharType="begin"/>
      </w:r>
      <w:r>
        <w:rPr>
          <w:sz w:val="28"/>
          <w:szCs w:val="28"/>
        </w:rPr>
        <w:instrText xml:space="preserve"> PAGEREF _Toc25491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_Toc24241 </w:instrText>
      </w:r>
      <w:r>
        <w:rPr>
          <w:rFonts w:hint="eastAsia"/>
          <w:sz w:val="28"/>
          <w:szCs w:val="28"/>
        </w:rPr>
        <w:fldChar w:fldCharType="separate"/>
      </w:r>
      <w:r>
        <w:rPr>
          <w:rFonts w:hint="eastAsia"/>
          <w:sz w:val="28"/>
          <w:szCs w:val="28"/>
          <w:lang w:val="en-US" w:eastAsia="zh-CN"/>
        </w:rPr>
        <w:t>6.1 经费</w:t>
      </w:r>
      <w:r>
        <w:rPr>
          <w:sz w:val="28"/>
          <w:szCs w:val="28"/>
        </w:rPr>
        <w:tab/>
      </w:r>
      <w:r>
        <w:rPr>
          <w:sz w:val="28"/>
          <w:szCs w:val="28"/>
        </w:rPr>
        <w:fldChar w:fldCharType="begin"/>
      </w:r>
      <w:r>
        <w:rPr>
          <w:sz w:val="28"/>
          <w:szCs w:val="28"/>
        </w:rPr>
        <w:instrText xml:space="preserve"> PAGEREF _Toc24241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_Toc25721 </w:instrText>
      </w:r>
      <w:r>
        <w:rPr>
          <w:rFonts w:hint="eastAsia"/>
          <w:sz w:val="28"/>
          <w:szCs w:val="28"/>
        </w:rPr>
        <w:fldChar w:fldCharType="separate"/>
      </w:r>
      <w:r>
        <w:rPr>
          <w:rFonts w:hint="eastAsia"/>
          <w:sz w:val="28"/>
          <w:szCs w:val="28"/>
          <w:lang w:val="en-US" w:eastAsia="zh-CN"/>
        </w:rPr>
        <w:t>6.2 政策措施</w:t>
      </w:r>
      <w:r>
        <w:rPr>
          <w:sz w:val="28"/>
          <w:szCs w:val="28"/>
        </w:rPr>
        <w:tab/>
      </w:r>
      <w:r>
        <w:rPr>
          <w:sz w:val="28"/>
          <w:szCs w:val="28"/>
        </w:rPr>
        <w:fldChar w:fldCharType="begin"/>
      </w:r>
      <w:r>
        <w:rPr>
          <w:sz w:val="28"/>
          <w:szCs w:val="28"/>
        </w:rPr>
        <w:instrText xml:space="preserve"> PAGEREF _Toc25721 </w:instrText>
      </w:r>
      <w:r>
        <w:rPr>
          <w:sz w:val="28"/>
          <w:szCs w:val="28"/>
        </w:rPr>
        <w:fldChar w:fldCharType="separate"/>
      </w:r>
      <w:r>
        <w:rPr>
          <w:sz w:val="28"/>
          <w:szCs w:val="28"/>
        </w:rPr>
        <w:t>18</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_Toc24809 </w:instrText>
      </w:r>
      <w:r>
        <w:rPr>
          <w:rFonts w:hint="eastAsia"/>
          <w:sz w:val="28"/>
          <w:szCs w:val="28"/>
        </w:rPr>
        <w:fldChar w:fldCharType="separate"/>
      </w:r>
      <w:r>
        <w:rPr>
          <w:rFonts w:hint="eastAsia" w:ascii="Arial" w:hAnsi="Arial" w:eastAsia="楷体" w:cs="Times New Roman"/>
          <w:kern w:val="2"/>
          <w:sz w:val="28"/>
          <w:szCs w:val="28"/>
          <w:lang w:val="en-US" w:eastAsia="zh-CN" w:bidi="ar-SA"/>
        </w:rPr>
        <w:t>7.</w:t>
      </w:r>
      <w:r>
        <w:rPr>
          <w:rFonts w:hint="eastAsia"/>
          <w:sz w:val="28"/>
          <w:szCs w:val="28"/>
        </w:rPr>
        <w:t>特色创新</w:t>
      </w:r>
      <w:r>
        <w:rPr>
          <w:sz w:val="28"/>
          <w:szCs w:val="28"/>
        </w:rPr>
        <w:tab/>
      </w:r>
      <w:r>
        <w:rPr>
          <w:sz w:val="28"/>
          <w:szCs w:val="28"/>
        </w:rPr>
        <w:fldChar w:fldCharType="begin"/>
      </w:r>
      <w:r>
        <w:rPr>
          <w:sz w:val="28"/>
          <w:szCs w:val="28"/>
        </w:rPr>
        <w:instrText xml:space="preserve"> PAGEREF _Toc24809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_Toc10421 </w:instrText>
      </w:r>
      <w:r>
        <w:rPr>
          <w:rFonts w:hint="eastAsia"/>
          <w:sz w:val="28"/>
          <w:szCs w:val="28"/>
        </w:rPr>
        <w:fldChar w:fldCharType="separate"/>
      </w:r>
      <w:r>
        <w:rPr>
          <w:rFonts w:hint="eastAsia"/>
          <w:sz w:val="28"/>
          <w:szCs w:val="28"/>
          <w:lang w:val="en-US" w:eastAsia="zh-CN"/>
        </w:rPr>
        <w:t>案例一:衢州市推进“五统筹”改革 激发职业教育新活力</w:t>
      </w:r>
      <w:r>
        <w:rPr>
          <w:sz w:val="28"/>
          <w:szCs w:val="28"/>
        </w:rPr>
        <w:tab/>
      </w:r>
      <w:r>
        <w:rPr>
          <w:sz w:val="28"/>
          <w:szCs w:val="28"/>
        </w:rPr>
        <w:fldChar w:fldCharType="begin"/>
      </w:r>
      <w:r>
        <w:rPr>
          <w:sz w:val="28"/>
          <w:szCs w:val="28"/>
        </w:rPr>
        <w:instrText xml:space="preserve"> PAGEREF _Toc10421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_Toc9903 </w:instrText>
      </w:r>
      <w:r>
        <w:rPr>
          <w:rFonts w:hint="eastAsia"/>
          <w:sz w:val="28"/>
          <w:szCs w:val="28"/>
        </w:rPr>
        <w:fldChar w:fldCharType="separate"/>
      </w:r>
      <w:r>
        <w:rPr>
          <w:rFonts w:hint="eastAsia"/>
          <w:sz w:val="28"/>
          <w:szCs w:val="28"/>
        </w:rPr>
        <w:t>一、统筹专业，凸显品牌效应。</w:t>
      </w:r>
      <w:r>
        <w:rPr>
          <w:sz w:val="28"/>
          <w:szCs w:val="28"/>
        </w:rPr>
        <w:tab/>
      </w:r>
      <w:r>
        <w:rPr>
          <w:sz w:val="28"/>
          <w:szCs w:val="28"/>
        </w:rPr>
        <w:fldChar w:fldCharType="begin"/>
      </w:r>
      <w:r>
        <w:rPr>
          <w:sz w:val="28"/>
          <w:szCs w:val="28"/>
        </w:rPr>
        <w:instrText xml:space="preserve"> PAGEREF _Toc9903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_Toc18071 </w:instrText>
      </w:r>
      <w:r>
        <w:rPr>
          <w:rFonts w:hint="eastAsia"/>
          <w:sz w:val="28"/>
          <w:szCs w:val="28"/>
        </w:rPr>
        <w:fldChar w:fldCharType="separate"/>
      </w:r>
      <w:r>
        <w:rPr>
          <w:rFonts w:hint="eastAsia"/>
          <w:sz w:val="28"/>
          <w:szCs w:val="28"/>
        </w:rPr>
        <w:t>二、统筹招生，增加就学选择。</w:t>
      </w:r>
      <w:r>
        <w:rPr>
          <w:sz w:val="28"/>
          <w:szCs w:val="28"/>
        </w:rPr>
        <w:tab/>
      </w:r>
      <w:r>
        <w:rPr>
          <w:sz w:val="28"/>
          <w:szCs w:val="28"/>
        </w:rPr>
        <w:fldChar w:fldCharType="begin"/>
      </w:r>
      <w:r>
        <w:rPr>
          <w:sz w:val="28"/>
          <w:szCs w:val="28"/>
        </w:rPr>
        <w:instrText xml:space="preserve"> PAGEREF _Toc18071 </w:instrText>
      </w:r>
      <w:r>
        <w:rPr>
          <w:sz w:val="28"/>
          <w:szCs w:val="28"/>
        </w:rPr>
        <w:fldChar w:fldCharType="separate"/>
      </w:r>
      <w:r>
        <w:rPr>
          <w:sz w:val="28"/>
          <w:szCs w:val="28"/>
        </w:rPr>
        <w:t>20</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_Toc2953 </w:instrText>
      </w:r>
      <w:r>
        <w:rPr>
          <w:rFonts w:hint="eastAsia"/>
          <w:sz w:val="28"/>
          <w:szCs w:val="28"/>
        </w:rPr>
        <w:fldChar w:fldCharType="separate"/>
      </w:r>
      <w:r>
        <w:rPr>
          <w:rFonts w:hint="eastAsia"/>
          <w:sz w:val="28"/>
          <w:szCs w:val="28"/>
        </w:rPr>
        <w:t>三、统筹实训，推进共建共享。</w:t>
      </w:r>
      <w:r>
        <w:rPr>
          <w:sz w:val="28"/>
          <w:szCs w:val="28"/>
        </w:rPr>
        <w:tab/>
      </w:r>
      <w:r>
        <w:rPr>
          <w:sz w:val="28"/>
          <w:szCs w:val="28"/>
        </w:rPr>
        <w:fldChar w:fldCharType="begin"/>
      </w:r>
      <w:r>
        <w:rPr>
          <w:sz w:val="28"/>
          <w:szCs w:val="28"/>
        </w:rPr>
        <w:instrText xml:space="preserve"> PAGEREF _Toc2953 </w:instrText>
      </w:r>
      <w:r>
        <w:rPr>
          <w:sz w:val="28"/>
          <w:szCs w:val="28"/>
        </w:rPr>
        <w:fldChar w:fldCharType="separate"/>
      </w:r>
      <w:r>
        <w:rPr>
          <w:sz w:val="28"/>
          <w:szCs w:val="28"/>
        </w:rPr>
        <w:t>21</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_Toc14369 </w:instrText>
      </w:r>
      <w:r>
        <w:rPr>
          <w:rFonts w:hint="eastAsia"/>
          <w:sz w:val="28"/>
          <w:szCs w:val="28"/>
        </w:rPr>
        <w:fldChar w:fldCharType="separate"/>
      </w:r>
      <w:r>
        <w:rPr>
          <w:rFonts w:hint="eastAsia"/>
          <w:sz w:val="28"/>
          <w:szCs w:val="28"/>
        </w:rPr>
        <w:t>四、统筹师资，激发队伍活力。</w:t>
      </w:r>
      <w:r>
        <w:rPr>
          <w:sz w:val="28"/>
          <w:szCs w:val="28"/>
        </w:rPr>
        <w:tab/>
      </w:r>
      <w:r>
        <w:rPr>
          <w:sz w:val="28"/>
          <w:szCs w:val="28"/>
        </w:rPr>
        <w:fldChar w:fldCharType="begin"/>
      </w:r>
      <w:r>
        <w:rPr>
          <w:sz w:val="28"/>
          <w:szCs w:val="28"/>
        </w:rPr>
        <w:instrText xml:space="preserve"> PAGEREF _Toc14369 </w:instrText>
      </w:r>
      <w:r>
        <w:rPr>
          <w:sz w:val="28"/>
          <w:szCs w:val="28"/>
        </w:rPr>
        <w:fldChar w:fldCharType="separate"/>
      </w:r>
      <w:r>
        <w:rPr>
          <w:sz w:val="28"/>
          <w:szCs w:val="28"/>
        </w:rPr>
        <w:t>21</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_Toc17346 </w:instrText>
      </w:r>
      <w:r>
        <w:rPr>
          <w:rFonts w:hint="eastAsia"/>
          <w:sz w:val="28"/>
          <w:szCs w:val="28"/>
        </w:rPr>
        <w:fldChar w:fldCharType="separate"/>
      </w:r>
      <w:r>
        <w:rPr>
          <w:rFonts w:hint="eastAsia"/>
          <w:sz w:val="28"/>
          <w:szCs w:val="28"/>
        </w:rPr>
        <w:t>五、统筹就业，拓宽就业渠道。</w:t>
      </w:r>
      <w:r>
        <w:rPr>
          <w:sz w:val="28"/>
          <w:szCs w:val="28"/>
        </w:rPr>
        <w:tab/>
      </w:r>
      <w:r>
        <w:rPr>
          <w:sz w:val="28"/>
          <w:szCs w:val="28"/>
        </w:rPr>
        <w:fldChar w:fldCharType="begin"/>
      </w:r>
      <w:r>
        <w:rPr>
          <w:sz w:val="28"/>
          <w:szCs w:val="28"/>
        </w:rPr>
        <w:instrText xml:space="preserve"> PAGEREF _Toc17346 </w:instrText>
      </w:r>
      <w:r>
        <w:rPr>
          <w:sz w:val="28"/>
          <w:szCs w:val="28"/>
        </w:rPr>
        <w:fldChar w:fldCharType="separate"/>
      </w:r>
      <w:r>
        <w:rPr>
          <w:sz w:val="28"/>
          <w:szCs w:val="28"/>
        </w:rPr>
        <w:t>22</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_Toc8598 </w:instrText>
      </w:r>
      <w:r>
        <w:rPr>
          <w:rFonts w:hint="eastAsia"/>
          <w:sz w:val="28"/>
          <w:szCs w:val="28"/>
        </w:rPr>
        <w:fldChar w:fldCharType="separate"/>
      </w:r>
      <w:r>
        <w:rPr>
          <w:rFonts w:hint="eastAsia"/>
          <w:sz w:val="28"/>
          <w:szCs w:val="28"/>
          <w:lang w:val="en-US" w:eastAsia="zh-CN"/>
        </w:rPr>
        <w:t>案例二：</w:t>
      </w:r>
      <w:r>
        <w:rPr>
          <w:rFonts w:hint="eastAsia"/>
          <w:sz w:val="28"/>
          <w:szCs w:val="28"/>
        </w:rPr>
        <w:t>“千人百村”乡村振兴</w:t>
      </w:r>
      <w:r>
        <w:rPr>
          <w:rFonts w:hint="eastAsia"/>
          <w:sz w:val="28"/>
          <w:szCs w:val="28"/>
          <w:lang w:eastAsia="zh-CN"/>
        </w:rPr>
        <w:t>行动</w:t>
      </w:r>
      <w:r>
        <w:rPr>
          <w:sz w:val="28"/>
          <w:szCs w:val="28"/>
        </w:rPr>
        <w:tab/>
      </w:r>
      <w:r>
        <w:rPr>
          <w:sz w:val="28"/>
          <w:szCs w:val="28"/>
        </w:rPr>
        <w:fldChar w:fldCharType="begin"/>
      </w:r>
      <w:r>
        <w:rPr>
          <w:sz w:val="28"/>
          <w:szCs w:val="28"/>
        </w:rPr>
        <w:instrText xml:space="preserve"> PAGEREF _Toc8598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_Toc10021 </w:instrText>
      </w:r>
      <w:r>
        <w:rPr>
          <w:rFonts w:hint="eastAsia"/>
          <w:sz w:val="28"/>
          <w:szCs w:val="28"/>
        </w:rPr>
        <w:fldChar w:fldCharType="separate"/>
      </w:r>
      <w:r>
        <w:rPr>
          <w:rFonts w:hint="eastAsia"/>
          <w:sz w:val="28"/>
          <w:szCs w:val="28"/>
          <w:lang w:eastAsia="zh-CN"/>
        </w:rPr>
        <w:t>一、</w:t>
      </w:r>
      <w:r>
        <w:rPr>
          <w:rFonts w:hint="eastAsia"/>
          <w:sz w:val="28"/>
          <w:szCs w:val="28"/>
        </w:rPr>
        <w:t>人才培养中心：满足农村就业</w:t>
      </w:r>
      <w:r>
        <w:rPr>
          <w:sz w:val="28"/>
          <w:szCs w:val="28"/>
        </w:rPr>
        <w:tab/>
      </w:r>
      <w:r>
        <w:rPr>
          <w:sz w:val="28"/>
          <w:szCs w:val="28"/>
        </w:rPr>
        <w:fldChar w:fldCharType="begin"/>
      </w:r>
      <w:r>
        <w:rPr>
          <w:sz w:val="28"/>
          <w:szCs w:val="28"/>
        </w:rPr>
        <w:instrText xml:space="preserve"> PAGEREF _Toc10021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_Toc5570 </w:instrText>
      </w:r>
      <w:r>
        <w:rPr>
          <w:rFonts w:hint="eastAsia"/>
          <w:sz w:val="28"/>
          <w:szCs w:val="28"/>
        </w:rPr>
        <w:fldChar w:fldCharType="separate"/>
      </w:r>
      <w:r>
        <w:rPr>
          <w:rFonts w:hint="eastAsia"/>
          <w:sz w:val="28"/>
          <w:szCs w:val="28"/>
          <w:lang w:eastAsia="zh-CN"/>
        </w:rPr>
        <w:t>二、社会培训中心：促进农民致富</w:t>
      </w:r>
      <w:r>
        <w:rPr>
          <w:sz w:val="28"/>
          <w:szCs w:val="28"/>
        </w:rPr>
        <w:tab/>
      </w:r>
      <w:r>
        <w:rPr>
          <w:sz w:val="28"/>
          <w:szCs w:val="28"/>
        </w:rPr>
        <w:fldChar w:fldCharType="begin"/>
      </w:r>
      <w:r>
        <w:rPr>
          <w:sz w:val="28"/>
          <w:szCs w:val="28"/>
        </w:rPr>
        <w:instrText xml:space="preserve"> PAGEREF _Toc5570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_Toc30397 </w:instrText>
      </w:r>
      <w:r>
        <w:rPr>
          <w:rFonts w:hint="eastAsia"/>
          <w:sz w:val="28"/>
          <w:szCs w:val="28"/>
        </w:rPr>
        <w:fldChar w:fldCharType="separate"/>
      </w:r>
      <w:r>
        <w:rPr>
          <w:rFonts w:hint="eastAsia"/>
          <w:sz w:val="28"/>
          <w:szCs w:val="28"/>
          <w:lang w:eastAsia="zh-CN"/>
        </w:rPr>
        <w:t>三、技术辐射中心：帮助百姓创业</w:t>
      </w:r>
      <w:r>
        <w:rPr>
          <w:sz w:val="28"/>
          <w:szCs w:val="28"/>
        </w:rPr>
        <w:tab/>
      </w:r>
      <w:r>
        <w:rPr>
          <w:sz w:val="28"/>
          <w:szCs w:val="28"/>
        </w:rPr>
        <w:fldChar w:fldCharType="begin"/>
      </w:r>
      <w:r>
        <w:rPr>
          <w:sz w:val="28"/>
          <w:szCs w:val="28"/>
        </w:rPr>
        <w:instrText xml:space="preserve"> PAGEREF _Toc30397 </w:instrText>
      </w:r>
      <w:r>
        <w:rPr>
          <w:sz w:val="28"/>
          <w:szCs w:val="28"/>
        </w:rPr>
        <w:fldChar w:fldCharType="separate"/>
      </w:r>
      <w:r>
        <w:rPr>
          <w:sz w:val="28"/>
          <w:szCs w:val="28"/>
        </w:rPr>
        <w:t>24</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_Toc3406 </w:instrText>
      </w:r>
      <w:r>
        <w:rPr>
          <w:rFonts w:hint="eastAsia"/>
          <w:sz w:val="28"/>
          <w:szCs w:val="28"/>
        </w:rPr>
        <w:fldChar w:fldCharType="separate"/>
      </w:r>
      <w:r>
        <w:rPr>
          <w:rFonts w:hint="eastAsia"/>
          <w:sz w:val="28"/>
          <w:szCs w:val="28"/>
          <w:lang w:eastAsia="zh-CN"/>
        </w:rPr>
        <w:t>四、综合服务中心：促进村校共融</w:t>
      </w:r>
      <w:r>
        <w:rPr>
          <w:sz w:val="28"/>
          <w:szCs w:val="28"/>
        </w:rPr>
        <w:tab/>
      </w:r>
      <w:r>
        <w:rPr>
          <w:sz w:val="28"/>
          <w:szCs w:val="28"/>
        </w:rPr>
        <w:fldChar w:fldCharType="begin"/>
      </w:r>
      <w:r>
        <w:rPr>
          <w:sz w:val="28"/>
          <w:szCs w:val="28"/>
        </w:rPr>
        <w:instrText xml:space="preserve"> PAGEREF _Toc3406 </w:instrText>
      </w:r>
      <w:r>
        <w:rPr>
          <w:sz w:val="28"/>
          <w:szCs w:val="28"/>
        </w:rPr>
        <w:fldChar w:fldCharType="separate"/>
      </w:r>
      <w:r>
        <w:rPr>
          <w:sz w:val="28"/>
          <w:szCs w:val="28"/>
        </w:rPr>
        <w:t>24</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_Toc7491 </w:instrText>
      </w:r>
      <w:r>
        <w:rPr>
          <w:rFonts w:hint="eastAsia"/>
          <w:sz w:val="28"/>
          <w:szCs w:val="28"/>
        </w:rPr>
        <w:fldChar w:fldCharType="separate"/>
      </w:r>
      <w:r>
        <w:rPr>
          <w:rFonts w:hint="eastAsia"/>
          <w:sz w:val="28"/>
          <w:szCs w:val="28"/>
          <w:lang w:eastAsia="zh-CN"/>
        </w:rPr>
        <w:t>五、文化传承中心：提升农村品位</w:t>
      </w:r>
      <w:r>
        <w:rPr>
          <w:sz w:val="28"/>
          <w:szCs w:val="28"/>
        </w:rPr>
        <w:tab/>
      </w:r>
      <w:r>
        <w:rPr>
          <w:sz w:val="28"/>
          <w:szCs w:val="28"/>
        </w:rPr>
        <w:fldChar w:fldCharType="begin"/>
      </w:r>
      <w:r>
        <w:rPr>
          <w:sz w:val="28"/>
          <w:szCs w:val="28"/>
        </w:rPr>
        <w:instrText xml:space="preserve"> PAGEREF _Toc7491 </w:instrText>
      </w:r>
      <w:r>
        <w:rPr>
          <w:sz w:val="28"/>
          <w:szCs w:val="28"/>
        </w:rPr>
        <w:fldChar w:fldCharType="separate"/>
      </w:r>
      <w:r>
        <w:rPr>
          <w:sz w:val="28"/>
          <w:szCs w:val="28"/>
        </w:rPr>
        <w:t>25</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_Toc12760 </w:instrText>
      </w:r>
      <w:r>
        <w:rPr>
          <w:rFonts w:hint="eastAsia"/>
          <w:sz w:val="28"/>
          <w:szCs w:val="28"/>
        </w:rPr>
        <w:fldChar w:fldCharType="separate"/>
      </w:r>
      <w:r>
        <w:rPr>
          <w:rFonts w:hint="eastAsia"/>
          <w:sz w:val="28"/>
          <w:szCs w:val="28"/>
          <w:lang w:val="en-US" w:eastAsia="zh-CN"/>
        </w:rPr>
        <w:t>案例三：双师双徒 平台赋能</w:t>
      </w:r>
      <w:r>
        <w:rPr>
          <w:sz w:val="28"/>
          <w:szCs w:val="28"/>
        </w:rPr>
        <w:tab/>
      </w:r>
      <w:r>
        <w:rPr>
          <w:sz w:val="28"/>
          <w:szCs w:val="28"/>
        </w:rPr>
        <w:fldChar w:fldCharType="begin"/>
      </w:r>
      <w:r>
        <w:rPr>
          <w:sz w:val="28"/>
          <w:szCs w:val="28"/>
        </w:rPr>
        <w:instrText xml:space="preserve"> PAGEREF _Toc12760 </w:instrText>
      </w:r>
      <w:r>
        <w:rPr>
          <w:sz w:val="28"/>
          <w:szCs w:val="28"/>
        </w:rPr>
        <w:fldChar w:fldCharType="separate"/>
      </w:r>
      <w:r>
        <w:rPr>
          <w:sz w:val="28"/>
          <w:szCs w:val="28"/>
        </w:rPr>
        <w:t>25</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_Toc10348 </w:instrText>
      </w:r>
      <w:r>
        <w:rPr>
          <w:rFonts w:hint="eastAsia"/>
          <w:sz w:val="28"/>
          <w:szCs w:val="28"/>
        </w:rPr>
        <w:fldChar w:fldCharType="separate"/>
      </w:r>
      <w:r>
        <w:rPr>
          <w:rFonts w:hint="eastAsia"/>
          <w:sz w:val="28"/>
          <w:szCs w:val="28"/>
          <w:lang w:eastAsia="zh-CN"/>
        </w:rPr>
        <w:t>一、冲破各部门沟通藩篱，赋能平台育人机制。</w:t>
      </w:r>
      <w:r>
        <w:rPr>
          <w:sz w:val="28"/>
          <w:szCs w:val="28"/>
        </w:rPr>
        <w:tab/>
      </w:r>
      <w:r>
        <w:rPr>
          <w:sz w:val="28"/>
          <w:szCs w:val="28"/>
        </w:rPr>
        <w:fldChar w:fldCharType="begin"/>
      </w:r>
      <w:r>
        <w:rPr>
          <w:sz w:val="28"/>
          <w:szCs w:val="28"/>
        </w:rPr>
        <w:instrText xml:space="preserve"> PAGEREF _Toc10348 </w:instrText>
      </w:r>
      <w:r>
        <w:rPr>
          <w:sz w:val="28"/>
          <w:szCs w:val="28"/>
        </w:rPr>
        <w:fldChar w:fldCharType="separate"/>
      </w:r>
      <w:r>
        <w:rPr>
          <w:sz w:val="28"/>
          <w:szCs w:val="28"/>
        </w:rPr>
        <w:t>25</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_Toc25257 </w:instrText>
      </w:r>
      <w:r>
        <w:rPr>
          <w:rFonts w:hint="eastAsia"/>
          <w:sz w:val="28"/>
          <w:szCs w:val="28"/>
        </w:rPr>
        <w:fldChar w:fldCharType="separate"/>
      </w:r>
      <w:r>
        <w:rPr>
          <w:rFonts w:hint="eastAsia"/>
          <w:sz w:val="28"/>
          <w:szCs w:val="28"/>
          <w:lang w:eastAsia="zh-CN"/>
        </w:rPr>
        <w:t>二、组建企业大师流动池，推行驻校首席技师制度。</w:t>
      </w:r>
      <w:r>
        <w:rPr>
          <w:sz w:val="28"/>
          <w:szCs w:val="28"/>
        </w:rPr>
        <w:tab/>
      </w:r>
      <w:r>
        <w:rPr>
          <w:sz w:val="28"/>
          <w:szCs w:val="28"/>
        </w:rPr>
        <w:fldChar w:fldCharType="begin"/>
      </w:r>
      <w:r>
        <w:rPr>
          <w:sz w:val="28"/>
          <w:szCs w:val="28"/>
        </w:rPr>
        <w:instrText xml:space="preserve"> PAGEREF _Toc25257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_Toc26931 </w:instrText>
      </w:r>
      <w:r>
        <w:rPr>
          <w:rFonts w:hint="eastAsia"/>
          <w:sz w:val="28"/>
          <w:szCs w:val="28"/>
        </w:rPr>
        <w:fldChar w:fldCharType="separate"/>
      </w:r>
      <w:r>
        <w:rPr>
          <w:rFonts w:hint="eastAsia"/>
          <w:sz w:val="28"/>
          <w:szCs w:val="28"/>
          <w:lang w:eastAsia="zh-CN"/>
        </w:rPr>
        <w:t>三、挖掘地方非遗技艺，成立民间大师工作室。</w:t>
      </w:r>
      <w:r>
        <w:rPr>
          <w:sz w:val="28"/>
          <w:szCs w:val="28"/>
        </w:rPr>
        <w:tab/>
      </w:r>
      <w:r>
        <w:rPr>
          <w:sz w:val="28"/>
          <w:szCs w:val="28"/>
        </w:rPr>
        <w:fldChar w:fldCharType="begin"/>
      </w:r>
      <w:r>
        <w:rPr>
          <w:sz w:val="28"/>
          <w:szCs w:val="28"/>
        </w:rPr>
        <w:instrText xml:space="preserve"> PAGEREF _Toc26931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_Toc18496 </w:instrText>
      </w:r>
      <w:r>
        <w:rPr>
          <w:rFonts w:hint="eastAsia"/>
          <w:sz w:val="28"/>
          <w:szCs w:val="28"/>
        </w:rPr>
        <w:fldChar w:fldCharType="separate"/>
      </w:r>
      <w:r>
        <w:rPr>
          <w:rFonts w:hint="eastAsia"/>
          <w:sz w:val="28"/>
          <w:szCs w:val="28"/>
          <w:lang w:eastAsia="zh-CN"/>
        </w:rPr>
        <w:t>四、实施“双师双徒”制，培育常山小工匠。</w:t>
      </w:r>
      <w:r>
        <w:rPr>
          <w:sz w:val="28"/>
          <w:szCs w:val="28"/>
        </w:rPr>
        <w:tab/>
      </w:r>
      <w:r>
        <w:rPr>
          <w:sz w:val="28"/>
          <w:szCs w:val="28"/>
        </w:rPr>
        <w:fldChar w:fldCharType="begin"/>
      </w:r>
      <w:r>
        <w:rPr>
          <w:sz w:val="28"/>
          <w:szCs w:val="28"/>
        </w:rPr>
        <w:instrText xml:space="preserve"> PAGEREF _Toc18496 </w:instrText>
      </w:r>
      <w:r>
        <w:rPr>
          <w:sz w:val="28"/>
          <w:szCs w:val="28"/>
        </w:rPr>
        <w:fldChar w:fldCharType="separate"/>
      </w:r>
      <w:r>
        <w:rPr>
          <w:sz w:val="28"/>
          <w:szCs w:val="28"/>
        </w:rPr>
        <w:t>26</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_Toc23499 </w:instrText>
      </w:r>
      <w:r>
        <w:rPr>
          <w:rFonts w:hint="eastAsia"/>
          <w:sz w:val="28"/>
          <w:szCs w:val="28"/>
        </w:rPr>
        <w:fldChar w:fldCharType="separate"/>
      </w:r>
      <w:r>
        <w:rPr>
          <w:rFonts w:hint="eastAsia"/>
          <w:sz w:val="28"/>
          <w:szCs w:val="28"/>
          <w:lang w:eastAsia="zh-CN"/>
        </w:rPr>
        <w:t>五、双元育人显成效，师生素养明显提升。</w:t>
      </w:r>
      <w:r>
        <w:rPr>
          <w:sz w:val="28"/>
          <w:szCs w:val="28"/>
        </w:rPr>
        <w:tab/>
      </w:r>
      <w:r>
        <w:rPr>
          <w:sz w:val="28"/>
          <w:szCs w:val="28"/>
        </w:rPr>
        <w:fldChar w:fldCharType="begin"/>
      </w:r>
      <w:r>
        <w:rPr>
          <w:sz w:val="28"/>
          <w:szCs w:val="28"/>
        </w:rPr>
        <w:instrText xml:space="preserve"> PAGEREF _Toc23499 </w:instrText>
      </w:r>
      <w:r>
        <w:rPr>
          <w:sz w:val="28"/>
          <w:szCs w:val="28"/>
        </w:rPr>
        <w:fldChar w:fldCharType="separate"/>
      </w:r>
      <w:r>
        <w:rPr>
          <w:sz w:val="28"/>
          <w:szCs w:val="28"/>
        </w:rPr>
        <w:t>27</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_Toc13576 </w:instrText>
      </w:r>
      <w:r>
        <w:rPr>
          <w:rFonts w:hint="eastAsia"/>
          <w:sz w:val="28"/>
          <w:szCs w:val="28"/>
        </w:rPr>
        <w:fldChar w:fldCharType="separate"/>
      </w:r>
      <w:r>
        <w:rPr>
          <w:rFonts w:hint="eastAsia" w:ascii="Arial" w:hAnsi="Arial" w:eastAsia="楷体" w:cs="Times New Roman"/>
          <w:kern w:val="2"/>
          <w:sz w:val="28"/>
          <w:szCs w:val="28"/>
          <w:lang w:val="en-US" w:eastAsia="zh-CN" w:bidi="ar-SA"/>
        </w:rPr>
        <w:t>8.</w:t>
      </w:r>
      <w:r>
        <w:rPr>
          <w:rFonts w:hint="eastAsia"/>
          <w:sz w:val="28"/>
          <w:szCs w:val="28"/>
        </w:rPr>
        <w:t>学校党建工作情况</w:t>
      </w:r>
      <w:r>
        <w:rPr>
          <w:sz w:val="28"/>
          <w:szCs w:val="28"/>
        </w:rPr>
        <w:tab/>
      </w:r>
      <w:r>
        <w:rPr>
          <w:sz w:val="28"/>
          <w:szCs w:val="28"/>
        </w:rPr>
        <w:fldChar w:fldCharType="begin"/>
      </w:r>
      <w:r>
        <w:rPr>
          <w:sz w:val="28"/>
          <w:szCs w:val="28"/>
        </w:rPr>
        <w:instrText xml:space="preserve"> PAGEREF _Toc13576 </w:instrText>
      </w:r>
      <w:r>
        <w:rPr>
          <w:sz w:val="28"/>
          <w:szCs w:val="28"/>
        </w:rPr>
        <w:fldChar w:fldCharType="separate"/>
      </w:r>
      <w:r>
        <w:rPr>
          <w:sz w:val="28"/>
          <w:szCs w:val="28"/>
        </w:rPr>
        <w:t>28</w:t>
      </w:r>
      <w:r>
        <w:rPr>
          <w:sz w:val="28"/>
          <w:szCs w:val="28"/>
        </w:rPr>
        <w:fldChar w:fldCharType="end"/>
      </w:r>
      <w:r>
        <w:rPr>
          <w:rFonts w:hint="eastAsia"/>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_Toc15335 </w:instrText>
      </w:r>
      <w:r>
        <w:rPr>
          <w:rFonts w:hint="eastAsia"/>
          <w:sz w:val="28"/>
          <w:szCs w:val="28"/>
        </w:rPr>
        <w:fldChar w:fldCharType="separate"/>
      </w:r>
      <w:r>
        <w:rPr>
          <w:rFonts w:hint="eastAsia" w:ascii="Arial" w:hAnsi="Arial" w:eastAsia="楷体" w:cs="Times New Roman"/>
          <w:kern w:val="2"/>
          <w:sz w:val="28"/>
          <w:szCs w:val="28"/>
          <w:lang w:val="en-US" w:eastAsia="zh-CN" w:bidi="ar-SA"/>
        </w:rPr>
        <w:t>9.</w:t>
      </w:r>
      <w:r>
        <w:rPr>
          <w:rFonts w:hint="eastAsia"/>
          <w:sz w:val="28"/>
          <w:szCs w:val="28"/>
        </w:rPr>
        <w:t>主要问题和改进措施</w:t>
      </w:r>
      <w:r>
        <w:rPr>
          <w:sz w:val="28"/>
          <w:szCs w:val="28"/>
        </w:rPr>
        <w:tab/>
      </w:r>
      <w:r>
        <w:rPr>
          <w:sz w:val="28"/>
          <w:szCs w:val="28"/>
        </w:rPr>
        <w:fldChar w:fldCharType="begin"/>
      </w:r>
      <w:r>
        <w:rPr>
          <w:sz w:val="28"/>
          <w:szCs w:val="28"/>
        </w:rPr>
        <w:instrText xml:space="preserve"> PAGEREF _Toc15335 </w:instrText>
      </w:r>
      <w:r>
        <w:rPr>
          <w:sz w:val="28"/>
          <w:szCs w:val="28"/>
        </w:rPr>
        <w:fldChar w:fldCharType="separate"/>
      </w:r>
      <w:r>
        <w:rPr>
          <w:sz w:val="28"/>
          <w:szCs w:val="28"/>
        </w:rPr>
        <w:t>29</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_Toc17654 </w:instrText>
      </w:r>
      <w:r>
        <w:rPr>
          <w:rFonts w:hint="eastAsia"/>
          <w:sz w:val="28"/>
          <w:szCs w:val="28"/>
        </w:rPr>
        <w:fldChar w:fldCharType="separate"/>
      </w:r>
      <w:r>
        <w:rPr>
          <w:rFonts w:hint="eastAsia"/>
          <w:sz w:val="28"/>
          <w:szCs w:val="28"/>
          <w:lang w:val="en-US" w:eastAsia="zh-CN"/>
        </w:rPr>
        <w:t>9.1主要问题</w:t>
      </w:r>
      <w:r>
        <w:rPr>
          <w:sz w:val="28"/>
          <w:szCs w:val="28"/>
        </w:rPr>
        <w:tab/>
      </w:r>
      <w:r>
        <w:rPr>
          <w:sz w:val="28"/>
          <w:szCs w:val="28"/>
        </w:rPr>
        <w:fldChar w:fldCharType="begin"/>
      </w:r>
      <w:r>
        <w:rPr>
          <w:sz w:val="28"/>
          <w:szCs w:val="28"/>
        </w:rPr>
        <w:instrText xml:space="preserve"> PAGEREF _Toc17654 </w:instrText>
      </w:r>
      <w:r>
        <w:rPr>
          <w:sz w:val="28"/>
          <w:szCs w:val="28"/>
        </w:rPr>
        <w:fldChar w:fldCharType="separate"/>
      </w:r>
      <w:r>
        <w:rPr>
          <w:sz w:val="28"/>
          <w:szCs w:val="28"/>
        </w:rPr>
        <w:t>29</w:t>
      </w:r>
      <w:r>
        <w:rPr>
          <w:sz w:val="28"/>
          <w:szCs w:val="28"/>
        </w:rPr>
        <w:fldChar w:fldCharType="end"/>
      </w:r>
      <w:r>
        <w:rPr>
          <w:rFonts w:hint="eastAsia"/>
          <w:sz w:val="28"/>
          <w:szCs w:val="28"/>
        </w:rPr>
        <w:fldChar w:fldCharType="end"/>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520" w:lineRule="exact"/>
        <w:ind w:right="0" w:rightChars="0" w:firstLine="0" w:firstLineChars="0"/>
        <w:jc w:val="both"/>
        <w:textAlignment w:val="auto"/>
        <w:outlineLvl w:val="9"/>
        <w:rPr>
          <w:sz w:val="28"/>
          <w:szCs w:val="28"/>
        </w:rPr>
      </w:pPr>
      <w:r>
        <w:rPr>
          <w:rFonts w:hint="eastAsia"/>
          <w:sz w:val="28"/>
          <w:szCs w:val="28"/>
        </w:rPr>
        <w:fldChar w:fldCharType="begin"/>
      </w:r>
      <w:r>
        <w:rPr>
          <w:rFonts w:hint="eastAsia"/>
          <w:sz w:val="28"/>
          <w:szCs w:val="28"/>
        </w:rPr>
        <w:instrText xml:space="preserve"> HYPERLINK \l _Toc4214 </w:instrText>
      </w:r>
      <w:r>
        <w:rPr>
          <w:rFonts w:hint="eastAsia"/>
          <w:sz w:val="28"/>
          <w:szCs w:val="28"/>
        </w:rPr>
        <w:fldChar w:fldCharType="separate"/>
      </w:r>
      <w:r>
        <w:rPr>
          <w:rFonts w:hint="eastAsia" w:ascii="Arial" w:hAnsi="Arial"/>
          <w:sz w:val="28"/>
          <w:szCs w:val="28"/>
          <w:lang w:val="en-US" w:eastAsia="zh-CN"/>
        </w:rPr>
        <w:t>9.2改进措施</w:t>
      </w:r>
      <w:r>
        <w:rPr>
          <w:sz w:val="28"/>
          <w:szCs w:val="28"/>
        </w:rPr>
        <w:tab/>
      </w:r>
      <w:r>
        <w:rPr>
          <w:sz w:val="28"/>
          <w:szCs w:val="28"/>
        </w:rPr>
        <w:fldChar w:fldCharType="begin"/>
      </w:r>
      <w:r>
        <w:rPr>
          <w:sz w:val="28"/>
          <w:szCs w:val="28"/>
        </w:rPr>
        <w:instrText xml:space="preserve"> PAGEREF _Toc4214 </w:instrText>
      </w:r>
      <w:r>
        <w:rPr>
          <w:sz w:val="28"/>
          <w:szCs w:val="28"/>
        </w:rPr>
        <w:fldChar w:fldCharType="separate"/>
      </w:r>
      <w:r>
        <w:rPr>
          <w:sz w:val="28"/>
          <w:szCs w:val="28"/>
        </w:rPr>
        <w:t>30</w:t>
      </w:r>
      <w:r>
        <w:rPr>
          <w:sz w:val="28"/>
          <w:szCs w:val="28"/>
        </w:rPr>
        <w:fldChar w:fldCharType="end"/>
      </w:r>
      <w:r>
        <w:rPr>
          <w:rFonts w:hint="eastAsia"/>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both"/>
        <w:textAlignment w:val="auto"/>
        <w:outlineLvl w:val="9"/>
        <w:rPr>
          <w:rFonts w:hint="eastAsia"/>
          <w:sz w:val="28"/>
          <w:szCs w:val="28"/>
        </w:rPr>
        <w:sectPr>
          <w:pgSz w:w="11906" w:h="16838"/>
          <w:pgMar w:top="1417" w:right="1701" w:bottom="1417" w:left="1701" w:header="851" w:footer="992" w:gutter="0"/>
          <w:cols w:space="0" w:num="1"/>
          <w:rtlGutter w:val="0"/>
          <w:docGrid w:type="lines" w:linePitch="312" w:charSpace="0"/>
        </w:sectPr>
      </w:pPr>
      <w:r>
        <w:rPr>
          <w:rFonts w:hint="eastAsia"/>
          <w:sz w:val="28"/>
          <w:szCs w:val="28"/>
        </w:rPr>
        <w:fldChar w:fldCharType="end"/>
      </w:r>
    </w:p>
    <w:p>
      <w:pPr>
        <w:rPr>
          <w:rFonts w:hint="eastAsia"/>
        </w:rPr>
      </w:pPr>
    </w:p>
    <w:p>
      <w:pPr>
        <w:keepNext w:val="0"/>
        <w:keepLines w:val="0"/>
        <w:pageBreakBefore w:val="0"/>
        <w:widowControl w:val="0"/>
        <w:kinsoku/>
        <w:wordWrap/>
        <w:overflowPunct/>
        <w:topLinePunct w:val="0"/>
        <w:bidi w:val="0"/>
        <w:snapToGrid/>
        <w:spacing w:line="600" w:lineRule="exact"/>
        <w:ind w:left="0" w:leftChars="0" w:right="0" w:rightChars="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衢州市中等职业教育</w:t>
      </w:r>
      <w:r>
        <w:rPr>
          <w:rFonts w:hint="eastAsia" w:ascii="方正小标宋简体" w:hAnsi="仿宋" w:eastAsia="方正小标宋简体"/>
          <w:sz w:val="44"/>
          <w:szCs w:val="44"/>
          <w:lang w:val="en-US" w:eastAsia="zh-CN"/>
        </w:rPr>
        <w:t>2020</w:t>
      </w:r>
      <w:r>
        <w:rPr>
          <w:rFonts w:hint="eastAsia" w:ascii="方正小标宋简体" w:hAnsi="仿宋" w:eastAsia="方正小标宋简体"/>
          <w:sz w:val="44"/>
          <w:szCs w:val="44"/>
        </w:rPr>
        <w:t>年度</w:t>
      </w:r>
    </w:p>
    <w:p>
      <w:pPr>
        <w:keepNext w:val="0"/>
        <w:keepLines w:val="0"/>
        <w:pageBreakBefore w:val="0"/>
        <w:widowControl w:val="0"/>
        <w:kinsoku/>
        <w:wordWrap/>
        <w:overflowPunct/>
        <w:topLinePunct w:val="0"/>
        <w:bidi w:val="0"/>
        <w:snapToGrid/>
        <w:spacing w:line="600" w:lineRule="exact"/>
        <w:ind w:left="0" w:leftChars="0" w:right="0" w:rightChars="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教育质量报告</w:t>
      </w:r>
    </w:p>
    <w:p>
      <w:pPr>
        <w:pStyle w:val="17"/>
        <w:keepNext w:val="0"/>
        <w:keepLines w:val="0"/>
        <w:pageBreakBefore w:val="0"/>
        <w:widowControl w:val="0"/>
        <w:kinsoku/>
        <w:wordWrap/>
        <w:overflowPunct/>
        <w:topLinePunct w:val="0"/>
        <w:bidi w:val="0"/>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2020年，衢州市中等职业教育工作认真贯彻落实《国家职业教育改革实施方案》《浙江省人民政府关于印发浙江省深化产教融合推进职业教育高质量发展实施方案的通知》（浙政发〔2020〕27号）等文件精神,以立德树人为根本,以“构建现代职教体系，提升服务地方经济能力”为指引，深入推进“五统筹”职教改革，奋力实现中等职业教育创新发展、高质量发展，为打造四省边际中心城市“桥头堡”贡献力量。现将全市中等职业教育2020年度教育质量报告如下：</w:t>
      </w:r>
    </w:p>
    <w:p>
      <w:pPr>
        <w:pStyle w:val="2"/>
        <w:rPr>
          <w:rFonts w:ascii="Times New Roman" w:hAnsi="Times New Roman" w:eastAsia="黑体"/>
          <w:sz w:val="32"/>
          <w:szCs w:val="32"/>
        </w:rPr>
      </w:pPr>
      <w:bookmarkStart w:id="0" w:name="_Toc30745"/>
      <w:bookmarkStart w:id="1" w:name="_Toc10314"/>
      <w:bookmarkStart w:id="2" w:name="_Toc16600"/>
      <w:bookmarkStart w:id="3" w:name="_Toc14231"/>
      <w:bookmarkStart w:id="4" w:name="_Toc7705"/>
      <w:r>
        <w:rPr>
          <w:rFonts w:hint="eastAsia" w:ascii="Arial" w:hAnsi="Arial" w:eastAsia="楷体" w:cs="Times New Roman"/>
          <w:b w:val="0"/>
          <w:kern w:val="2"/>
          <w:sz w:val="32"/>
          <w:szCs w:val="22"/>
          <w:lang w:val="en-US" w:eastAsia="zh-CN" w:bidi="ar-SA"/>
        </w:rPr>
        <w:t>1.</w:t>
      </w:r>
      <w:r>
        <w:rPr>
          <w:rStyle w:val="21"/>
        </w:rPr>
        <w:t>基本情况</w:t>
      </w:r>
      <w:bookmarkEnd w:id="0"/>
      <w:bookmarkEnd w:id="1"/>
      <w:bookmarkEnd w:id="2"/>
      <w:bookmarkEnd w:id="3"/>
      <w:bookmarkEnd w:id="4"/>
    </w:p>
    <w:p>
      <w:pPr>
        <w:pStyle w:val="3"/>
        <w:rPr>
          <w:rFonts w:hint="eastAsia"/>
        </w:rPr>
      </w:pPr>
      <w:bookmarkStart w:id="5" w:name="_Toc23039"/>
      <w:bookmarkStart w:id="6" w:name="_Toc26050"/>
      <w:bookmarkStart w:id="7" w:name="_Toc2361"/>
      <w:bookmarkStart w:id="8" w:name="_Toc16018"/>
      <w:bookmarkStart w:id="9" w:name="_Toc21421"/>
      <w:bookmarkStart w:id="10" w:name="_Toc15920"/>
      <w:r>
        <w:rPr>
          <w:rFonts w:hint="eastAsia"/>
        </w:rPr>
        <w:t>1.1 规模和结构</w:t>
      </w:r>
      <w:bookmarkEnd w:id="5"/>
      <w:bookmarkEnd w:id="6"/>
      <w:bookmarkEnd w:id="7"/>
      <w:bookmarkEnd w:id="8"/>
      <w:bookmarkEnd w:id="9"/>
      <w:bookmarkEnd w:id="10"/>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衢州市共有11所中职学校，国家级改革发展示范校3所、国家级重点职校6所、省级改革发展示范校5所,省名校立项单位3所，省首批“双高”建设学校3所，省三级以上中职学校10所，民办职校4所。2020年全市中职在校生27782人，当年中职招生10389人，中职学校招生占高中段招生比例44.25%，较2019年提高0.92%。</w:t>
      </w:r>
    </w:p>
    <w:p>
      <w:pPr>
        <w:pStyle w:val="3"/>
        <w:rPr>
          <w:rFonts w:hint="eastAsia"/>
        </w:rPr>
      </w:pPr>
      <w:bookmarkStart w:id="11" w:name="_Toc25394"/>
      <w:bookmarkStart w:id="12" w:name="_Toc3448"/>
      <w:bookmarkStart w:id="13" w:name="_Toc5285"/>
      <w:bookmarkStart w:id="14" w:name="_Toc740"/>
      <w:bookmarkStart w:id="15" w:name="_Toc20594"/>
      <w:bookmarkStart w:id="16" w:name="_Toc23445"/>
      <w:r>
        <w:rPr>
          <w:rFonts w:hint="eastAsia"/>
        </w:rPr>
        <w:t>1.2 设施设备</w:t>
      </w:r>
      <w:bookmarkEnd w:id="11"/>
      <w:bookmarkEnd w:id="12"/>
      <w:bookmarkEnd w:id="13"/>
      <w:bookmarkEnd w:id="14"/>
      <w:bookmarkEnd w:id="15"/>
      <w:bookmarkEnd w:id="16"/>
    </w:p>
    <w:p>
      <w:pPr>
        <w:pStyle w:val="11"/>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衢州市中职学校现有固定总资产14.75亿元，其中教学仪器设备总值2.76亿元。与上一年度相比，整体办学条件有所提升。</w:t>
      </w:r>
    </w:p>
    <w:tbl>
      <w:tblPr>
        <w:tblStyle w:val="16"/>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201"/>
        <w:gridCol w:w="1459"/>
        <w:gridCol w:w="156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836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b/>
                <w:bCs/>
                <w:sz w:val="24"/>
                <w:szCs w:val="24"/>
                <w:shd w:val="clear" w:color="auto" w:fill="FFFFFF"/>
                <w:vertAlign w:val="baseline"/>
                <w:lang w:val="en-US" w:eastAsia="zh-CN"/>
              </w:rPr>
              <w:t>设备情况一览表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项目</w:t>
            </w:r>
          </w:p>
        </w:tc>
        <w:tc>
          <w:tcPr>
            <w:tcW w:w="32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指标</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2019年</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2020年</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增长情况%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71" w:type="dxa"/>
            <w:vMerge w:val="restart"/>
            <w:vAlign w:val="center"/>
          </w:tcPr>
          <w:p>
            <w:pPr>
              <w:keepNext w:val="0"/>
              <w:keepLines w:val="0"/>
              <w:pageBreakBefore w:val="0"/>
              <w:widowControl w:val="0"/>
              <w:tabs>
                <w:tab w:val="left" w:pos="253"/>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设施设备</w:t>
            </w:r>
          </w:p>
        </w:tc>
        <w:tc>
          <w:tcPr>
            <w:tcW w:w="32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实训设施设备投入（万元）</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2255.55</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3058.51</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p>
        </w:tc>
        <w:tc>
          <w:tcPr>
            <w:tcW w:w="32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生均教学仪器设备值（万元）</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1.05</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0.99</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p>
        </w:tc>
        <w:tc>
          <w:tcPr>
            <w:tcW w:w="32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生均实训工位数（个）</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0.483</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0.697</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p>
        </w:tc>
        <w:tc>
          <w:tcPr>
            <w:tcW w:w="32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生均纸质图书（册）</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43.7</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45.8</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4.8</w:t>
            </w:r>
          </w:p>
        </w:tc>
      </w:tr>
    </w:tbl>
    <w:p>
      <w:pPr>
        <w:pStyle w:val="3"/>
        <w:keepNext/>
        <w:keepLines/>
        <w:pageBreakBefore w:val="0"/>
        <w:widowControl w:val="0"/>
        <w:kinsoku/>
        <w:wordWrap/>
        <w:overflowPunct/>
        <w:topLinePunct w:val="0"/>
        <w:autoSpaceDE/>
        <w:autoSpaceDN/>
        <w:bidi w:val="0"/>
        <w:adjustRightInd/>
        <w:snapToGrid/>
        <w:spacing w:before="157" w:beforeLines="50" w:afterLines="0" w:line="600" w:lineRule="exact"/>
        <w:ind w:left="0" w:leftChars="0" w:right="0" w:rightChars="0" w:firstLine="640" w:firstLineChars="200"/>
        <w:jc w:val="both"/>
        <w:textAlignment w:val="auto"/>
        <w:outlineLvl w:val="1"/>
        <w:rPr>
          <w:rFonts w:hint="eastAsia"/>
        </w:rPr>
      </w:pPr>
      <w:bookmarkStart w:id="17" w:name="_Toc12889"/>
      <w:bookmarkStart w:id="18" w:name="_Toc20119"/>
      <w:bookmarkStart w:id="19" w:name="_Toc6729"/>
      <w:bookmarkStart w:id="20" w:name="_Toc21406"/>
      <w:bookmarkStart w:id="21" w:name="_Toc10497"/>
      <w:bookmarkStart w:id="22" w:name="_Toc27061"/>
      <w:r>
        <w:rPr>
          <w:rFonts w:hint="eastAsia"/>
        </w:rPr>
        <w:t>1.3教师队伍</w:t>
      </w:r>
      <w:bookmarkEnd w:id="17"/>
      <w:bookmarkEnd w:id="18"/>
      <w:bookmarkEnd w:id="19"/>
      <w:bookmarkEnd w:id="20"/>
      <w:bookmarkEnd w:id="21"/>
      <w:bookmarkEnd w:id="22"/>
    </w:p>
    <w:p>
      <w:pPr>
        <w:pStyle w:val="11"/>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2020年全市中职学校在校生数27782人，专任教师1712人，生师比16.22 : 1。“双师型”教师810人，专业课及实习指导教师931人，兼职教师308人，兼职教师占专任教师比例13.84%。专任教师高级职称及以上教师397人，中级职称教师718人，硕士以上学历教师110人,与上一年度相比，均有明显提升。</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954"/>
        <w:gridCol w:w="195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b/>
                <w:bCs/>
                <w:sz w:val="24"/>
                <w:szCs w:val="24"/>
                <w:shd w:val="clear" w:color="auto" w:fill="FFFFFF"/>
                <w:vertAlign w:val="baseline"/>
                <w:lang w:val="en-US" w:eastAsia="zh-CN"/>
              </w:rPr>
              <w:t>师资情况一览表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教师队伍</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2019年</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2020年</w:t>
            </w:r>
          </w:p>
        </w:tc>
        <w:tc>
          <w:tcPr>
            <w:tcW w:w="19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生师比</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16.26 : 1</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16.22 : 1</w:t>
            </w:r>
          </w:p>
        </w:tc>
        <w:tc>
          <w:tcPr>
            <w:tcW w:w="19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0.04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“双师型”比例</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仿宋" w:hAnsi="仿宋" w:eastAsia="仿宋"/>
                <w:sz w:val="24"/>
                <w:szCs w:val="24"/>
              </w:rPr>
              <w:t>79</w:t>
            </w:r>
            <w:r>
              <w:rPr>
                <w:rFonts w:ascii="仿宋" w:hAnsi="仿宋" w:eastAsia="仿宋"/>
                <w:sz w:val="24"/>
                <w:szCs w:val="24"/>
              </w:rPr>
              <w:t>%</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87%</w:t>
            </w:r>
          </w:p>
        </w:tc>
        <w:tc>
          <w:tcPr>
            <w:tcW w:w="19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兼职教师比例</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21.26%</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13.84%</w:t>
            </w:r>
          </w:p>
        </w:tc>
        <w:tc>
          <w:tcPr>
            <w:tcW w:w="19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专任教师高级职称比例</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21.26%</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23.19%</w:t>
            </w:r>
          </w:p>
        </w:tc>
        <w:tc>
          <w:tcPr>
            <w:tcW w:w="19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专任教师中级职称比例</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36.4%</w:t>
            </w:r>
          </w:p>
        </w:tc>
        <w:tc>
          <w:tcPr>
            <w:tcW w:w="195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41.94%</w:t>
            </w:r>
          </w:p>
        </w:tc>
        <w:tc>
          <w:tcPr>
            <w:tcW w:w="195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5.54%</w:t>
            </w:r>
          </w:p>
        </w:tc>
      </w:tr>
    </w:tbl>
    <w:p>
      <w:pPr>
        <w:pStyle w:val="2"/>
      </w:pPr>
      <w:bookmarkStart w:id="23" w:name="_Toc8103"/>
      <w:bookmarkStart w:id="24" w:name="_Toc12329"/>
      <w:bookmarkStart w:id="25" w:name="_Toc20711"/>
      <w:bookmarkStart w:id="26" w:name="_Toc22286"/>
      <w:bookmarkStart w:id="27" w:name="_Toc1671"/>
      <w:bookmarkStart w:id="28" w:name="_Toc26978"/>
      <w:r>
        <w:rPr>
          <w:rFonts w:hint="eastAsia" w:ascii="Arial" w:hAnsi="Arial" w:eastAsia="楷体" w:cs="Times New Roman"/>
          <w:b w:val="0"/>
          <w:kern w:val="2"/>
          <w:sz w:val="32"/>
          <w:szCs w:val="22"/>
          <w:lang w:val="en-US" w:eastAsia="zh-CN" w:bidi="ar-SA"/>
        </w:rPr>
        <w:t>2.</w:t>
      </w:r>
      <w:r>
        <w:t>学生发展</w:t>
      </w:r>
      <w:bookmarkEnd w:id="23"/>
      <w:bookmarkEnd w:id="24"/>
      <w:bookmarkEnd w:id="25"/>
      <w:bookmarkEnd w:id="26"/>
      <w:bookmarkEnd w:id="27"/>
      <w:bookmarkEnd w:id="28"/>
    </w:p>
    <w:p>
      <w:pPr>
        <w:pStyle w:val="3"/>
        <w:rPr>
          <w:rFonts w:hint="eastAsia"/>
        </w:rPr>
      </w:pPr>
      <w:bookmarkStart w:id="29" w:name="_Toc10063"/>
      <w:bookmarkStart w:id="30" w:name="_Toc30234"/>
      <w:bookmarkStart w:id="31" w:name="_Toc6943"/>
      <w:bookmarkStart w:id="32" w:name="_Toc32486"/>
      <w:bookmarkStart w:id="33" w:name="_Toc9137"/>
      <w:bookmarkStart w:id="34" w:name="_Toc31164"/>
      <w:r>
        <w:rPr>
          <w:rFonts w:hint="eastAsia"/>
          <w:lang w:val="en-US" w:eastAsia="zh-CN"/>
        </w:rPr>
        <w:t>2.1</w:t>
      </w:r>
      <w:r>
        <w:rPr>
          <w:rFonts w:hint="eastAsia"/>
        </w:rPr>
        <w:t>学生素质</w:t>
      </w:r>
      <w:bookmarkEnd w:id="29"/>
      <w:bookmarkEnd w:id="30"/>
      <w:bookmarkEnd w:id="31"/>
      <w:bookmarkEnd w:id="32"/>
      <w:bookmarkEnd w:id="33"/>
      <w:bookmarkEnd w:id="34"/>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各中职学校以立德树人为根本任务，通过将思政元素融入专业课教学，提升中职学生思想政治、道德品质；通过开展中职学生“创新创业大赛”“技能竞赛”“文明风采竞赛”等方式为中职学生树立职业理想，提升中职学生专业技能和综合素质，促进学生全面发展。启动1+X证书制度试点，全市12所中高职院校参与74个“1+X”证书试点。2020年组织全市中职学校学生技能大赛、中职学生“创新创业类”职业素养比赛，并择优推荐参加省赛。最终在省中职学校师生技能大赛中获三等奖5项；在省中职学生“创新创业类”职业素养比赛获得二等奖2项，三等奖13项。</w:t>
      </w:r>
    </w:p>
    <w:p>
      <w:pPr>
        <w:pStyle w:val="3"/>
        <w:rPr>
          <w:rFonts w:hint="eastAsia"/>
          <w:lang w:val="en-US" w:eastAsia="zh-CN"/>
        </w:rPr>
      </w:pPr>
      <w:bookmarkStart w:id="35" w:name="_Toc18386"/>
      <w:bookmarkStart w:id="36" w:name="_Toc6141"/>
      <w:bookmarkStart w:id="37" w:name="_Toc25644"/>
      <w:bookmarkStart w:id="38" w:name="_Toc30673"/>
      <w:bookmarkStart w:id="39" w:name="_Toc9008"/>
      <w:bookmarkStart w:id="40" w:name="_Toc12795"/>
      <w:r>
        <w:rPr>
          <w:rFonts w:hint="eastAsia"/>
          <w:lang w:val="en-US" w:eastAsia="zh-CN"/>
        </w:rPr>
        <w:t>2.2就业质量</w:t>
      </w:r>
      <w:bookmarkEnd w:id="35"/>
      <w:bookmarkEnd w:id="36"/>
      <w:bookmarkEnd w:id="37"/>
      <w:bookmarkEnd w:id="38"/>
      <w:bookmarkEnd w:id="39"/>
      <w:bookmarkEnd w:id="40"/>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600" w:lineRule="exact"/>
        <w:ind w:left="0" w:leftChars="0" w:right="0" w:rightChars="0" w:firstLine="640" w:firstLineChars="200"/>
        <w:jc w:val="both"/>
        <w:textAlignment w:val="auto"/>
        <w:outlineLvl w:val="9"/>
        <w:rPr>
          <w:rFonts w:hint="eastAsia" w:ascii="Times New Roman" w:hAnsi="Times New Roman" w:eastAsia="仿宋_GB2312"/>
          <w:sz w:val="32"/>
          <w:szCs w:val="32"/>
          <w:shd w:val="clear" w:color="auto" w:fill="FFFFFF"/>
        </w:rPr>
      </w:pPr>
      <w:r>
        <w:rPr>
          <w:rFonts w:hint="eastAsia" w:ascii="仿宋_GB2312" w:hAnsi="仿宋_GB2312" w:eastAsia="仿宋_GB2312" w:cs="仿宋_GB2312"/>
          <w:sz w:val="32"/>
          <w:szCs w:val="32"/>
          <w:lang w:val="en-US" w:eastAsia="zh-CN"/>
        </w:rPr>
        <w:t>2020年全市中职毕业生就业率98.89%，对口就业率86.76%，初次就业月收入</w:t>
      </w:r>
      <w:r>
        <w:rPr>
          <w:rFonts w:hint="eastAsia" w:ascii="仿宋_GB2312" w:hAnsi="仿宋_GB2312" w:eastAsia="仿宋_GB2312" w:cs="仿宋_GB2312"/>
          <w:color w:val="auto"/>
          <w:sz w:val="32"/>
          <w:szCs w:val="32"/>
          <w:lang w:val="en-US" w:eastAsia="zh-CN"/>
        </w:rPr>
        <w:t>3024</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sz w:val="32"/>
          <w:szCs w:val="32"/>
          <w:shd w:val="clear" w:color="auto" w:fill="FFFFFF"/>
          <w:lang w:eastAsia="zh-CN"/>
        </w:rPr>
        <w:t>疫情期间，衢州市教育局积极应对，联合市人力社保局、经信局等多个部门，</w:t>
      </w:r>
      <w:r>
        <w:rPr>
          <w:rFonts w:hint="eastAsia" w:ascii="仿宋_GB2312" w:hAnsi="仿宋_GB2312" w:eastAsia="仿宋_GB2312" w:cs="仿宋_GB2312"/>
          <w:sz w:val="32"/>
          <w:szCs w:val="32"/>
        </w:rPr>
        <w:t>以推进“最多跑一次”改革为契机，打造“一</w:t>
      </w:r>
      <w:r>
        <w:rPr>
          <w:rFonts w:hint="eastAsia" w:ascii="仿宋_GB2312" w:hAnsi="仿宋_GB2312" w:eastAsia="仿宋_GB2312" w:cs="仿宋_GB2312"/>
          <w:bCs/>
          <w:sz w:val="32"/>
          <w:szCs w:val="32"/>
        </w:rPr>
        <w:t>站式”技术技能型人才就业平台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以“线上</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lang w:eastAsia="zh-CN"/>
        </w:rPr>
        <w:t>”的形式</w:t>
      </w:r>
      <w:r>
        <w:rPr>
          <w:rFonts w:hint="eastAsia" w:ascii="仿宋_GB2312" w:hAnsi="仿宋_GB2312" w:eastAsia="仿宋_GB2312" w:cs="仿宋_GB2312"/>
          <w:sz w:val="32"/>
          <w:szCs w:val="32"/>
        </w:rPr>
        <w:t>举办公益性招聘会128场次，设摊企业3718家，提供岗位7.49万个</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rPr>
        <w:t>确保</w:t>
      </w:r>
      <w:r>
        <w:rPr>
          <w:rFonts w:hint="eastAsia" w:ascii="Times New Roman" w:hAnsi="Times New Roman" w:eastAsia="仿宋_GB2312"/>
          <w:sz w:val="32"/>
          <w:szCs w:val="32"/>
          <w:shd w:val="clear" w:color="auto" w:fill="FFFFFF"/>
        </w:rPr>
        <w:t>中职</w:t>
      </w:r>
      <w:r>
        <w:rPr>
          <w:rFonts w:hint="eastAsia" w:ascii="Times New Roman" w:hAnsi="Times New Roman" w:eastAsia="仿宋_GB2312"/>
          <w:sz w:val="32"/>
          <w:szCs w:val="32"/>
        </w:rPr>
        <w:t>学生就业安置稳定，进一步提高学生就业质量</w:t>
      </w:r>
      <w:r>
        <w:rPr>
          <w:rFonts w:hint="eastAsia" w:ascii="Times New Roman" w:hAnsi="Times New Roman" w:eastAsia="仿宋_GB2312"/>
          <w:sz w:val="32"/>
          <w:szCs w:val="32"/>
          <w:shd w:val="clear" w:color="auto" w:fill="FFFFFF"/>
        </w:rPr>
        <w:t>。</w:t>
      </w:r>
    </w:p>
    <w:tbl>
      <w:tblPr>
        <w:tblStyle w:val="16"/>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815"/>
        <w:gridCol w:w="181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140" w:type="dxa"/>
            <w:gridSpan w:val="4"/>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b/>
                <w:bCs/>
                <w:sz w:val="24"/>
                <w:szCs w:val="24"/>
                <w:shd w:val="clear" w:color="auto" w:fill="FFFFFF"/>
                <w:vertAlign w:val="baseline"/>
                <w:lang w:val="en-US" w:eastAsia="zh-CN"/>
              </w:rPr>
              <w:t>就业质量一览表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69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项目</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2019年</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2020年</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就业率（%）</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98.99%</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98.89%</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对口就业率（%）</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79.95%</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86.76%</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6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初次就业月收入（元）</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2839</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3024</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185</w:t>
            </w:r>
          </w:p>
        </w:tc>
      </w:tr>
    </w:tbl>
    <w:p>
      <w:pPr>
        <w:pStyle w:val="3"/>
        <w:keepNext/>
        <w:keepLines/>
        <w:pageBreakBefore w:val="0"/>
        <w:widowControl w:val="0"/>
        <w:kinsoku/>
        <w:wordWrap/>
        <w:overflowPunct/>
        <w:topLinePunct w:val="0"/>
        <w:autoSpaceDE/>
        <w:autoSpaceDN/>
        <w:bidi w:val="0"/>
        <w:adjustRightInd/>
        <w:snapToGrid/>
        <w:spacing w:before="157" w:beforeLines="50" w:afterLines="0" w:line="600" w:lineRule="exact"/>
        <w:ind w:left="0" w:leftChars="0" w:right="0" w:rightChars="0" w:firstLine="640" w:firstLineChars="200"/>
        <w:jc w:val="both"/>
        <w:textAlignment w:val="auto"/>
        <w:outlineLvl w:val="1"/>
        <w:rPr>
          <w:rFonts w:hint="eastAsia"/>
          <w:lang w:val="en-US" w:eastAsia="zh-CN"/>
        </w:rPr>
      </w:pPr>
      <w:bookmarkStart w:id="41" w:name="_Toc30124"/>
      <w:bookmarkStart w:id="42" w:name="_Toc25607"/>
      <w:bookmarkStart w:id="43" w:name="_Toc1379"/>
      <w:bookmarkStart w:id="44" w:name="_Toc31767"/>
      <w:bookmarkStart w:id="45" w:name="_Toc24363"/>
      <w:bookmarkStart w:id="46" w:name="_Toc28745"/>
      <w:r>
        <w:rPr>
          <w:rFonts w:hint="eastAsia"/>
          <w:lang w:val="en-US" w:eastAsia="zh-CN"/>
        </w:rPr>
        <w:t>2.3升学情况</w:t>
      </w:r>
      <w:bookmarkEnd w:id="41"/>
      <w:bookmarkEnd w:id="42"/>
      <w:bookmarkEnd w:id="43"/>
      <w:bookmarkEnd w:id="44"/>
      <w:bookmarkEnd w:id="45"/>
      <w:bookmarkEnd w:id="46"/>
    </w:p>
    <w:p>
      <w:pPr>
        <w:pStyle w:val="11"/>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2020年全市升入各类高一级学校的毕业生4074人，约占毕业生数50.03%。其中通过单考单招升入高职院校学生2122人，中高职一体升学1279人，自主招生96人，升入技师学院476人，其他101人。高考质量稳步提升，本科录取260人，较上一年增加29人，位列全省第6，本科率12.22%，显著高于全省5.76个百分点。</w:t>
      </w:r>
    </w:p>
    <w:tbl>
      <w:tblPr>
        <w:tblStyle w:val="16"/>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24"/>
        <w:gridCol w:w="2026"/>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0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b/>
                <w:bCs/>
                <w:sz w:val="24"/>
                <w:szCs w:val="24"/>
                <w:shd w:val="clear" w:color="auto" w:fill="FFFFFF"/>
                <w:vertAlign w:val="baseline"/>
                <w:lang w:val="en-US" w:eastAsia="zh-CN"/>
              </w:rPr>
              <w:t>升学情况一览表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项目</w:t>
            </w:r>
          </w:p>
        </w:tc>
        <w:tc>
          <w:tcPr>
            <w:tcW w:w="20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2019年</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2020年</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升入高校比例</w:t>
            </w:r>
          </w:p>
        </w:tc>
        <w:tc>
          <w:tcPr>
            <w:tcW w:w="20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58.88%</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50.03%</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升入本科比例</w:t>
            </w:r>
          </w:p>
        </w:tc>
        <w:tc>
          <w:tcPr>
            <w:tcW w:w="20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2.7%</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3.2%</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shd w:val="clear" w:color="auto" w:fill="FFFFFF"/>
                <w:vertAlign w:val="baseline"/>
                <w:lang w:val="en-US" w:eastAsia="zh-CN"/>
              </w:rPr>
            </w:pPr>
            <w:r>
              <w:rPr>
                <w:rFonts w:hint="eastAsia" w:asciiTheme="minorEastAsia" w:hAnsiTheme="minorEastAsia" w:eastAsiaTheme="minorEastAsia" w:cstheme="minorEastAsia"/>
                <w:sz w:val="24"/>
                <w:szCs w:val="24"/>
                <w:shd w:val="clear" w:color="auto" w:fill="FFFFFF"/>
                <w:vertAlign w:val="baseline"/>
                <w:lang w:val="en-US" w:eastAsia="zh-CN"/>
              </w:rPr>
              <w:t>0.5%</w:t>
            </w:r>
          </w:p>
        </w:tc>
      </w:tr>
    </w:tbl>
    <w:p>
      <w:pPr>
        <w:pStyle w:val="2"/>
        <w:keepNext/>
        <w:keepLines/>
        <w:pageBreakBefore w:val="0"/>
        <w:widowControl w:val="0"/>
        <w:kinsoku/>
        <w:wordWrap/>
        <w:overflowPunct/>
        <w:topLinePunct w:val="0"/>
        <w:autoSpaceDE/>
        <w:autoSpaceDN/>
        <w:bidi w:val="0"/>
        <w:adjustRightInd/>
        <w:snapToGrid/>
        <w:spacing w:before="157" w:beforeLines="50" w:afterLines="0" w:line="600" w:lineRule="exact"/>
        <w:ind w:left="0" w:leftChars="0" w:right="0" w:rightChars="0" w:firstLine="640" w:firstLineChars="200"/>
        <w:jc w:val="both"/>
        <w:textAlignment w:val="auto"/>
        <w:outlineLvl w:val="0"/>
      </w:pPr>
      <w:bookmarkStart w:id="47" w:name="_Toc27036"/>
      <w:bookmarkStart w:id="48" w:name="_Toc18812"/>
      <w:bookmarkStart w:id="49" w:name="_Toc31093"/>
      <w:bookmarkStart w:id="50" w:name="_Toc2175"/>
      <w:bookmarkStart w:id="51" w:name="_Toc23698"/>
      <w:bookmarkStart w:id="52" w:name="_Toc22379"/>
      <w:r>
        <w:rPr>
          <w:rFonts w:hint="eastAsia" w:ascii="楷体" w:hAnsi="楷体" w:eastAsia="楷体" w:cs="楷体"/>
          <w:b w:val="0"/>
          <w:bCs w:val="0"/>
          <w:kern w:val="2"/>
          <w:sz w:val="32"/>
          <w:szCs w:val="32"/>
          <w:shd w:val="clear" w:color="auto" w:fill="FFFFFF"/>
          <w:lang w:val="en-US" w:eastAsia="zh-CN" w:bidi="ar-SA"/>
        </w:rPr>
        <w:t>3.</w:t>
      </w:r>
      <w:r>
        <w:t>质量保障措施</w:t>
      </w:r>
      <w:bookmarkEnd w:id="47"/>
      <w:bookmarkEnd w:id="48"/>
      <w:bookmarkEnd w:id="49"/>
      <w:bookmarkEnd w:id="50"/>
      <w:bookmarkEnd w:id="51"/>
      <w:bookmarkEnd w:id="52"/>
    </w:p>
    <w:p>
      <w:pPr>
        <w:pStyle w:val="3"/>
        <w:rPr>
          <w:rFonts w:hint="eastAsia"/>
          <w:lang w:val="en-US" w:eastAsia="zh-CN"/>
        </w:rPr>
      </w:pPr>
      <w:bookmarkStart w:id="53" w:name="_Toc4078"/>
      <w:bookmarkStart w:id="54" w:name="_Toc2082"/>
      <w:bookmarkStart w:id="55" w:name="_Toc32287"/>
      <w:bookmarkStart w:id="56" w:name="_Toc11593"/>
      <w:bookmarkStart w:id="57" w:name="_Toc29107"/>
      <w:bookmarkStart w:id="58" w:name="_Toc30290"/>
      <w:r>
        <w:rPr>
          <w:rFonts w:hint="eastAsia"/>
          <w:lang w:val="en-US" w:eastAsia="zh-CN"/>
        </w:rPr>
        <w:t>3.1 专业布局</w:t>
      </w:r>
      <w:bookmarkEnd w:id="53"/>
      <w:bookmarkEnd w:id="54"/>
      <w:bookmarkEnd w:id="55"/>
      <w:bookmarkEnd w:id="56"/>
      <w:bookmarkEnd w:id="57"/>
      <w:bookmarkEnd w:id="58"/>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一是优化专业结构。围绕服务衢州本地发展与满足市场需求、传统产业改造升级与新兴产业培育、公办学校与民办学校发展的三对关系，按照停办、限制、扶持、强优四类原则开展专业结构调整。5月份结合区域主导产业布局和经济社会发展趋势，新增5个专业布点，分别是衢州中等专业学校“工业机器人技术应用”专业，衢江区职业中专“电梯安装与维护保养”专业、龙游县求实职业中专“城市轨道交通运营管理”专业、衢州护士学校“护理”专业、常山县职业中等专业学校“家政服务与管理”专业。10月份完成第二轮专业调整，全市中职学校由原来56个专业107个专业布点，调整为49个专业87个布点，形成了错位发展、特色发展、集群发展的局面。二是实施标准引导、动态管理。出台《衢州市中等职业学校专业设置管理实施细则（试行）》和《衢州市中等职业学校专业建设标准（试行）》，明确新增专业审批流程，已有专业调整办法。强化标准引导、评估认定，推进学校专业建强建优。三是明确方向，形成错位特色发展。在专业结构调整的基础上，明确每个学校重点发展的专业集群，利用“三衢教育”官微平台连续推送12期专业群建设成果展，点击量共计10万余人次。目前全市形成了智能制造、财经商贸、信息技术、交通运输、文旅健康、现代农业等六大专业群，服务衢州“美丽经济幸福产业”和“数字经济智慧产业”建设。</w:t>
      </w:r>
    </w:p>
    <w:p>
      <w:pPr>
        <w:pStyle w:val="3"/>
        <w:rPr>
          <w:rFonts w:hint="eastAsia"/>
          <w:lang w:val="en-US" w:eastAsia="zh-CN"/>
        </w:rPr>
      </w:pPr>
      <w:bookmarkStart w:id="59" w:name="_Toc26297"/>
      <w:bookmarkStart w:id="60" w:name="_Toc31840"/>
      <w:bookmarkStart w:id="61" w:name="_Toc23918"/>
      <w:bookmarkStart w:id="62" w:name="_Toc24520"/>
      <w:bookmarkStart w:id="63" w:name="_Toc15815"/>
      <w:bookmarkStart w:id="64" w:name="_Toc11625"/>
      <w:r>
        <w:rPr>
          <w:rFonts w:hint="eastAsia"/>
          <w:lang w:val="en-US" w:eastAsia="zh-CN"/>
        </w:rPr>
        <w:t>3.2 质量保证</w:t>
      </w:r>
      <w:bookmarkEnd w:id="59"/>
      <w:bookmarkEnd w:id="60"/>
      <w:bookmarkEnd w:id="61"/>
      <w:bookmarkEnd w:id="62"/>
      <w:bookmarkEnd w:id="63"/>
      <w:bookmarkEnd w:id="64"/>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质量监测体系逐步完善。一是规范有序开展文化课测试。受疫情影响，2020年全市中职学校高一、高二学业水平考试分别于5月和6月两次举行，共设579个考场，17625名学生参加考试。两场考试均严格按照专家统一命题，统一印制试卷，统一阅卷，统一发布成绩的程序完成。二是加强命题研究与复习研讨。通过开展“技能高考研讨”“高考复习研讨会”等活动进一步加强中职教师对学业考试的研究，提高广大教师命题的科学性、严谨性和专业性，促进评价改革和提高教育教学质量。三是开展单独考试质量分析。11月召开2020年衢州市中职教育提质培优工作研讨暨2020年质量分析会，全面总结了衢州市2020年高职考试情况。加大中高职、中本一体化贯通培养，打通中职升学通道。全市11所中职学校与省内20所高等院校27个专业进行合作，共招收中高职、中本一体化人才1935名，其中3所中职院校开展中本一体化培养试点，招收中本一体化学生116名。</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项目建设成果日渐丰硕。2020年全市有15个项目入围“省中等职业教育质量提升行动计划”名单，其中省校企合作共同体2个，省德育品牌2个，省创新创业教育实验室2个，省优秀毕业生2个，省现代化成人学校3所，省成教品牌项目3个，省学习型城市1个。在2020年省中等职业教育“三名工程”终期验收中，衢州市所有项目在年度评估中均达到合格以上，其中衢州中等专业学校数控技术应用专业、郑军名师工作室和开化县职业教育中心徐谷青技能大师工作室获优秀等次。4所中职学校获评浙江省数字教育资源建设与应用示范学校，5所中职学校获评省中小学劳动实践基地（第二批）暨职业体验基地，16个项目入选浙江省2019—2020 年度产教融合“五个一批”名单。“新时代农民讲习所—乡村空中学堂”被评为2020年全国“特别受百姓喜爱的终身学习品牌”项目；“江山市大陈村村歌项目”被评为省终身学习品牌项目。全市有3所中职学校入选省高水平职业院校建设名单，11个专业入选省高水平专业建设名单。</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技能竞赛成绩有所提升。2020年共先后组织全市中职学校学生技能大赛、中职学生“创新创业类”职业素养比赛、中职学校“多彩课堂”评比等6个赛项，并择优推荐参加省赛。最终在省中职学校师生技能大赛中获三等奖5人；在省中职学生“创新创业类”职业素养比赛获得二等奖2项，三等奖13项等；在省中等职业学校教师信息化教学设计和说课大赛中获二等奖4名、三等奖9名；参加全省中职学校职业生涯教育优秀案例遴选活动，衢州中等专业学校的徐清、兰新华两位老师撰写的《创设校园事务综合体：锻造学生创业创新真本事》榜上有名；在中职学校“文明风采”优秀案例和作品评选的活动中，我市有2个优秀案例入选省“文明风采”遴选活动优秀案例，有8件作品入选省优秀作品。组织全市中职学校“多彩课堂”评比，从26节公共基础课和42节专业课作品中推选出6个文化课作品和10个专业课作品参加全省中职学校“多彩课堂”的评比。</w:t>
      </w:r>
    </w:p>
    <w:p>
      <w:pPr>
        <w:pStyle w:val="3"/>
        <w:rPr>
          <w:rFonts w:hint="eastAsia"/>
          <w:lang w:val="en-US" w:eastAsia="zh-CN"/>
        </w:rPr>
      </w:pPr>
      <w:bookmarkStart w:id="65" w:name="_Toc30783"/>
      <w:bookmarkStart w:id="66" w:name="_Toc23559"/>
      <w:bookmarkStart w:id="67" w:name="_Toc3283"/>
      <w:bookmarkStart w:id="68" w:name="_Toc7211"/>
      <w:bookmarkStart w:id="69" w:name="_Toc15444"/>
      <w:bookmarkStart w:id="70" w:name="_Toc23220"/>
      <w:r>
        <w:rPr>
          <w:rFonts w:hint="eastAsia"/>
          <w:lang w:val="en-US" w:eastAsia="zh-CN"/>
        </w:rPr>
        <w:t>3.3 落实教师编制，教师培养培训情况</w:t>
      </w:r>
      <w:bookmarkEnd w:id="65"/>
      <w:bookmarkEnd w:id="66"/>
      <w:bookmarkEnd w:id="67"/>
      <w:bookmarkEnd w:id="68"/>
      <w:bookmarkEnd w:id="69"/>
      <w:bookmarkEnd w:id="70"/>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完善“五项机制”，加强教师队伍建设。一是组织机制。加强对教师工作的组织领导，建立由政府分管领导牵头，组织、编办、人力社保、财政、教育等部门参与的教育工作联席会议制度。二是长效机制。积极贯彻落实省市下发的关于教师队伍建设的相关文件精神，根据教育部等四部门关于印发《深化新时代职业教育“双师型”教师队伍建设改革实施方案》的通知要求，结合衢州市“五统筹”职教改革，统筹规划，按需施训，通过领军人才选拔、建立高水平教学创新团队、常态化的技能比赛和活动，构建教师队伍建设长效机制。三是考核机制。建立教师队伍建设工作目标责任制，列入市人民政府对县（市、区）人民政府和市级相关部门的年度考核内容。建立教师工作定期督导检查制度，把教师队伍建设情况作为政府教育督导的重要内容。将教师专业发展培训情况列入学校发展性评价考核指标和教师年度绩效考核指标。四是激励机制。配套市委人才工作领导小组办公室下发的《关于印发贯彻市委市政府关于切实加快四省边际人才强市建设的意见》，对市名校长、市名师评选等作出规定，为名优教师设立专项津贴；五是保障机制。完善教师考核评价标准，完善绩效工资分配办法，依法保障并逐步提高教师工资待遇。继续做好市名师、市名校长及各类先进评选表彰工作，制定教育质量奖，促进教育教学质量提升。</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提升教师培养培训质量。对接学校教师的需求，以系统培训、深度调研、名师送教、专项帮扶等形式服务教师成长。按市域范围内同一专业大类开设情况，组建包含“新入职教师”“骨干教师”“领军人才”三个梯度人才和企业、科研机构、高职院校人员参与其中的教学创新团队20余个。在疫情防控常态化背景下，以线上+线下的形式持续开展中职学校教师各项培训工作。深入贯彻落实省级各项文件精神，全市共选派36名教师参加省级职业院校骨干教师培训。组织84名计算机、商贸财经、创新创业等专业教师参加指向“三教改革”衢州市中职教师教育创新能力提升90学时培训；组织86名教师参加指向“教学改革”中职教师90学时培训。组织101位中高职新任教师参加衢州市中高职师资协同研训暨新任教师岗前培训班，邀请专家围绕职教20条具体要求，职业院校教师专业发展、专业教学与“三教改革”等方面开展专题讲座，提高职业院校新教师的职业教育站位、专业建设能力和信息化教学水平。同时组织全市各中职学校公共基础课教师参加教育部组织的《中等职业学校10门公共基础课课程标准》培训，组织中职学校语文、历史、思想政治等三科共64人参加浙江省中职三科教材课程标准培训。</w:t>
      </w:r>
    </w:p>
    <w:p>
      <w:pPr>
        <w:pStyle w:val="2"/>
        <w:rPr>
          <w:rFonts w:hint="eastAsia"/>
        </w:rPr>
      </w:pPr>
      <w:bookmarkStart w:id="71" w:name="_Toc26730"/>
      <w:bookmarkStart w:id="72" w:name="_Toc28772"/>
      <w:bookmarkStart w:id="73" w:name="_Toc2844"/>
      <w:bookmarkStart w:id="74" w:name="_Toc2067"/>
      <w:bookmarkStart w:id="75" w:name="_Toc17792"/>
      <w:bookmarkStart w:id="76" w:name="_Toc29011"/>
      <w:r>
        <w:rPr>
          <w:rFonts w:hint="eastAsia" w:ascii="Arial" w:hAnsi="Arial" w:eastAsia="楷体" w:cs="Times New Roman"/>
          <w:b w:val="0"/>
          <w:kern w:val="2"/>
          <w:sz w:val="32"/>
          <w:szCs w:val="22"/>
          <w:lang w:val="en-US" w:eastAsia="zh-CN" w:bidi="ar-SA"/>
        </w:rPr>
        <w:t>4.</w:t>
      </w:r>
      <w:r>
        <w:rPr>
          <w:rFonts w:hint="eastAsia"/>
        </w:rPr>
        <w:t>校企合作</w:t>
      </w:r>
      <w:bookmarkEnd w:id="71"/>
      <w:bookmarkEnd w:id="72"/>
      <w:bookmarkEnd w:id="73"/>
      <w:bookmarkEnd w:id="74"/>
      <w:bookmarkEnd w:id="75"/>
      <w:bookmarkEnd w:id="76"/>
    </w:p>
    <w:p>
      <w:pPr>
        <w:pStyle w:val="3"/>
        <w:rPr>
          <w:rFonts w:hint="eastAsia"/>
          <w:lang w:val="en-US" w:eastAsia="zh-CN"/>
        </w:rPr>
      </w:pPr>
      <w:bookmarkStart w:id="77" w:name="_Toc13925"/>
      <w:bookmarkStart w:id="78" w:name="_Toc8199"/>
      <w:bookmarkStart w:id="79" w:name="_Toc19844"/>
      <w:bookmarkStart w:id="80" w:name="_Toc19222"/>
      <w:bookmarkStart w:id="81" w:name="_Toc21489"/>
      <w:bookmarkStart w:id="82" w:name="_Toc20323"/>
      <w:r>
        <w:rPr>
          <w:rFonts w:hint="eastAsia"/>
          <w:lang w:val="en-US" w:eastAsia="zh-CN"/>
        </w:rPr>
        <w:t>4.1 校企合作开展情况和效果</w:t>
      </w:r>
      <w:bookmarkEnd w:id="77"/>
      <w:bookmarkEnd w:id="78"/>
      <w:bookmarkEnd w:id="79"/>
      <w:bookmarkEnd w:id="80"/>
      <w:bookmarkEnd w:id="81"/>
      <w:bookmarkEnd w:id="82"/>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积极开展校企合作，大力推广红五环“五共”产教融合模式。全市11所中职学校先后与省内外586家企业建立深度合作关系，并与171家企业开展现代学徒制试点，涉及52个专业布点，参与学生6270人。积极推进校企合作共同体建设，衢州市工程技术学校《机电专业人才培养校企合作共同体》和龙游县职业技术学校《特种纸产业园校企合作共同体》成功立项为2020年浙江省中职教育校企合作共同体建设项目。职业教育活动周期间，以“企业导师进校园”和“学校教师进企业”的形式开展职业院校“双进工程”，30余位大师走进校园，120余名教师进入企业，挂牌授予教师企业服务站3家。拟定《衢州市人民政府办公室关于深化产教融合的实施意见》，牵引产教融合共生发展，激发企业参与职业教育积极性。借力浙江省“五个一批”产教融合项目申报和培育，加大企业主动参与校企合作的意愿。2020年共获省“五个一批”产教融合项目16个，其中7个省首批产教融合试点企业、1个省产教融合联盟、1个省产教融合示范基地、7个省产教融合工程项目，其中红五环集团股份有限公司、仙鹤纸业被省发展改革委推荐申报国家级产教融合型企业试点。10月份推荐11家企业申报第二批省级产教融合型试点企业。</w:t>
      </w:r>
    </w:p>
    <w:p>
      <w:pPr>
        <w:pStyle w:val="3"/>
        <w:rPr>
          <w:rFonts w:hint="eastAsia"/>
          <w:lang w:val="en-US" w:eastAsia="zh-CN"/>
        </w:rPr>
      </w:pPr>
      <w:bookmarkStart w:id="83" w:name="_Toc2796"/>
      <w:bookmarkStart w:id="84" w:name="_Toc30431"/>
      <w:bookmarkStart w:id="85" w:name="_Toc26221"/>
      <w:bookmarkStart w:id="86" w:name="_Toc28685"/>
      <w:bookmarkStart w:id="87" w:name="_Toc16748"/>
      <w:bookmarkStart w:id="88" w:name="_Toc5913"/>
      <w:r>
        <w:rPr>
          <w:rFonts w:hint="eastAsia"/>
          <w:lang w:val="en-US" w:eastAsia="zh-CN"/>
        </w:rPr>
        <w:t>4.2 学生实习情况</w:t>
      </w:r>
      <w:bookmarkEnd w:id="83"/>
      <w:bookmarkEnd w:id="84"/>
      <w:bookmarkEnd w:id="85"/>
      <w:bookmarkEnd w:id="86"/>
      <w:bookmarkEnd w:id="87"/>
      <w:bookmarkEnd w:id="88"/>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根据教育部等五部门联合下发的《职业学校学生实习管理规定》精神，严格执行顶岗实习管理工作，制定了顶岗实习教学计划和各项规章制度，从联系考察、签订协议、安全教育、过程管理、实习鉴定、优生评选等切实提升学生实习的实效性。</w:t>
      </w:r>
    </w:p>
    <w:p>
      <w:pPr>
        <w:pStyle w:val="3"/>
        <w:rPr>
          <w:rFonts w:hint="eastAsia"/>
          <w:lang w:val="en-US" w:eastAsia="zh-CN"/>
        </w:rPr>
      </w:pPr>
      <w:bookmarkStart w:id="89" w:name="_Toc29571"/>
      <w:bookmarkStart w:id="90" w:name="_Toc10880"/>
      <w:bookmarkStart w:id="91" w:name="_Toc823"/>
      <w:bookmarkStart w:id="92" w:name="_Toc17443"/>
      <w:bookmarkStart w:id="93" w:name="_Toc32066"/>
      <w:bookmarkStart w:id="94" w:name="_Toc28825"/>
      <w:r>
        <w:rPr>
          <w:rFonts w:hint="eastAsia"/>
          <w:lang w:val="en-US" w:eastAsia="zh-CN"/>
        </w:rPr>
        <w:t>4.3 集团化办学情况</w:t>
      </w:r>
      <w:bookmarkEnd w:id="89"/>
      <w:bookmarkEnd w:id="90"/>
      <w:bookmarkEnd w:id="91"/>
      <w:bookmarkEnd w:id="92"/>
      <w:bookmarkEnd w:id="93"/>
      <w:bookmarkEnd w:id="94"/>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大力扶持示范性职业教育集团建设，引导职业院校、行业企业、社会组织、政府等多方力量共同参与职业教育，实现资源共享、优势互补，推动我市职业教育多元主体协同发展。全市共有职业教育集团9个，其中由浙江省衢州理工学校牵头负责的“衢州市衢江区职业教育集团”被评为“浙江省示范性职教集团”。集团由4所中等职业学校（2020年新增台州市椒江区职业中专和绵阳市平武县高级职业中学）、6所本专科高等院校（2020年新增金华技师学院）、 4个行业协会、18家企业（2020年新增浙江中财管道衍生产品有限公司、好梦来家纺有限公司、衢州灵萃电子商务有限公司）、2家科研机构组成。为纵深推进衢州市职业教育“五统筹”改革，提升职业教育服务地方经济发展水平，围绕衢州市区域发展规划和产业结构特点，由衢州职业技术学院牵头的衢州市职业教育集团正在积极筹建中。以集团化办学为抓手，深入推进职业教育与当地产业深度融合，助力城市能级提升，加快建设“活力新衢州、美丽大花园”，打响衢州职业教育品牌，推动衢州职业教育事业高质量发展。</w:t>
      </w:r>
    </w:p>
    <w:p>
      <w:pPr>
        <w:pStyle w:val="2"/>
        <w:rPr>
          <w:rFonts w:ascii="Times New Roman" w:hAnsi="Times New Roman" w:eastAsia="仿宋_GB2312"/>
          <w:sz w:val="32"/>
          <w:szCs w:val="32"/>
        </w:rPr>
      </w:pPr>
      <w:bookmarkStart w:id="95" w:name="_Toc7233"/>
      <w:bookmarkStart w:id="96" w:name="_Toc13392"/>
      <w:bookmarkStart w:id="97" w:name="_Toc9957"/>
      <w:bookmarkStart w:id="98" w:name="_Toc31310"/>
      <w:r>
        <w:rPr>
          <w:rFonts w:hint="eastAsia" w:ascii="Arial" w:hAnsi="Arial" w:eastAsia="楷体" w:cs="Times New Roman"/>
          <w:b w:val="0"/>
          <w:kern w:val="2"/>
          <w:sz w:val="32"/>
          <w:szCs w:val="22"/>
          <w:lang w:val="en-US" w:eastAsia="zh-CN" w:bidi="ar-SA"/>
        </w:rPr>
        <w:t>5.</w:t>
      </w:r>
      <w:r>
        <w:rPr>
          <w:rStyle w:val="21"/>
          <w:rFonts w:hint="eastAsia"/>
        </w:rPr>
        <w:t>社会贡献</w:t>
      </w:r>
      <w:bookmarkEnd w:id="95"/>
      <w:bookmarkEnd w:id="96"/>
      <w:bookmarkEnd w:id="97"/>
      <w:bookmarkEnd w:id="98"/>
    </w:p>
    <w:p>
      <w:pPr>
        <w:pStyle w:val="3"/>
        <w:rPr>
          <w:rFonts w:hint="eastAsia"/>
          <w:lang w:val="en-US" w:eastAsia="zh-CN"/>
        </w:rPr>
      </w:pPr>
      <w:bookmarkStart w:id="99" w:name="_Toc23946"/>
      <w:bookmarkStart w:id="100" w:name="_Toc21700"/>
      <w:bookmarkStart w:id="101" w:name="_Toc27568"/>
      <w:bookmarkStart w:id="102" w:name="_Toc7684"/>
      <w:bookmarkStart w:id="103" w:name="_Toc26183"/>
      <w:bookmarkStart w:id="104" w:name="_Toc4901"/>
      <w:r>
        <w:rPr>
          <w:rFonts w:hint="eastAsia"/>
          <w:lang w:val="en-US" w:eastAsia="zh-CN"/>
        </w:rPr>
        <w:t>5.1 技术技能人才培养</w:t>
      </w:r>
      <w:bookmarkEnd w:id="99"/>
      <w:bookmarkEnd w:id="100"/>
      <w:bookmarkEnd w:id="101"/>
      <w:bookmarkEnd w:id="102"/>
      <w:bookmarkEnd w:id="103"/>
      <w:bookmarkEnd w:id="104"/>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2020年全市常驻人口226.42万人，中职学校在校生数27782人，为社会输送毕业生8143人，全市全年培养（招生）家政服务学生1761人，培训家政服务人才5521人，为本市域常住人口0.244%。同时各学校发挥专业优势，通过多途径与企事业单位开展校企合作，为当地培养了“出得去、用得上”的新型职业农民、农民工、企业职工及退役士兵培训人次达29.21万人次，涉及工种有乡村旅游、酒店服务、电子商务、电工、钳工、养老护理、中式面点、月嫂、安全生产培训、初级服装制作等，有力助推了地方经济社会发展。</w:t>
      </w:r>
    </w:p>
    <w:p>
      <w:pPr>
        <w:pStyle w:val="3"/>
        <w:rPr>
          <w:rFonts w:hint="eastAsia"/>
          <w:lang w:val="en-US" w:eastAsia="zh-CN"/>
        </w:rPr>
      </w:pPr>
      <w:bookmarkStart w:id="105" w:name="_Toc17887"/>
      <w:bookmarkStart w:id="106" w:name="_Toc11245"/>
      <w:bookmarkStart w:id="107" w:name="_Toc13149"/>
      <w:bookmarkStart w:id="108" w:name="_Toc29577"/>
      <w:bookmarkStart w:id="109" w:name="_Toc14371"/>
      <w:bookmarkStart w:id="110" w:name="_Toc31997"/>
      <w:r>
        <w:rPr>
          <w:rFonts w:hint="eastAsia"/>
          <w:lang w:val="en-US" w:eastAsia="zh-CN"/>
        </w:rPr>
        <w:t>5.2 社会服务</w:t>
      </w:r>
      <w:bookmarkEnd w:id="105"/>
      <w:bookmarkEnd w:id="106"/>
      <w:bookmarkEnd w:id="107"/>
      <w:bookmarkEnd w:id="108"/>
      <w:bookmarkEnd w:id="109"/>
      <w:bookmarkEnd w:id="110"/>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围绕市委市政府中心工作和社会民生事业，依托产业发展，紧贴国家乡村振兴战略，谋划开展各类技能培训项目。如依托各级乡村振兴学院开展以“衢州有礼”为主题的“美丽乡村小吃”“美丽乡村农家菜”“精品农家乐民宿”“金牌保姆”等美丽乡村系列培训项目；围绕新兴产业（新材料、新能源、先进装备制造业）和智能制造、幸福产业、现代服务业等产业，开展企业员工岗位技能提升培训等。2020年全市教育系统成人非学历培训共计47.49万人次，其中新型职业农民培训7.79万人次，农民工培训15.90万人次，企业职工培训4.98万人次，退役士兵培训5201人次，家政培训5.34万人次。成人中等教育双证制培训3001人，成人高等教育毕业生数1553人。2020年全市新增老年大学（学堂）8所，依托市老年开放大学、老年电视大学、老年大学（学堂）等老年教育机构，广泛开展各类老年教育培训11.74万人次，新增老年学位3.38万个。</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借力职业院校、企业优质师资组建金蓝领技术服务队、校企合作服务队、家政服务队、创业创新技术服务队等，为中小型企业解决各类“难点”“痛点”“堵点”。如衢州中专金蓝领技术服务队为衢州当地企业（如浙江巨化装备制造、浙江原理集团、仙鹤股份、红五环集团等）解决技术难题和技术改造革新十余次，申请实用性专利十多项，申报知识产权近十项,被誉为中小微企业的技术保姆。</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将南孔文化“坚守精神”“社会责任感”以及“德让思想”融入现代职业精神，培育南孔文化德育品牌项目，培养有大国风范、浙江特色、衢州特点的现代工匠。龙游县职业技术学校《建构大美德育，丰润学生心灵——美德教育助力学生成长的实践探索》、衢州市工程技术学校《文化润心  立德精技——“南孔有礼”行动，育“三有三创”新时代工匠》入选浙江省职业教育改革优秀典型案例。</w:t>
      </w:r>
    </w:p>
    <w:p>
      <w:pPr>
        <w:pStyle w:val="3"/>
        <w:rPr>
          <w:rFonts w:hint="eastAsia"/>
          <w:lang w:val="en-US" w:eastAsia="zh-CN"/>
        </w:rPr>
      </w:pPr>
      <w:bookmarkStart w:id="111" w:name="_Toc9268"/>
      <w:bookmarkStart w:id="112" w:name="_Toc29786"/>
      <w:bookmarkStart w:id="113" w:name="_Toc16796"/>
      <w:bookmarkStart w:id="114" w:name="_Toc7129"/>
      <w:bookmarkStart w:id="115" w:name="_Toc26507"/>
      <w:bookmarkStart w:id="116" w:name="_Toc22095"/>
      <w:r>
        <w:rPr>
          <w:rFonts w:hint="eastAsia"/>
          <w:lang w:val="en-US" w:eastAsia="zh-CN"/>
        </w:rPr>
        <w:t>5.3 对口支援</w:t>
      </w:r>
      <w:bookmarkEnd w:id="111"/>
      <w:bookmarkEnd w:id="112"/>
      <w:bookmarkEnd w:id="113"/>
      <w:bookmarkEnd w:id="114"/>
      <w:bookmarkEnd w:id="115"/>
      <w:bookmarkEnd w:id="116"/>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深入贯彻党中央扶贫攻坚决策，全面落实职业教育东西部协作行动计划。依托衢州市工程技术学校办好“新疆内职班”教育。自2012年9月举办以来，该校已累计招收622名新疆各族学生，2020年有新疆班毕业生87名，其中13名顺利升入高校就读。目前新疆班在籍学生数226人，其中2020年招收77人。学校专门成立新疆学部，以“学在衢州”“乐在衢州”为载体，出台一系列管理规定，为办好新疆班提供保障。学校为每位新疆班学生建立个人成长档案，实行分级管理。利用晚自修、节假日时间组织学生观看爱国教育片、外出社会实践，开展爱国主义教育。组建足球社、吉他社等社团，培养他们的兴趣爱好，促使学生适应衢州的学习生活。</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shd w:val="clear" w:color="auto" w:fill="FFFFFF"/>
          <w:lang w:val="en-US" w:eastAsia="zh-CN"/>
        </w:rPr>
        <w:t>积极扶持中西部职业教育的发展，做好“浙-阿职业教育联盟”工作和“浙-川”结对帮扶工作。全市中职学校共招收建档立卡家庭学生247人，推荐东部就业164人，均安排到市内规模企业实习，人均月收入</w:t>
      </w:r>
      <w:r>
        <w:rPr>
          <w:rFonts w:hint="default" w:ascii="仿宋_GB2312" w:hAnsi="仿宋_GB2312" w:eastAsia="仿宋_GB2312" w:cs="仿宋_GB2312"/>
          <w:sz w:val="32"/>
          <w:szCs w:val="32"/>
          <w:shd w:val="clear" w:color="auto" w:fill="FFFFFF"/>
          <w:lang w:val="en-US" w:eastAsia="zh-CN"/>
        </w:rPr>
        <w:t>近4000元</w:t>
      </w:r>
      <w:r>
        <w:rPr>
          <w:rFonts w:hint="eastAsia" w:ascii="仿宋_GB2312" w:hAnsi="仿宋_GB2312" w:eastAsia="仿宋_GB2312" w:cs="仿宋_GB2312"/>
          <w:sz w:val="32"/>
          <w:szCs w:val="32"/>
          <w:shd w:val="clear" w:color="auto" w:fill="FFFFFF"/>
          <w:lang w:val="en-US" w:eastAsia="zh-CN"/>
        </w:rPr>
        <w:t>，基本实现贫困家庭</w:t>
      </w:r>
      <w:r>
        <w:rPr>
          <w:rFonts w:hint="default"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t>脱</w:t>
      </w:r>
      <w:r>
        <w:rPr>
          <w:rFonts w:hint="default" w:ascii="仿宋_GB2312" w:hAnsi="仿宋_GB2312" w:eastAsia="仿宋_GB2312" w:cs="仿宋_GB2312"/>
          <w:sz w:val="32"/>
          <w:szCs w:val="32"/>
          <w:shd w:val="clear" w:color="auto" w:fill="FFFFFF"/>
          <w:lang w:val="en-US" w:eastAsia="zh-CN"/>
        </w:rPr>
        <w:t>帽”</w:t>
      </w:r>
      <w:r>
        <w:rPr>
          <w:rFonts w:hint="eastAsia" w:ascii="仿宋_GB2312" w:hAnsi="仿宋_GB2312" w:eastAsia="仿宋_GB2312" w:cs="仿宋_GB2312"/>
          <w:sz w:val="32"/>
          <w:szCs w:val="32"/>
          <w:shd w:val="clear" w:color="auto" w:fill="FFFFFF"/>
          <w:lang w:val="en-US" w:eastAsia="zh-CN"/>
        </w:rPr>
        <w:t xml:space="preserve">。 2020年衢州市分批次选派了6名中职学校干部到四川省对接学校挂职，选派了9名优秀教师到四川和新疆阿克苏地区中职学校支教，支教时间5-18个月不等。同时，我市分阶段分批次选派了20余名优秀教师到受援学校进行经验交流。以钉钉直播的形式，为新疆乌什职高教师开展《抓教学常规 提教学质量》 《中职专业课“非常6+1”教学模式的实践》等专题讲座6期，培训教师500余人次。充分发挥东部先进职教理念的引领示范作用，积极辅助受援地办好特色职业教育，在示范校建设、学校管理、专业建设、教育教学改革、人才培养等方面有针对性开展团队式、滚动式、全方位、全过程的指导。助推新疆、四川职业教育跃上新台阶。         </w:t>
      </w:r>
      <w:r>
        <w:rPr>
          <w:rFonts w:hint="eastAsia" w:ascii="Times New Roman" w:hAnsi="Times New Roman" w:eastAsia="仿宋_GB2312" w:cs="Times New Roman"/>
          <w:sz w:val="32"/>
          <w:szCs w:val="32"/>
          <w:lang w:val="en-US" w:eastAsia="zh-CN"/>
        </w:rPr>
        <w:t xml:space="preserve">          </w:t>
      </w:r>
    </w:p>
    <w:p>
      <w:pPr>
        <w:pStyle w:val="3"/>
        <w:rPr>
          <w:rFonts w:hint="eastAsia"/>
          <w:lang w:val="en-US" w:eastAsia="zh-CN"/>
        </w:rPr>
      </w:pPr>
      <w:bookmarkStart w:id="117" w:name="_Toc4471"/>
      <w:bookmarkStart w:id="118" w:name="_Toc15496"/>
      <w:bookmarkStart w:id="119" w:name="_Toc26759"/>
      <w:bookmarkStart w:id="120" w:name="_Toc32760"/>
      <w:bookmarkStart w:id="121" w:name="_Toc10744"/>
      <w:bookmarkStart w:id="122" w:name="_Toc25698"/>
      <w:r>
        <w:rPr>
          <w:rFonts w:hint="eastAsia"/>
          <w:lang w:val="en-US" w:eastAsia="zh-CN"/>
        </w:rPr>
        <w:t>5.4服务抗疫</w:t>
      </w:r>
      <w:bookmarkEnd w:id="117"/>
      <w:bookmarkEnd w:id="118"/>
      <w:bookmarkEnd w:id="119"/>
      <w:bookmarkEnd w:id="120"/>
      <w:bookmarkEnd w:id="121"/>
      <w:bookmarkEnd w:id="122"/>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2020年初疫情发生以来，我市各中职学校严格开展疫情防控工作，强化风险担当，压实疫情防控责任，服务抗疫工作取得显著成效。</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开展战役助学服务。疫情期间，连续编发6期《衢州市职业教育改革简报（战疫助学专版）》设置“本期聚焦”“学校动态”“经验分享”“教学反思”“学习成果”“课例参考”等栏目全程全方位指导帮助学校师生有效开展在线教学。通过“三衢教育”公众号发布《停课不停学，学科指导建议助你行（职教篇）》《疫情防控与高考延期背景下职业学校返校复课后教学衔接的指导建议》，指导职业学校、师生家长有效开展线上教学，做好“卫生防疫教育和心理辅导”“线上线下教学衔接”等工作。疫情期间全市共有1165名中职教师参与线上教学，服务学生22037人，涉及线上课程资源846个，全市共有43个专业教学资源入选省级“停课不停学”资源征集项目，居全省前列。</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助力企业复工复产。疫情期间，衢州市各级教育部门积极行动，主动对接，指导学校在做好疫情安全防范的前提下，组织学生进企业顶岗实习，为复工复产贡献职教力量。截至2020年5月，全市11所中职学校的2690名学生投身复工复产的大潮之中，服务企业462家，成为服务地方经济的“生力军”。</w:t>
      </w:r>
    </w:p>
    <w:p>
      <w:pPr>
        <w:pStyle w:val="2"/>
        <w:rPr>
          <w:rFonts w:hint="eastAsia" w:ascii="黑体" w:hAnsi="黑体" w:eastAsia="黑体" w:cs="黑体"/>
          <w:sz w:val="32"/>
          <w:szCs w:val="32"/>
          <w:shd w:val="clear" w:color="auto" w:fill="FFFFFF"/>
        </w:rPr>
      </w:pPr>
      <w:bookmarkStart w:id="123" w:name="_Toc25491"/>
      <w:bookmarkStart w:id="124" w:name="_Toc13993"/>
      <w:bookmarkStart w:id="125" w:name="_Toc24186"/>
      <w:bookmarkStart w:id="126" w:name="_Toc29389"/>
      <w:r>
        <w:rPr>
          <w:rFonts w:hint="eastAsia" w:ascii="Arial" w:hAnsi="Arial" w:eastAsia="楷体" w:cs="Times New Roman"/>
          <w:b w:val="0"/>
          <w:kern w:val="2"/>
          <w:sz w:val="32"/>
          <w:szCs w:val="22"/>
          <w:lang w:val="en-US" w:eastAsia="zh-CN" w:bidi="ar-SA"/>
        </w:rPr>
        <w:t>6.</w:t>
      </w:r>
      <w:r>
        <w:rPr>
          <w:rStyle w:val="21"/>
          <w:rFonts w:hint="eastAsia"/>
        </w:rPr>
        <w:t>政府履责</w:t>
      </w:r>
      <w:bookmarkEnd w:id="123"/>
      <w:bookmarkEnd w:id="124"/>
      <w:bookmarkEnd w:id="125"/>
      <w:bookmarkEnd w:id="126"/>
    </w:p>
    <w:p>
      <w:pPr>
        <w:pStyle w:val="3"/>
        <w:rPr>
          <w:rFonts w:hint="eastAsia"/>
          <w:lang w:val="en-US" w:eastAsia="zh-CN"/>
        </w:rPr>
      </w:pPr>
      <w:bookmarkStart w:id="127" w:name="_Toc28355"/>
      <w:bookmarkStart w:id="128" w:name="_Toc7694"/>
      <w:bookmarkStart w:id="129" w:name="_Toc23049"/>
      <w:bookmarkStart w:id="130" w:name="_Toc8733"/>
      <w:bookmarkStart w:id="131" w:name="_Toc19287"/>
      <w:bookmarkStart w:id="132" w:name="_Toc24241"/>
      <w:r>
        <w:rPr>
          <w:rFonts w:hint="eastAsia"/>
          <w:lang w:val="en-US" w:eastAsia="zh-CN"/>
        </w:rPr>
        <w:t>6.1 经费</w:t>
      </w:r>
      <w:bookmarkEnd w:id="127"/>
      <w:bookmarkEnd w:id="128"/>
      <w:bookmarkEnd w:id="129"/>
      <w:bookmarkEnd w:id="130"/>
      <w:bookmarkEnd w:id="131"/>
      <w:bookmarkEnd w:id="132"/>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市财政局、市教育局联合出台了《关于市级中等职业学校生均公用经费标准的通知》（衢财教〔2016〕26号）文件，规定市级公办全日制中等职业学校生均公用经费定额标准为2500元/生，且根据国家政策、物价水平变动、地方财力和中等职业教育发展情况动态调整。2020年全市基建项目建设中投入35542.91万元，实训设施设备投入3058.51万元。</w:t>
      </w:r>
    </w:p>
    <w:p>
      <w:pPr>
        <w:pStyle w:val="3"/>
        <w:rPr>
          <w:rFonts w:hint="eastAsia"/>
          <w:lang w:val="en-US" w:eastAsia="zh-CN"/>
        </w:rPr>
      </w:pPr>
      <w:bookmarkStart w:id="133" w:name="_Toc6544"/>
      <w:bookmarkStart w:id="134" w:name="_Toc12281"/>
      <w:bookmarkStart w:id="135" w:name="_Toc18640"/>
      <w:bookmarkStart w:id="136" w:name="_Toc30255"/>
      <w:bookmarkStart w:id="137" w:name="_Toc32058"/>
      <w:bookmarkStart w:id="138" w:name="_Toc25721"/>
      <w:r>
        <w:rPr>
          <w:rFonts w:hint="eastAsia"/>
          <w:lang w:val="en-US" w:eastAsia="zh-CN"/>
        </w:rPr>
        <w:t>6.2 政策措施</w:t>
      </w:r>
      <w:bookmarkEnd w:id="133"/>
      <w:bookmarkEnd w:id="134"/>
      <w:bookmarkEnd w:id="135"/>
      <w:bookmarkEnd w:id="136"/>
      <w:bookmarkEnd w:id="137"/>
      <w:bookmarkEnd w:id="138"/>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衢州市人民政府下发了《衢州市职业教育改革实施方案》，大力推进衢州市职业教育“五统筹”职教改革。出台职业教育改革推进机制、领导小组工作规则和实施事项清单，并聘请原浙江省教科院院长方展画领衔的专业团队编制《衢州市职业教育发展规划（2020-2025）》，打造具有衢州区域特色的职业教育标杆。拟定“五统筹”改革实施意见、提质培优行动计划，专业设置管理实施细则、专业建设标准等一系列文件，推进职业教育改革的思路更加清晰。</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统筹编制全市中职学校招生计划，实现所有中职学校全市域范围招生。2020年在按照普职比大体相当、“应招尽招”的原则，合理编制招生计划，允许各中职学校强优、扶持专业实施跨县（市、区）招生。首次开展“相约云端 遇见最适合自己的教育”2020年衢州市中职云上招生咨询为民服务活动，半天活动点击量达10.56万人次。市区范围中职志愿按“学校+专业+学制”填报，录取方式上实行“分数优先，平行志愿”，实行普职同台同步录取。</w:t>
      </w:r>
    </w:p>
    <w:p>
      <w:pPr>
        <w:pStyle w:val="2"/>
        <w:rPr>
          <w:rFonts w:hint="eastAsia"/>
        </w:rPr>
      </w:pPr>
      <w:bookmarkStart w:id="139" w:name="_Toc9664"/>
      <w:bookmarkStart w:id="140" w:name="_Toc31564"/>
      <w:bookmarkStart w:id="141" w:name="_Toc26805"/>
      <w:bookmarkStart w:id="142" w:name="_Toc31860"/>
      <w:bookmarkStart w:id="143" w:name="_Toc11966"/>
      <w:bookmarkStart w:id="144" w:name="_Toc2363"/>
      <w:bookmarkStart w:id="145" w:name="_Toc24809"/>
      <w:r>
        <w:rPr>
          <w:rFonts w:hint="eastAsia" w:ascii="Arial" w:hAnsi="Arial" w:eastAsia="楷体" w:cs="Times New Roman"/>
          <w:b w:val="0"/>
          <w:kern w:val="2"/>
          <w:sz w:val="32"/>
          <w:szCs w:val="22"/>
          <w:lang w:val="en-US" w:eastAsia="zh-CN" w:bidi="ar-SA"/>
        </w:rPr>
        <w:t>7.</w:t>
      </w:r>
      <w:r>
        <w:rPr>
          <w:rFonts w:hint="eastAsia"/>
        </w:rPr>
        <w:t>特色创新</w:t>
      </w:r>
      <w:bookmarkEnd w:id="139"/>
      <w:bookmarkEnd w:id="140"/>
      <w:bookmarkEnd w:id="141"/>
      <w:bookmarkEnd w:id="142"/>
      <w:bookmarkEnd w:id="143"/>
      <w:bookmarkEnd w:id="144"/>
      <w:bookmarkEnd w:id="145"/>
    </w:p>
    <w:p>
      <w:pPr>
        <w:pStyle w:val="3"/>
        <w:ind w:left="0" w:leftChars="0" w:firstLine="0" w:firstLineChars="0"/>
        <w:jc w:val="center"/>
        <w:rPr>
          <w:rFonts w:hint="eastAsia" w:ascii="方正小标宋简体" w:hAnsi="方正小标宋简体" w:eastAsia="方正小标宋简体" w:cs="方正小标宋简体"/>
        </w:rPr>
      </w:pPr>
      <w:bookmarkStart w:id="146" w:name="_Toc10408"/>
      <w:bookmarkStart w:id="147" w:name="_Toc12256"/>
      <w:bookmarkStart w:id="148" w:name="_Toc32059"/>
      <w:bookmarkStart w:id="149" w:name="_Toc22859"/>
      <w:bookmarkStart w:id="150" w:name="_Toc29102"/>
      <w:bookmarkStart w:id="151" w:name="_Toc27634"/>
      <w:bookmarkStart w:id="152" w:name="_Toc10421"/>
      <w:r>
        <w:rPr>
          <w:rFonts w:hint="eastAsia" w:ascii="方正小标宋简体" w:hAnsi="方正小标宋简体" w:eastAsia="方正小标宋简体" w:cs="方正小标宋简体"/>
          <w:lang w:val="en-US" w:eastAsia="zh-CN"/>
        </w:rPr>
        <w:t>案例一:衢州市推进“五统筹”改革 激发职业教育新活力</w:t>
      </w:r>
      <w:bookmarkEnd w:id="146"/>
      <w:bookmarkEnd w:id="147"/>
      <w:bookmarkEnd w:id="148"/>
      <w:bookmarkEnd w:id="149"/>
      <w:bookmarkEnd w:id="150"/>
      <w:bookmarkEnd w:id="151"/>
      <w:bookmarkEnd w:id="152"/>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2019年以来，衢州市抢抓职业教育发展先机，探索推进</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专业、招生、实训、师资、就业“五统筹”改革，通过中职学校更名、专业调整、校企融合等“组合拳”，推动布局更</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优化、发展更集群、产教更融合、服务更给力，有效激发职业教育新活力。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bookmarkStart w:id="153" w:name="_Toc11077"/>
      <w:bookmarkStart w:id="154" w:name="_Toc17464"/>
      <w:bookmarkStart w:id="155" w:name="_Toc9451"/>
      <w:bookmarkStart w:id="156" w:name="_Toc13427"/>
      <w:bookmarkStart w:id="157" w:name="_Toc566"/>
      <w:bookmarkStart w:id="158" w:name="_Toc11405"/>
      <w:bookmarkStart w:id="159" w:name="_Toc9903"/>
      <w:r>
        <w:rPr>
          <w:rStyle w:val="20"/>
          <w:rFonts w:hint="eastAsia"/>
        </w:rPr>
        <w:t>一、统筹专业，凸显品牌效应。</w:t>
      </w:r>
      <w:bookmarkEnd w:id="153"/>
      <w:bookmarkEnd w:id="154"/>
      <w:bookmarkEnd w:id="155"/>
      <w:bookmarkEnd w:id="156"/>
      <w:bookmarkEnd w:id="157"/>
      <w:bookmarkEnd w:id="158"/>
      <w:bookmarkEnd w:id="159"/>
      <w:r>
        <w:rPr>
          <w:rFonts w:hint="eastAsia" w:ascii="楷体" w:hAnsi="楷体" w:eastAsia="楷体" w:cs="楷体"/>
          <w:b/>
          <w:bCs/>
          <w:color w:val="000000"/>
          <w:sz w:val="32"/>
          <w:szCs w:val="32"/>
        </w:rPr>
        <w:t>一是统筹校名。</w:t>
      </w:r>
      <w:r>
        <w:rPr>
          <w:rFonts w:hint="eastAsia" w:ascii="仿宋_GB2312" w:hAnsi="仿宋_GB2312" w:eastAsia="仿宋_GB2312" w:cs="仿宋_GB2312"/>
          <w:color w:val="000000"/>
          <w:sz w:val="32"/>
          <w:szCs w:val="32"/>
        </w:rPr>
        <w:t>对全市11所中职学校实行统筹命名，并通过增挂牌的方式扩大影响力。如江山中等专业学校更名为浙江省衢州第二中等专业学校，并增挂衢州园艺学校、衢州数字消防学校牌子。开化县职业教育中心更名为浙江省衢州旅游学校，并增挂衢州根艺学校牌子，与浙江省旅游学校签订合作办学协议。</w:t>
      </w:r>
      <w:r>
        <w:rPr>
          <w:rFonts w:hint="eastAsia" w:ascii="楷体" w:hAnsi="楷体" w:eastAsia="楷体" w:cs="楷体"/>
          <w:b/>
          <w:bCs/>
          <w:color w:val="000000"/>
          <w:sz w:val="32"/>
          <w:szCs w:val="32"/>
        </w:rPr>
        <w:t>二</w:t>
      </w:r>
      <w:r>
        <w:rPr>
          <w:rFonts w:hint="eastAsia" w:ascii="楷体" w:hAnsi="楷体" w:eastAsia="楷体" w:cs="楷体"/>
          <w:b/>
          <w:bCs/>
          <w:color w:val="000000"/>
          <w:sz w:val="32"/>
          <w:szCs w:val="32"/>
          <w:lang w:eastAsia="zh-CN"/>
        </w:rPr>
        <w:t>是</w:t>
      </w:r>
      <w:r>
        <w:rPr>
          <w:rFonts w:hint="eastAsia" w:ascii="楷体" w:hAnsi="楷体" w:eastAsia="楷体" w:cs="楷体"/>
          <w:b/>
          <w:bCs/>
          <w:color w:val="000000"/>
          <w:sz w:val="32"/>
          <w:szCs w:val="32"/>
        </w:rPr>
        <w:t>统筹</w:t>
      </w:r>
      <w:r>
        <w:rPr>
          <w:rFonts w:hint="eastAsia" w:ascii="楷体" w:hAnsi="楷体" w:eastAsia="楷体" w:cs="楷体"/>
          <w:b/>
          <w:bCs/>
          <w:color w:val="000000"/>
          <w:sz w:val="32"/>
          <w:szCs w:val="32"/>
          <w:lang w:eastAsia="zh-CN"/>
        </w:rPr>
        <w:t>专业。</w:t>
      </w:r>
      <w:r>
        <w:rPr>
          <w:rFonts w:hint="eastAsia" w:ascii="仿宋_GB2312" w:hAnsi="仿宋_GB2312" w:eastAsia="仿宋_GB2312" w:cs="仿宋_GB2312"/>
          <w:color w:val="000000"/>
          <w:sz w:val="32"/>
          <w:szCs w:val="32"/>
        </w:rPr>
        <w:t>建立智能制造、财经商贸、信息技术、交通运输、文旅健康、现代农业等六大专业群，明确每所学校重点发展的专业集群。今年以来，经过2轮专业调整，新增电梯安装与维护、家政服务与管理等5个专业布点，全市中职学校由56个专业107个专业布点，调整为49个专业87个专业布点，并实施标准引导、动态管理。两年来，全市中职学校专业数削减17%，专业布点数削减23%。</w:t>
      </w:r>
      <w:r>
        <w:rPr>
          <w:rFonts w:hint="eastAsia" w:ascii="楷体" w:hAnsi="楷体" w:eastAsia="楷体" w:cs="楷体"/>
          <w:b/>
          <w:bCs/>
          <w:color w:val="000000"/>
          <w:sz w:val="32"/>
          <w:szCs w:val="32"/>
          <w:lang w:eastAsia="zh-CN"/>
        </w:rPr>
        <w:t>三是统一标准</w:t>
      </w:r>
      <w:r>
        <w:rPr>
          <w:rFonts w:hint="eastAsia" w:ascii="仿宋_GB2312" w:hAnsi="仿宋_GB2312" w:eastAsia="仿宋_GB2312" w:cs="仿宋_GB2312"/>
          <w:color w:val="000000"/>
          <w:sz w:val="32"/>
          <w:szCs w:val="32"/>
        </w:rPr>
        <w:t>。加大专业标准建设，拟定《衢州市职业教育专业教学标准研制方案》《衢州市中等职业学校专业教学标准编写框架》等文件，突出地方特色，首批出台了“制浆造纸工艺”“工业分析与检验”等8个专业教学标准（试行），全市12所中高职院校参与74个“1+X”证书试点。统一推行标准教学改革，年初疫情期间全市共有1165名中职教师参与线上教学，服务学生22037人，涉及线上课程资源846个，全市共有43个专业教学资源入选省级“停课不停学”资源征集项目，居全省前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bookmarkStart w:id="160" w:name="_Toc23523"/>
      <w:bookmarkStart w:id="161" w:name="_Toc29347"/>
      <w:bookmarkStart w:id="162" w:name="_Toc22977"/>
      <w:bookmarkStart w:id="163" w:name="_Toc808"/>
      <w:bookmarkStart w:id="164" w:name="_Toc9996"/>
      <w:bookmarkStart w:id="165" w:name="_Toc31147"/>
      <w:bookmarkStart w:id="166" w:name="_Toc18071"/>
      <w:r>
        <w:rPr>
          <w:rStyle w:val="20"/>
          <w:rFonts w:hint="eastAsia"/>
        </w:rPr>
        <w:t>二、统筹招生，增加就学选择。</w:t>
      </w:r>
      <w:bookmarkEnd w:id="160"/>
      <w:bookmarkEnd w:id="161"/>
      <w:bookmarkEnd w:id="162"/>
      <w:bookmarkEnd w:id="163"/>
      <w:bookmarkEnd w:id="164"/>
      <w:bookmarkEnd w:id="165"/>
      <w:bookmarkEnd w:id="166"/>
      <w:r>
        <w:rPr>
          <w:rFonts w:hint="eastAsia" w:ascii="楷体" w:hAnsi="楷体" w:eastAsia="楷体" w:cs="楷体"/>
          <w:b/>
          <w:bCs/>
          <w:color w:val="000000"/>
          <w:sz w:val="32"/>
          <w:szCs w:val="32"/>
        </w:rPr>
        <w:t>一是普职同步录取</w:t>
      </w:r>
      <w:r>
        <w:rPr>
          <w:rFonts w:hint="eastAsia" w:ascii="仿宋_GB2312" w:hAnsi="仿宋_GB2312" w:eastAsia="仿宋_GB2312" w:cs="仿宋_GB2312"/>
          <w:color w:val="000000"/>
          <w:sz w:val="32"/>
          <w:szCs w:val="32"/>
        </w:rPr>
        <w:t>。2020年，统筹全市初中毕业生生源、中职学校和技工院校、公办职校与民办职校、中职招生宣传等方面，分步实施招生，普职同步录取。按照普职比大体相当、“应招尽招”和扶持强优专业的原则，统一编制全市中职学校招生计划，同一平台发布招生资讯，同一平台同步录取。市区范围中职志愿按“学校+专业+学制”填报，录取方式实行“分数优先，平行志愿”。2020年，市区公办职校录取率大幅提升并一次性录满，民办职校两区（柯城区、衢江区）录取率翻番，吸引周边地市、省份1479名学生前来就读。</w:t>
      </w:r>
      <w:r>
        <w:rPr>
          <w:rFonts w:hint="eastAsia" w:ascii="楷体" w:hAnsi="楷体" w:eastAsia="楷体" w:cs="楷体"/>
          <w:b/>
          <w:bCs/>
          <w:color w:val="000000"/>
          <w:sz w:val="32"/>
          <w:szCs w:val="32"/>
        </w:rPr>
        <w:t>二是适度跨县域招生</w:t>
      </w:r>
      <w:r>
        <w:rPr>
          <w:rFonts w:hint="eastAsia" w:ascii="仿宋_GB2312" w:hAnsi="仿宋_GB2312" w:eastAsia="仿宋_GB2312" w:cs="仿宋_GB2312"/>
          <w:color w:val="000000"/>
          <w:sz w:val="32"/>
          <w:szCs w:val="32"/>
        </w:rPr>
        <w:t>。2020年，全市中职学校共招录学生10247人，其中相互跨县域招生1014人、市外招生798人、省外招生625人，其他县（市、区）中职学校在市本级的录取较上年均有所提升。</w:t>
      </w:r>
      <w:r>
        <w:rPr>
          <w:rFonts w:hint="eastAsia" w:ascii="楷体" w:hAnsi="楷体" w:eastAsia="楷体" w:cs="楷体"/>
          <w:b/>
          <w:bCs/>
          <w:color w:val="000000"/>
          <w:sz w:val="32"/>
          <w:szCs w:val="32"/>
        </w:rPr>
        <w:t>三是贯通中高职招生</w:t>
      </w:r>
      <w:r>
        <w:rPr>
          <w:rFonts w:hint="eastAsia" w:ascii="仿宋_GB2312" w:hAnsi="仿宋_GB2312" w:eastAsia="仿宋_GB2312" w:cs="仿宋_GB2312"/>
          <w:color w:val="000000"/>
          <w:sz w:val="32"/>
          <w:szCs w:val="32"/>
        </w:rPr>
        <w:t>。2020年，全市47个专业布点与全省18所高职学校开展中高职贯通培养，共招录1819人。衢州2所高校与中职学校贯通培养共招录615人，其中衢州中职学校招录453人，占73.7%。在招生工作中，给予家长、学生更加公平、更加充分的自主选择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bookmarkStart w:id="167" w:name="_Toc25726"/>
      <w:bookmarkStart w:id="168" w:name="_Toc5872"/>
      <w:bookmarkStart w:id="169" w:name="_Toc19950"/>
      <w:bookmarkStart w:id="170" w:name="_Toc18934"/>
      <w:bookmarkStart w:id="171" w:name="_Toc24573"/>
      <w:bookmarkStart w:id="172" w:name="_Toc20828"/>
      <w:bookmarkStart w:id="173" w:name="_Toc2953"/>
      <w:r>
        <w:rPr>
          <w:rStyle w:val="20"/>
          <w:rFonts w:hint="eastAsia"/>
        </w:rPr>
        <w:t>三、统筹实训，推进共建共享。</w:t>
      </w:r>
      <w:bookmarkEnd w:id="167"/>
      <w:bookmarkEnd w:id="168"/>
      <w:bookmarkEnd w:id="169"/>
      <w:bookmarkEnd w:id="170"/>
      <w:bookmarkEnd w:id="171"/>
      <w:bookmarkEnd w:id="172"/>
      <w:bookmarkEnd w:id="173"/>
      <w:r>
        <w:rPr>
          <w:rFonts w:hint="eastAsia" w:ascii="楷体" w:hAnsi="楷体" w:eastAsia="楷体" w:cs="楷体"/>
          <w:b/>
          <w:bCs/>
          <w:color w:val="000000"/>
          <w:sz w:val="32"/>
          <w:szCs w:val="32"/>
        </w:rPr>
        <w:t>一是共享实训资源。</w:t>
      </w:r>
      <w:r>
        <w:rPr>
          <w:rFonts w:hint="eastAsia" w:ascii="仿宋_GB2312" w:hAnsi="仿宋_GB2312" w:eastAsia="仿宋_GB2312" w:cs="仿宋_GB2312"/>
          <w:color w:val="000000"/>
          <w:sz w:val="32"/>
          <w:szCs w:val="32"/>
        </w:rPr>
        <w:t>按照“一盘棋”的思路，推动校区相近的学校就近就便共用共享实训资源，实现资源的节约集约利用。如衢职院和衢州中专利用校区相邻的优势，互通护理类和机电类实训资源，年共用量近6000人次。</w:t>
      </w:r>
      <w:r>
        <w:rPr>
          <w:rFonts w:hint="eastAsia" w:ascii="楷体" w:hAnsi="楷体" w:eastAsia="楷体" w:cs="楷体"/>
          <w:b/>
          <w:bCs/>
          <w:color w:val="000000"/>
          <w:sz w:val="32"/>
          <w:szCs w:val="32"/>
        </w:rPr>
        <w:t>二是强化政策支持</w:t>
      </w:r>
      <w:r>
        <w:rPr>
          <w:rFonts w:hint="eastAsia" w:ascii="仿宋_GB2312" w:hAnsi="仿宋_GB2312" w:eastAsia="仿宋_GB2312" w:cs="仿宋_GB2312"/>
          <w:color w:val="000000"/>
          <w:sz w:val="32"/>
          <w:szCs w:val="32"/>
        </w:rPr>
        <w:t>。拟定全市深化产教融合的实施意见、奖励办法等政策，激发企业参与职业教育积极性，推动校企共建实训基地近10家。倡导政企校行共研，借力行业协会，发挥优质企业资源，推行“工位教学”，实现社会实训资源的“循环利用”。</w:t>
      </w:r>
      <w:r>
        <w:rPr>
          <w:rFonts w:hint="eastAsia" w:ascii="楷体" w:hAnsi="楷体" w:eastAsia="楷体" w:cs="楷体"/>
          <w:b/>
          <w:bCs/>
          <w:color w:val="000000"/>
          <w:sz w:val="32"/>
          <w:szCs w:val="32"/>
        </w:rPr>
        <w:t>三是深化产教融合</w:t>
      </w:r>
      <w:r>
        <w:rPr>
          <w:rFonts w:hint="eastAsia" w:ascii="仿宋_GB2312" w:hAnsi="仿宋_GB2312" w:eastAsia="仿宋_GB2312" w:cs="仿宋_GB2312"/>
          <w:color w:val="000000"/>
          <w:sz w:val="32"/>
          <w:szCs w:val="32"/>
        </w:rPr>
        <w:t>。该市在一本（衢州学院）一高职（衢州职业技术学院）和11所中职学校的基础上，建有省首批产教融合试点企业7个、省产教融合联盟1个、省产教融合示范基地1个、省产教融合工程项目7个、蓝领典范引领校企合作项目40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bookmarkStart w:id="174" w:name="_Toc2280"/>
      <w:bookmarkStart w:id="175" w:name="_Toc15695"/>
      <w:bookmarkStart w:id="176" w:name="_Toc449"/>
      <w:bookmarkStart w:id="177" w:name="_Toc22202"/>
      <w:bookmarkStart w:id="178" w:name="_Toc3850"/>
      <w:bookmarkStart w:id="179" w:name="_Toc17622"/>
      <w:bookmarkStart w:id="180" w:name="_Toc14369"/>
      <w:r>
        <w:rPr>
          <w:rStyle w:val="20"/>
          <w:rFonts w:hint="eastAsia"/>
        </w:rPr>
        <w:t>四、统筹师资，激发队伍活力。</w:t>
      </w:r>
      <w:bookmarkEnd w:id="174"/>
      <w:bookmarkEnd w:id="175"/>
      <w:bookmarkEnd w:id="176"/>
      <w:bookmarkEnd w:id="177"/>
      <w:bookmarkEnd w:id="178"/>
      <w:bookmarkEnd w:id="179"/>
      <w:bookmarkEnd w:id="180"/>
      <w:r>
        <w:rPr>
          <w:rFonts w:hint="eastAsia" w:ascii="楷体" w:hAnsi="楷体" w:eastAsia="楷体" w:cs="楷体"/>
          <w:b/>
          <w:bCs/>
          <w:color w:val="000000"/>
          <w:sz w:val="32"/>
          <w:szCs w:val="32"/>
        </w:rPr>
        <w:t>一是构建人才梯队。</w:t>
      </w:r>
      <w:r>
        <w:rPr>
          <w:rFonts w:hint="eastAsia" w:ascii="仿宋_GB2312" w:hAnsi="仿宋_GB2312" w:eastAsia="仿宋_GB2312" w:cs="仿宋_GB2312"/>
          <w:color w:val="000000"/>
          <w:sz w:val="32"/>
          <w:szCs w:val="32"/>
        </w:rPr>
        <w:t>对全市中高职师资进行分模块、分层次协同培养，根据市域范围内同一专业大类开设情况，组建“新入职教师”“骨干教师”“领军人才”三个梯度，企业、科研机构、高职院校人员参与其中的教学创新团队20余个。</w:t>
      </w:r>
      <w:r>
        <w:rPr>
          <w:rFonts w:hint="eastAsia" w:ascii="楷体" w:hAnsi="楷体" w:eastAsia="楷体" w:cs="楷体"/>
          <w:b/>
          <w:bCs/>
          <w:color w:val="000000"/>
          <w:sz w:val="32"/>
          <w:szCs w:val="32"/>
        </w:rPr>
        <w:t>二是开通绿色通道</w:t>
      </w:r>
      <w:r>
        <w:rPr>
          <w:rFonts w:hint="eastAsia" w:ascii="仿宋_GB2312" w:hAnsi="仿宋_GB2312" w:eastAsia="仿宋_GB2312" w:cs="仿宋_GB2312"/>
          <w:color w:val="000000"/>
          <w:sz w:val="32"/>
          <w:szCs w:val="32"/>
        </w:rPr>
        <w:t>。将职业院校高技能紧缺人才列入高层次人才引进对象，建立紧缺专业（岗位）、紧缺人才认定机制，对招聘困难、经认定为紧缺专业（岗位）人才的对象，适当放宽相关条件。2019年8月以来，共招引优秀紧缺人才39名。</w:t>
      </w:r>
      <w:r>
        <w:rPr>
          <w:rFonts w:hint="eastAsia" w:ascii="楷体" w:hAnsi="楷体" w:eastAsia="楷体" w:cs="楷体"/>
          <w:b/>
          <w:bCs/>
          <w:color w:val="000000"/>
          <w:sz w:val="32"/>
          <w:szCs w:val="32"/>
        </w:rPr>
        <w:t>三是聘请“客座教师”</w:t>
      </w:r>
      <w:r>
        <w:rPr>
          <w:rFonts w:hint="eastAsia" w:ascii="仿宋_GB2312" w:hAnsi="仿宋_GB2312" w:eastAsia="仿宋_GB2312" w:cs="仿宋_GB2312"/>
          <w:color w:val="000000"/>
          <w:sz w:val="32"/>
          <w:szCs w:val="32"/>
        </w:rPr>
        <w:t>。全市有近10家市级技能大师工作室入驻职业院校，中职学校共聘用高技能人才为兼职教师近百余人，占专业课教师10%左右。高职院校兼职教师占比近50%。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bookmarkStart w:id="181" w:name="_Toc2209"/>
      <w:bookmarkStart w:id="182" w:name="_Toc6370"/>
      <w:bookmarkStart w:id="183" w:name="_Toc20620"/>
      <w:bookmarkStart w:id="184" w:name="_Toc18341"/>
      <w:bookmarkStart w:id="185" w:name="_Toc1528"/>
      <w:bookmarkStart w:id="186" w:name="_Toc16722"/>
      <w:bookmarkStart w:id="187" w:name="_Toc17346"/>
      <w:r>
        <w:rPr>
          <w:rStyle w:val="20"/>
          <w:rFonts w:hint="eastAsia"/>
        </w:rPr>
        <w:t>五、统筹就业，拓宽就业渠道。</w:t>
      </w:r>
      <w:bookmarkEnd w:id="181"/>
      <w:bookmarkEnd w:id="182"/>
      <w:bookmarkEnd w:id="183"/>
      <w:bookmarkEnd w:id="184"/>
      <w:bookmarkEnd w:id="185"/>
      <w:bookmarkEnd w:id="186"/>
      <w:bookmarkEnd w:id="187"/>
      <w:r>
        <w:rPr>
          <w:rFonts w:hint="eastAsia" w:ascii="楷体" w:hAnsi="楷体" w:eastAsia="楷体" w:cs="楷体"/>
          <w:b/>
          <w:bCs/>
          <w:color w:val="000000"/>
          <w:sz w:val="32"/>
          <w:szCs w:val="32"/>
        </w:rPr>
        <w:t>一是引企入校助就业。</w:t>
      </w:r>
      <w:r>
        <w:rPr>
          <w:rFonts w:hint="eastAsia" w:ascii="仿宋_GB2312" w:hAnsi="仿宋_GB2312" w:eastAsia="仿宋_GB2312" w:cs="仿宋_GB2312"/>
          <w:color w:val="000000"/>
          <w:sz w:val="32"/>
          <w:szCs w:val="32"/>
        </w:rPr>
        <w:t>指导职业院校积极构建“牵线搭桥、聚才回流”机制，将校友创办的企业作为学生实习实训的重要基地。目前，全市中职学校与513家企业建立深度合作关系，持续开展“开山学院”“红五环班”等企业冠名班的人才培养，建有校企合作共同体10家、职业教育集团6家，与省内外39所院校49</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个专业保持校校合作。</w:t>
      </w:r>
      <w:r>
        <w:rPr>
          <w:rFonts w:hint="eastAsia" w:ascii="楷体" w:hAnsi="楷体" w:eastAsia="楷体" w:cs="楷体"/>
          <w:b/>
          <w:bCs/>
          <w:color w:val="000000"/>
          <w:kern w:val="2"/>
          <w:sz w:val="32"/>
          <w:szCs w:val="32"/>
          <w:lang w:val="en-US" w:eastAsia="zh-CN" w:bidi="ar-SA"/>
        </w:rPr>
        <w:t>二是整合资源促就业</w:t>
      </w:r>
      <w:r>
        <w:rPr>
          <w:rFonts w:hint="eastAsia" w:ascii="仿宋_GB2312" w:hAnsi="仿宋_GB2312" w:eastAsia="仿宋_GB2312" w:cs="仿宋_GB2312"/>
          <w:sz w:val="32"/>
          <w:szCs w:val="32"/>
        </w:rPr>
        <w:t>。打造“一站式”就业平台，建立“就业—招生—专业设置”联动机制，成立浙闽赣皖四省边际职业培训联盟，通过技能人才共育、师资队伍共享、信息资源共用、社会服务共推、技能证书共认、就业渠道共建等实体化运行，畅通为省内外输送人才渠道。2020年，举办四省边际职业培训联盟衢州专场招聘会，260余家用人单位推出8000余个岗位供毕业生双向选择，400余人达成就业意向。</w:t>
      </w:r>
      <w:r>
        <w:rPr>
          <w:rFonts w:hint="eastAsia" w:ascii="楷体" w:hAnsi="楷体" w:eastAsia="楷体" w:cs="楷体"/>
          <w:b/>
          <w:bCs/>
          <w:color w:val="000000"/>
          <w:kern w:val="2"/>
          <w:sz w:val="32"/>
          <w:szCs w:val="32"/>
          <w:lang w:val="en-US" w:eastAsia="zh-CN" w:bidi="ar-SA"/>
        </w:rPr>
        <w:t>三是强化培训增就业</w:t>
      </w:r>
      <w:r>
        <w:rPr>
          <w:rFonts w:hint="eastAsia" w:ascii="仿宋_GB2312" w:hAnsi="仿宋_GB2312" w:eastAsia="仿宋_GB2312" w:cs="仿宋_GB2312"/>
          <w:sz w:val="32"/>
          <w:szCs w:val="32"/>
        </w:rPr>
        <w:t>。整合组织部、教育局、农业农村局、卫健委、人社局等近20家单位资源，构建乡村振兴学院市县乡村四级办学网络，聚焦回流就业群体，强化成人在职培训，增加就业渠道。2020年，汇集市县两级师资2700余名，会同广电融媒体中心汇总课程视频240余部，开展“空中课堂”1900余场，听课群众达37万余人次。</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仿宋_GB2312" w:hAnsi="仿宋_GB2312" w:eastAsia="仿宋_GB2312" w:cs="仿宋_GB2312"/>
          <w:sz w:val="32"/>
          <w:szCs w:val="32"/>
        </w:rPr>
      </w:pPr>
    </w:p>
    <w:p>
      <w:pPr>
        <w:pStyle w:val="3"/>
        <w:ind w:left="0" w:leftChars="0" w:firstLine="0" w:firstLineChars="0"/>
        <w:jc w:val="center"/>
        <w:rPr>
          <w:rFonts w:hint="eastAsia" w:ascii="方正小标宋简体" w:hAnsi="方正小标宋简体" w:eastAsia="方正小标宋简体" w:cs="方正小标宋简体"/>
        </w:rPr>
      </w:pPr>
      <w:bookmarkStart w:id="188" w:name="_Toc19511"/>
      <w:bookmarkStart w:id="189" w:name="_Toc19059"/>
      <w:bookmarkStart w:id="190" w:name="_Toc26624"/>
      <w:bookmarkStart w:id="191" w:name="_Toc1964"/>
      <w:bookmarkStart w:id="192" w:name="_Toc2698"/>
      <w:bookmarkStart w:id="193" w:name="_Toc30439"/>
      <w:bookmarkStart w:id="194" w:name="_Toc8598"/>
      <w:r>
        <w:rPr>
          <w:rFonts w:hint="eastAsia" w:ascii="方正小标宋简体" w:hAnsi="方正小标宋简体" w:eastAsia="方正小标宋简体" w:cs="方正小标宋简体"/>
          <w:lang w:val="en-US" w:eastAsia="zh-CN"/>
        </w:rPr>
        <w:t>案例二：</w:t>
      </w:r>
      <w:r>
        <w:rPr>
          <w:rFonts w:hint="eastAsia" w:ascii="方正小标宋简体" w:hAnsi="方正小标宋简体" w:eastAsia="方正小标宋简体" w:cs="方正小标宋简体"/>
        </w:rPr>
        <w:t>“千人百村”乡村振兴</w:t>
      </w:r>
      <w:r>
        <w:rPr>
          <w:rFonts w:hint="eastAsia" w:ascii="方正小标宋简体" w:hAnsi="方正小标宋简体" w:eastAsia="方正小标宋简体" w:cs="方正小标宋简体"/>
          <w:lang w:eastAsia="zh-CN"/>
        </w:rPr>
        <w:t>行动</w:t>
      </w:r>
      <w:bookmarkEnd w:id="188"/>
      <w:bookmarkEnd w:id="189"/>
      <w:bookmarkEnd w:id="190"/>
      <w:bookmarkEnd w:id="191"/>
      <w:bookmarkEnd w:id="192"/>
      <w:bookmarkEnd w:id="193"/>
      <w:bookmarkEnd w:id="194"/>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ascii="仿宋" w:hAnsi="仿宋" w:eastAsia="仿宋" w:cs="宋体"/>
          <w:color w:val="000000"/>
          <w:kern w:val="0"/>
          <w:sz w:val="28"/>
          <w:szCs w:val="28"/>
          <w:shd w:val="clear" w:color="auto" w:fill="FFFFFF"/>
        </w:rPr>
      </w:pPr>
      <w:r>
        <w:rPr>
          <w:rFonts w:hint="eastAsia" w:ascii="仿宋_GB2312" w:hAnsi="仿宋_GB2312" w:eastAsia="仿宋_GB2312" w:cs="仿宋_GB2312"/>
          <w:kern w:val="0"/>
          <w:sz w:val="32"/>
          <w:szCs w:val="32"/>
          <w:lang w:val="en-US" w:eastAsia="zh-CN" w:bidi="ar-SA"/>
        </w:rPr>
        <w:t>衢州旅游学校以县域为中心将职业学校建成“人才培养中心、社会培训中心、技术辐射中心、综合服务中心、文化传承中心”的“五位一体”的“村校命运共同体”。</w:t>
      </w:r>
    </w:p>
    <w:p>
      <w:pPr>
        <w:pStyle w:val="4"/>
        <w:rPr>
          <w:rFonts w:hint="eastAsia"/>
        </w:rPr>
      </w:pPr>
      <w:bookmarkStart w:id="195" w:name="_Toc18722"/>
      <w:bookmarkStart w:id="196" w:name="_Toc648"/>
      <w:bookmarkStart w:id="197" w:name="_Toc11727"/>
      <w:bookmarkStart w:id="198" w:name="_Toc6121"/>
      <w:bookmarkStart w:id="199" w:name="_Toc2159"/>
      <w:bookmarkStart w:id="200" w:name="_Toc5577"/>
      <w:bookmarkStart w:id="201" w:name="_Toc10021"/>
      <w:r>
        <w:rPr>
          <w:rFonts w:hint="eastAsia"/>
          <w:lang w:eastAsia="zh-CN"/>
        </w:rPr>
        <w:t>一、</w:t>
      </w:r>
      <w:r>
        <w:rPr>
          <w:rFonts w:hint="eastAsia"/>
        </w:rPr>
        <w:t>人才培养中心：满足农村就业</w:t>
      </w:r>
      <w:bookmarkEnd w:id="195"/>
      <w:bookmarkEnd w:id="196"/>
      <w:bookmarkEnd w:id="197"/>
      <w:bookmarkEnd w:id="198"/>
      <w:bookmarkEnd w:id="199"/>
      <w:bookmarkEnd w:id="200"/>
      <w:bookmarkEnd w:id="201"/>
    </w:p>
    <w:p>
      <w:pPr>
        <w:keepNext w:val="0"/>
        <w:keepLines w:val="0"/>
        <w:pageBreakBefore w:val="0"/>
        <w:kinsoku/>
        <w:wordWrap/>
        <w:overflowPunct/>
        <w:topLinePunct w:val="0"/>
        <w:bidi w:val="0"/>
        <w:adjustRightInd w:val="0"/>
        <w:snapToGrid/>
        <w:spacing w:line="600" w:lineRule="exact"/>
        <w:ind w:firstLine="482"/>
        <w:textAlignment w:val="auto"/>
        <w:rPr>
          <w:rFonts w:hint="eastAsia" w:ascii="仿宋_GB2312" w:hAnsi="仿宋_GB2312" w:eastAsia="仿宋_GB2312" w:cs="仿宋_GB2312"/>
          <w:kern w:val="0"/>
          <w:sz w:val="32"/>
          <w:szCs w:val="32"/>
          <w:lang w:val="en-US" w:eastAsia="zh-CN" w:bidi="ar-SA"/>
        </w:rPr>
      </w:pPr>
      <w:r>
        <w:rPr>
          <w:rFonts w:hint="eastAsia" w:ascii="楷体_GB2312" w:hAnsi="宋体" w:eastAsia="楷体_GB2312" w:cs="宋体"/>
          <w:b/>
          <w:color w:val="000000"/>
          <w:sz w:val="32"/>
          <w:szCs w:val="32"/>
        </w:rPr>
        <w:t>“三农”订单班。</w:t>
      </w:r>
      <w:r>
        <w:rPr>
          <w:rFonts w:hint="eastAsia" w:ascii="仿宋_GB2312" w:hAnsi="仿宋_GB2312" w:eastAsia="仿宋_GB2312" w:cs="仿宋_GB2312"/>
          <w:kern w:val="0"/>
          <w:sz w:val="32"/>
          <w:szCs w:val="32"/>
          <w:lang w:val="en-US" w:eastAsia="zh-CN" w:bidi="ar-SA"/>
        </w:rPr>
        <w:t>县级职业学校与乡镇联动，灵活开展“三农”订单班人才培养，如为乡镇根雕作坊提供根雕制作的技能人才，为农家乐业主提供乡村旅游、中餐烹饪的实用人才。开化职教中心作为省中职现代学徒制试点单位，依托县全域旅游建设大好时机，与县内知名的开化国际大酒店、开化东方大酒店进一步商谈校企合作的新模式，与县内的知名旅行社签订进一步的校企合。将开化培养出来的旅游、饭店服务、烹饪人才留在开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center"/>
        <w:textAlignment w:val="auto"/>
        <w:outlineLvl w:val="9"/>
        <w:rPr>
          <w:rFonts w:ascii="楷体_GB2312" w:hAnsi="宋体" w:eastAsia="楷体_GB2312" w:cs="宋体"/>
          <w:b/>
          <w:bCs/>
          <w:color w:val="000000"/>
          <w:kern w:val="0"/>
          <w:sz w:val="20"/>
          <w:szCs w:val="20"/>
        </w:rPr>
      </w:pPr>
      <w:r>
        <w:rPr>
          <w:rFonts w:ascii="宋体" w:cs="宋体"/>
          <w:color w:val="000000"/>
          <w:sz w:val="24"/>
          <w:szCs w:val="24"/>
        </w:rPr>
        <mc:AlternateContent>
          <mc:Choice Requires="wpc">
            <w:drawing>
              <wp:anchor distT="0" distB="0" distL="114300" distR="114300" simplePos="0" relativeHeight="251658240" behindDoc="1" locked="0" layoutInCell="1" allowOverlap="1">
                <wp:simplePos x="0" y="0"/>
                <wp:positionH relativeFrom="column">
                  <wp:posOffset>6350</wp:posOffset>
                </wp:positionH>
                <wp:positionV relativeFrom="paragraph">
                  <wp:posOffset>40005</wp:posOffset>
                </wp:positionV>
                <wp:extent cx="5334000" cy="2476500"/>
                <wp:effectExtent l="0" t="0" r="0" b="19050"/>
                <wp:wrapTight wrapText="bothSides">
                  <wp:wrapPolygon>
                    <wp:start x="1697" y="831"/>
                    <wp:lineTo x="1311" y="1662"/>
                    <wp:lineTo x="1157" y="2326"/>
                    <wp:lineTo x="1157" y="6978"/>
                    <wp:lineTo x="1774" y="8806"/>
                    <wp:lineTo x="1466" y="10135"/>
                    <wp:lineTo x="1157" y="10966"/>
                    <wp:lineTo x="1157" y="11631"/>
                    <wp:lineTo x="1543" y="14123"/>
                    <wp:lineTo x="1234" y="14954"/>
                    <wp:lineTo x="1157" y="19772"/>
                    <wp:lineTo x="1466" y="21434"/>
                    <wp:lineTo x="1543" y="21434"/>
                    <wp:lineTo x="21369" y="21434"/>
                    <wp:lineTo x="21523" y="9471"/>
                    <wp:lineTo x="2314" y="8806"/>
                    <wp:lineTo x="21523" y="8640"/>
                    <wp:lineTo x="21214" y="831"/>
                    <wp:lineTo x="1697" y="831"/>
                  </wp:wrapPolygon>
                </wp:wrapTight>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23" name="组合 21"/>
                        <wpg:cNvGrpSpPr/>
                        <wpg:grpSpPr>
                          <a:xfrm>
                            <a:off x="342900" y="98309"/>
                            <a:ext cx="4908001" cy="2378191"/>
                            <a:chOff x="3060" y="6269"/>
                            <a:chExt cx="6809" cy="3443"/>
                          </a:xfrm>
                        </wpg:grpSpPr>
                        <wps:wsp>
                          <wps:cNvPr id="24" name="文本框 2"/>
                          <wps:cNvSpPr txBox="1"/>
                          <wps:spPr>
                            <a:xfrm>
                              <a:off x="5014" y="6269"/>
                              <a:ext cx="4793"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_GB2312" w:eastAsia="楷体_GB2312"/>
                                    <w:color w:val="000000"/>
                                  </w:rPr>
                                </w:pPr>
                                <w:r>
                                  <w:rPr>
                                    <w:rFonts w:hint="eastAsia" w:ascii="楷体_GB2312" w:eastAsia="楷体_GB2312"/>
                                    <w:color w:val="000000"/>
                                  </w:rPr>
                                  <w:t>《传统美食》《土菜烹饪》《龙顶茶冲泡》《茶与养生》</w:t>
                                </w:r>
                              </w:p>
                              <w:p>
                                <w:pPr>
                                  <w:jc w:val="center"/>
                                  <w:rPr>
                                    <w:sz w:val="18"/>
                                    <w:szCs w:val="18"/>
                                  </w:rPr>
                                </w:pPr>
                              </w:p>
                            </w:txbxContent>
                          </wps:txbx>
                          <wps:bodyPr lIns="91440" tIns="108001" rIns="91440" bIns="45720" upright="1"/>
                        </wps:wsp>
                        <wps:wsp>
                          <wps:cNvPr id="25" name="文本框 3"/>
                          <wps:cNvSpPr txBox="1"/>
                          <wps:spPr>
                            <a:xfrm>
                              <a:off x="5014" y="6960"/>
                              <a:ext cx="482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_GB2312" w:eastAsia="楷体_GB2312"/>
                                    <w:szCs w:val="21"/>
                                  </w:rPr>
                                </w:pPr>
                                <w:r>
                                  <w:rPr>
                                    <w:rFonts w:hint="eastAsia" w:ascii="楷体_GB2312" w:eastAsia="楷体_GB2312"/>
                                    <w:szCs w:val="21"/>
                                  </w:rPr>
                                  <w:t>《特色客栈》《乡村民宿接待》《民宿经营》《旅馆经营》</w:t>
                                </w:r>
                              </w:p>
                            </w:txbxContent>
                          </wps:txbx>
                          <wps:bodyPr lIns="91440" tIns="108001" rIns="91440" bIns="45720" upright="1"/>
                        </wps:wsp>
                        <wps:wsp>
                          <wps:cNvPr id="26" name="文本框 4"/>
                          <wps:cNvSpPr txBox="1"/>
                          <wps:spPr>
                            <a:xfrm>
                              <a:off x="5014" y="7725"/>
                              <a:ext cx="4828"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_GB2312" w:eastAsia="楷体_GB2312"/>
                                  </w:rPr>
                                </w:pPr>
                                <w:r>
                                  <w:rPr>
                                    <w:rFonts w:hint="eastAsia" w:ascii="楷体_GB2312" w:eastAsia="楷体_GB2312" w:cs="楷体_GB2312"/>
                                  </w:rPr>
                                  <w:t>《玩转开化》</w:t>
                                </w:r>
                                <w:r>
                                  <w:rPr>
                                    <w:rFonts w:hint="eastAsia" w:ascii="楷体_GB2312" w:eastAsia="楷体_GB2312"/>
                                  </w:rPr>
                                  <w:t>《快乐小导游》《</w:t>
                                </w:r>
                                <w:r>
                                  <w:rPr>
                                    <w:rFonts w:ascii="楷体_GB2312" w:eastAsia="楷体_GB2312"/>
                                  </w:rPr>
                                  <w:t>798</w:t>
                                </w:r>
                                <w:r>
                                  <w:rPr>
                                    <w:rFonts w:hint="eastAsia" w:ascii="楷体_GB2312" w:eastAsia="楷体_GB2312"/>
                                  </w:rPr>
                                  <w:t>半日游》《民俗赏游》</w:t>
                                </w:r>
                              </w:p>
                              <w:p/>
                            </w:txbxContent>
                          </wps:txbx>
                          <wps:bodyPr lIns="91440" tIns="108001" rIns="91440" bIns="45720" upright="1"/>
                        </wps:wsp>
                        <wps:wsp>
                          <wps:cNvPr id="27" name="文本框 5"/>
                          <wps:cNvSpPr txBox="1"/>
                          <wps:spPr>
                            <a:xfrm>
                              <a:off x="5014" y="9144"/>
                              <a:ext cx="4837"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_GB2312" w:eastAsia="楷体_GB2312"/>
                                    <w:color w:val="000000"/>
                                  </w:rPr>
                                </w:pPr>
                                <w:r>
                                  <w:rPr>
                                    <w:rFonts w:hint="eastAsia" w:ascii="楷体_GB2312" w:eastAsia="楷体_GB2312"/>
                                    <w:color w:val="000000"/>
                                  </w:rPr>
                                  <w:t>《手工制茶》《禅茶体验》《根艺风情》《青瓷制作》</w:t>
                                </w:r>
                              </w:p>
                              <w:p/>
                            </w:txbxContent>
                          </wps:txbx>
                          <wps:bodyPr lIns="91440" tIns="108001" rIns="91440" bIns="45720" upright="1"/>
                        </wps:wsp>
                        <wps:wsp>
                          <wps:cNvPr id="28" name="文本框 6"/>
                          <wps:cNvSpPr txBox="1"/>
                          <wps:spPr>
                            <a:xfrm>
                              <a:off x="5014" y="8452"/>
                              <a:ext cx="4855"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_GB2312" w:hAnsi="宋体" w:eastAsia="楷体_GB2312"/>
                                  </w:rPr>
                                </w:pPr>
                                <w:r>
                                  <w:rPr>
                                    <w:rFonts w:hint="eastAsia" w:ascii="楷体_GB2312" w:eastAsia="楷体_GB2312"/>
                                  </w:rPr>
                                  <w:t>《高山土特</w:t>
                                </w:r>
                                <w:r>
                                  <w:rPr>
                                    <w:rFonts w:hint="eastAsia" w:ascii="楷体_GB2312" w:hAnsi="宋体" w:eastAsia="楷体_GB2312"/>
                                    <w:color w:val="000000"/>
                                  </w:rPr>
                                  <w:t>产</w:t>
                                </w:r>
                                <w:r>
                                  <w:rPr>
                                    <w:rFonts w:hint="eastAsia" w:ascii="楷体_GB2312" w:hAnsi="宋体" w:eastAsia="楷体_GB2312"/>
                                  </w:rPr>
                                  <w:t>》《微商课堂》《悠悠淘宝情》《乐乐网购》</w:t>
                                </w:r>
                              </w:p>
                              <w:p/>
                            </w:txbxContent>
                          </wps:txbx>
                          <wps:bodyPr lIns="91440" tIns="108001" rIns="91440" bIns="45720" upright="1"/>
                        </wps:wsp>
                        <wps:wsp>
                          <wps:cNvPr id="29" name="椭圆 7"/>
                          <wps:cNvSpPr/>
                          <wps:spPr>
                            <a:xfrm>
                              <a:off x="3060" y="6287"/>
                              <a:ext cx="540" cy="5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楷体_GB2312" w:eastAsia="楷体_GB2312"/>
                                  </w:rPr>
                                </w:pPr>
                                <w:r>
                                  <w:rPr>
                                    <w:rFonts w:hint="eastAsia" w:ascii="楷体_GB2312" w:eastAsia="楷体_GB2312"/>
                                  </w:rPr>
                                  <w:t>吃</w:t>
                                </w:r>
                              </w:p>
                            </w:txbxContent>
                          </wps:txbx>
                          <wps:bodyPr lIns="72001" tIns="45720" rIns="72001" bIns="45720" upright="1"/>
                        </wps:wsp>
                        <wps:wsp>
                          <wps:cNvPr id="30" name="椭圆 8"/>
                          <wps:cNvSpPr/>
                          <wps:spPr>
                            <a:xfrm>
                              <a:off x="3060" y="6973"/>
                              <a:ext cx="540" cy="5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楷体_GB2312" w:eastAsia="楷体_GB2312"/>
                                  </w:rPr>
                                </w:pPr>
                                <w:r>
                                  <w:rPr>
                                    <w:rFonts w:hint="eastAsia" w:ascii="楷体_GB2312" w:eastAsia="楷体_GB2312"/>
                                  </w:rPr>
                                  <w:t>住</w:t>
                                </w:r>
                              </w:p>
                            </w:txbxContent>
                          </wps:txbx>
                          <wps:bodyPr lIns="72001" tIns="45720" rIns="72001" bIns="45720" upright="1"/>
                        </wps:wsp>
                        <wps:wsp>
                          <wps:cNvPr id="31" name="椭圆 9"/>
                          <wps:cNvSpPr/>
                          <wps:spPr>
                            <a:xfrm>
                              <a:off x="3060" y="7748"/>
                              <a:ext cx="540" cy="5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楷体_GB2312" w:eastAsia="楷体_GB2312"/>
                                  </w:rPr>
                                </w:pPr>
                                <w:r>
                                  <w:rPr>
                                    <w:rFonts w:hint="eastAsia" w:ascii="楷体_GB2312" w:eastAsia="楷体_GB2312"/>
                                  </w:rPr>
                                  <w:t>游</w:t>
                                </w:r>
                              </w:p>
                            </w:txbxContent>
                          </wps:txbx>
                          <wps:bodyPr lIns="72001" tIns="45720" rIns="72001" bIns="45720" upright="1"/>
                        </wps:wsp>
                        <wps:wsp>
                          <wps:cNvPr id="32" name="椭圆 10"/>
                          <wps:cNvSpPr/>
                          <wps:spPr>
                            <a:xfrm>
                              <a:off x="3060" y="8470"/>
                              <a:ext cx="540" cy="5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楷体_GB2312" w:eastAsia="楷体_GB2312"/>
                                  </w:rPr>
                                </w:pPr>
                                <w:r>
                                  <w:rPr>
                                    <w:rFonts w:hint="eastAsia" w:ascii="楷体_GB2312" w:eastAsia="楷体_GB2312"/>
                                  </w:rPr>
                                  <w:t>购</w:t>
                                </w:r>
                              </w:p>
                            </w:txbxContent>
                          </wps:txbx>
                          <wps:bodyPr lIns="72001" tIns="45720" rIns="72001" bIns="45720" upright="1"/>
                        </wps:wsp>
                        <wps:wsp>
                          <wps:cNvPr id="33" name="椭圆 11"/>
                          <wps:cNvSpPr/>
                          <wps:spPr>
                            <a:xfrm>
                              <a:off x="3060" y="9172"/>
                              <a:ext cx="540" cy="5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楷体_GB2312" w:eastAsia="楷体_GB2312"/>
                                  </w:rPr>
                                </w:pPr>
                                <w:r>
                                  <w:rPr>
                                    <w:rFonts w:hint="eastAsia" w:ascii="楷体_GB2312" w:eastAsia="楷体_GB2312"/>
                                  </w:rPr>
                                  <w:t>娱</w:t>
                                </w:r>
                              </w:p>
                              <w:p>
                                <w:pPr>
                                  <w:rPr>
                                    <w:rFonts w:ascii="楷体_GB2312" w:eastAsia="楷体_GB2312"/>
                                  </w:rPr>
                                </w:pPr>
                                <w:r>
                                  <w:rPr>
                                    <w:rFonts w:hint="eastAsia" w:ascii="楷体_GB2312" w:eastAsia="楷体_GB2312"/>
                                  </w:rPr>
                                  <w:t>娱</w:t>
                                </w:r>
                              </w:p>
                            </w:txbxContent>
                          </wps:txbx>
                          <wps:bodyPr lIns="72001" tIns="45720" rIns="72001" bIns="45720" upright="1"/>
                        </wps:wsp>
                        <wps:wsp>
                          <wps:cNvPr id="34" name="直接箭头连接符 12"/>
                          <wps:cNvCnPr/>
                          <wps:spPr>
                            <a:xfrm>
                              <a:off x="3330" y="6819"/>
                              <a:ext cx="1" cy="147"/>
                            </a:xfrm>
                            <a:prstGeom prst="straightConnector1">
                              <a:avLst/>
                            </a:prstGeom>
                            <a:ln w="9525" cap="flat" cmpd="sng">
                              <a:solidFill>
                                <a:srgbClr val="000000"/>
                              </a:solidFill>
                              <a:prstDash val="solid"/>
                              <a:headEnd type="none" w="med" len="med"/>
                              <a:tailEnd type="none" w="med" len="med"/>
                            </a:ln>
                          </wps:spPr>
                          <wps:bodyPr/>
                        </wps:wsp>
                        <wps:wsp>
                          <wps:cNvPr id="35" name="直接箭头连接符 13"/>
                          <wps:cNvCnPr/>
                          <wps:spPr>
                            <a:xfrm>
                              <a:off x="3330" y="7506"/>
                              <a:ext cx="1" cy="235"/>
                            </a:xfrm>
                            <a:prstGeom prst="straightConnector1">
                              <a:avLst/>
                            </a:prstGeom>
                            <a:ln w="9525" cap="flat" cmpd="sng">
                              <a:solidFill>
                                <a:srgbClr val="000000"/>
                              </a:solidFill>
                              <a:prstDash val="solid"/>
                              <a:headEnd type="none" w="med" len="med"/>
                              <a:tailEnd type="none" w="med" len="med"/>
                            </a:ln>
                          </wps:spPr>
                          <wps:bodyPr/>
                        </wps:wsp>
                        <wps:wsp>
                          <wps:cNvPr id="36" name="直接箭头连接符 14"/>
                          <wps:cNvCnPr/>
                          <wps:spPr>
                            <a:xfrm>
                              <a:off x="3330" y="8281"/>
                              <a:ext cx="1" cy="182"/>
                            </a:xfrm>
                            <a:prstGeom prst="straightConnector1">
                              <a:avLst/>
                            </a:prstGeom>
                            <a:ln w="9525" cap="flat" cmpd="sng">
                              <a:solidFill>
                                <a:srgbClr val="000000"/>
                              </a:solidFill>
                              <a:prstDash val="solid"/>
                              <a:headEnd type="none" w="med" len="med"/>
                              <a:tailEnd type="none" w="med" len="med"/>
                            </a:ln>
                          </wps:spPr>
                          <wps:bodyPr/>
                        </wps:wsp>
                        <wps:wsp>
                          <wps:cNvPr id="37" name="直接箭头连接符 15"/>
                          <wps:cNvCnPr/>
                          <wps:spPr>
                            <a:xfrm>
                              <a:off x="3330" y="9003"/>
                              <a:ext cx="1" cy="162"/>
                            </a:xfrm>
                            <a:prstGeom prst="straightConnector1">
                              <a:avLst/>
                            </a:prstGeom>
                            <a:ln w="9525" cap="flat" cmpd="sng">
                              <a:solidFill>
                                <a:srgbClr val="000000"/>
                              </a:solidFill>
                              <a:prstDash val="solid"/>
                              <a:headEnd type="none" w="med" len="med"/>
                              <a:tailEnd type="none" w="med" len="med"/>
                            </a:ln>
                          </wps:spPr>
                          <wps:bodyPr/>
                        </wps:wsp>
                        <wps:wsp>
                          <wps:cNvPr id="38" name="直接箭头连接符 16"/>
                          <wps:cNvCnPr/>
                          <wps:spPr>
                            <a:xfrm>
                              <a:off x="3600" y="6549"/>
                              <a:ext cx="1414" cy="4"/>
                            </a:xfrm>
                            <a:prstGeom prst="straightConnector1">
                              <a:avLst/>
                            </a:prstGeom>
                            <a:ln w="9525" cap="flat" cmpd="sng">
                              <a:solidFill>
                                <a:srgbClr val="000000"/>
                              </a:solidFill>
                              <a:prstDash val="solid"/>
                              <a:headEnd type="none" w="med" len="med"/>
                              <a:tailEnd type="none" w="med" len="med"/>
                            </a:ln>
                          </wps:spPr>
                          <wps:bodyPr/>
                        </wps:wsp>
                        <wps:wsp>
                          <wps:cNvPr id="39" name="直接箭头连接符 17"/>
                          <wps:cNvCnPr/>
                          <wps:spPr>
                            <a:xfrm>
                              <a:off x="3600" y="7236"/>
                              <a:ext cx="1414" cy="8"/>
                            </a:xfrm>
                            <a:prstGeom prst="straightConnector1">
                              <a:avLst/>
                            </a:prstGeom>
                            <a:ln w="9525" cap="flat" cmpd="sng">
                              <a:solidFill>
                                <a:srgbClr val="000000"/>
                              </a:solidFill>
                              <a:prstDash val="solid"/>
                              <a:headEnd type="none" w="med" len="med"/>
                              <a:tailEnd type="none" w="med" len="med"/>
                            </a:ln>
                          </wps:spPr>
                          <wps:bodyPr/>
                        </wps:wsp>
                        <wps:wsp>
                          <wps:cNvPr id="40" name="直接箭头连接符 18"/>
                          <wps:cNvCnPr/>
                          <wps:spPr>
                            <a:xfrm flipV="1">
                              <a:off x="3600" y="8009"/>
                              <a:ext cx="1414" cy="2"/>
                            </a:xfrm>
                            <a:prstGeom prst="straightConnector1">
                              <a:avLst/>
                            </a:prstGeom>
                            <a:ln w="9525" cap="flat" cmpd="sng">
                              <a:solidFill>
                                <a:srgbClr val="000000"/>
                              </a:solidFill>
                              <a:prstDash val="solid"/>
                              <a:headEnd type="none" w="med" len="med"/>
                              <a:tailEnd type="none" w="med" len="med"/>
                            </a:ln>
                          </wps:spPr>
                          <wps:bodyPr/>
                        </wps:wsp>
                        <wps:wsp>
                          <wps:cNvPr id="41" name="直接箭头连接符 19"/>
                          <wps:cNvCnPr/>
                          <wps:spPr>
                            <a:xfrm>
                              <a:off x="3600" y="8733"/>
                              <a:ext cx="1414" cy="3"/>
                            </a:xfrm>
                            <a:prstGeom prst="straightConnector1">
                              <a:avLst/>
                            </a:prstGeom>
                            <a:ln w="9525" cap="flat" cmpd="sng">
                              <a:solidFill>
                                <a:srgbClr val="000000"/>
                              </a:solidFill>
                              <a:prstDash val="solid"/>
                              <a:headEnd type="none" w="med" len="med"/>
                              <a:tailEnd type="none" w="med" len="med"/>
                            </a:ln>
                          </wps:spPr>
                          <wps:bodyPr/>
                        </wps:wsp>
                        <wps:wsp>
                          <wps:cNvPr id="42" name="直接箭头连接符 20"/>
                          <wps:cNvCnPr/>
                          <wps:spPr>
                            <a:xfrm flipV="1">
                              <a:off x="3600" y="9428"/>
                              <a:ext cx="1414" cy="7"/>
                            </a:xfrm>
                            <a:prstGeom prst="straightConnector1">
                              <a:avLst/>
                            </a:prstGeom>
                            <a:ln w="9525" cap="flat" cmpd="sng">
                              <a:solidFill>
                                <a:srgbClr val="000000"/>
                              </a:solidFill>
                              <a:prstDash val="solid"/>
                              <a:headEnd type="none" w="med" len="med"/>
                              <a:tailEnd type="none" w="med" len="med"/>
                            </a:ln>
                          </wps:spPr>
                          <wps:bodyPr/>
                        </wps:wsp>
                      </wpg:wgp>
                    </wpc:wpc>
                  </a:graphicData>
                </a:graphic>
              </wp:anchor>
            </w:drawing>
          </mc:Choice>
          <mc:Fallback>
            <w:pict>
              <v:group id="_x0000_s1026" o:spid="_x0000_s1026" o:spt="203" style="position:absolute;left:0pt;margin-left:0.5pt;margin-top:3.15pt;height:195pt;width:420pt;mso-wrap-distance-left:9pt;mso-wrap-distance-right:9pt;z-index:-251658240;mso-width-relative:page;mso-height-relative:page;" coordsize="5334000,2476500" wrapcoords="1697 831 1311 1662 1157 2326 1157 6978 1774 8806 1466 10135 1157 10966 1157 11631 1543 14123 1234 14954 1157 19772 1466 21434 1543 21434 21369 21434 21523 9471 2314 8806 21523 8640 21214 831 1697 831" editas="canvas" o:gfxdata="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AfFnkg1gAAAAcBAAAPAAAAAAAAAAEA&#10;IAAAACIAAABkcnMvZG93bnJldi54bWxQSwECFAAUAAAACACHTuJAE5Vm1mgFAADeLwAADgAAAAAA&#10;AAABACAAAAAlAQAAZHJzL2Uyb0RvYy54bWxQSwUGAAAAAAYABgBZAQAA/wgAAAAA&#10;">
                <o:lock v:ext="edit" aspectratio="f"/>
                <v:shape id="_x0000_s1026" o:spid="_x0000_s1026" style="position:absolute;left:0;top:0;height:2476500;width:5334000;" filled="f" stroked="f" coordsize="21600,21600" o:gfxdata="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HxZ5INYAAAAHAQAADwAAAAAAAAABACAAAAAi&#10;AAAAZHJzL2Rvd25yZXYueG1sUEsBAhQAFAAAAAgAh07iQDRoGRJjBQAAXi8AAA4AAAAAAAAAAQAg&#10;AAAAJQEAAGRycy9lMm9Eb2MueG1sUEsFBgAAAAAGAAYAWQEAAPoIAAAAAA==&#10;">
                  <v:fill on="f" focussize="0,0"/>
                  <v:stroke on="f"/>
                  <v:imagedata o:title=""/>
                  <o:lock v:ext="edit" aspectratio="t"/>
                </v:shape>
                <v:group id="组合 21" o:spid="_x0000_s1026" o:spt="203" style="position:absolute;left:342900;top:98309;height:2378191;width:4908001;" coordorigin="3060,6269" coordsize="6809,3443" o:gfxdata="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vuByU1QAAAAcBAAAPAAAAAAAA&#10;AAEAIAAAACIAAABkcnMvZG93bnJldi54bWxQSwECFAAUAAAACACHTuJAvdjMEDMFAACnLgAADgAA&#10;AAAAAAABACAAAAAkAQAAZHJzL2Uyb0RvYy54bWxQSwUGAAAAAAYABgBZAQAAyQgAAAAA&#10;">
                  <o:lock v:ext="edit" aspectratio="f"/>
                  <v:shape id="文本框 2" o:spid="_x0000_s1026" o:spt="202" type="#_x0000_t202" style="position:absolute;left:5014;top:6269;height:567;width:4793;" fillcolor="#FFFFFF" filled="t" stroked="t" coordsize="21600,21600" o:gfxdata="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yZ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8.5040157480315pt,2.54mm,1.27mm">
                      <w:txbxContent>
                        <w:p>
                          <w:pPr>
                            <w:rPr>
                              <w:rFonts w:ascii="楷体_GB2312" w:eastAsia="楷体_GB2312"/>
                              <w:color w:val="000000"/>
                            </w:rPr>
                          </w:pPr>
                          <w:r>
                            <w:rPr>
                              <w:rFonts w:hint="eastAsia" w:ascii="楷体_GB2312" w:eastAsia="楷体_GB2312"/>
                              <w:color w:val="000000"/>
                            </w:rPr>
                            <w:t>《传统美食》《土菜烹饪》《龙顶茶冲泡》《茶与养生》</w:t>
                          </w:r>
                        </w:p>
                        <w:p>
                          <w:pPr>
                            <w:jc w:val="center"/>
                            <w:rPr>
                              <w:sz w:val="18"/>
                              <w:szCs w:val="18"/>
                            </w:rPr>
                          </w:pPr>
                        </w:p>
                      </w:txbxContent>
                    </v:textbox>
                  </v:shape>
                  <v:shape id="文本框 3" o:spid="_x0000_s1026" o:spt="202" type="#_x0000_t202" style="position:absolute;left:5014;top:6960;height:567;width:4829;" fillcolor="#FFFFFF" filled="t" stroked="t" coordsize="21600,21600" o:gfxdata="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Z4P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8.5040157480315pt,2.54mm,1.27mm">
                      <w:txbxContent>
                        <w:p>
                          <w:pPr>
                            <w:rPr>
                              <w:rFonts w:ascii="楷体_GB2312" w:eastAsia="楷体_GB2312"/>
                              <w:szCs w:val="21"/>
                            </w:rPr>
                          </w:pPr>
                          <w:r>
                            <w:rPr>
                              <w:rFonts w:hint="eastAsia" w:ascii="楷体_GB2312" w:eastAsia="楷体_GB2312"/>
                              <w:szCs w:val="21"/>
                            </w:rPr>
                            <w:t>《特色客栈》《乡村民宿接待》《民宿经营》《旅馆经营》</w:t>
                          </w:r>
                        </w:p>
                      </w:txbxContent>
                    </v:textbox>
                  </v:shape>
                  <v:shape id="文本框 4" o:spid="_x0000_s1026" o:spt="202" type="#_x0000_t202" style="position:absolute;left:5014;top:7725;height:567;width:4828;" fillcolor="#FFFFFF" filled="t" stroked="t" coordsize="21600,21600" o:gfxdata="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R2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8.5040157480315pt,2.54mm,1.27mm">
                      <w:txbxContent>
                        <w:p>
                          <w:pPr>
                            <w:rPr>
                              <w:rFonts w:ascii="楷体_GB2312" w:eastAsia="楷体_GB2312"/>
                            </w:rPr>
                          </w:pPr>
                          <w:r>
                            <w:rPr>
                              <w:rFonts w:hint="eastAsia" w:ascii="楷体_GB2312" w:eastAsia="楷体_GB2312" w:cs="楷体_GB2312"/>
                            </w:rPr>
                            <w:t>《玩转开化》</w:t>
                          </w:r>
                          <w:r>
                            <w:rPr>
                              <w:rFonts w:hint="eastAsia" w:ascii="楷体_GB2312" w:eastAsia="楷体_GB2312"/>
                            </w:rPr>
                            <w:t>《快乐小导游》《</w:t>
                          </w:r>
                          <w:r>
                            <w:rPr>
                              <w:rFonts w:ascii="楷体_GB2312" w:eastAsia="楷体_GB2312"/>
                            </w:rPr>
                            <w:t>798</w:t>
                          </w:r>
                          <w:r>
                            <w:rPr>
                              <w:rFonts w:hint="eastAsia" w:ascii="楷体_GB2312" w:eastAsia="楷体_GB2312"/>
                            </w:rPr>
                            <w:t>半日游》《民俗赏游》</w:t>
                          </w:r>
                        </w:p>
                        <w:p/>
                      </w:txbxContent>
                    </v:textbox>
                  </v:shape>
                  <v:shape id="文本框 5" o:spid="_x0000_s1026" o:spt="202" type="#_x0000_t202" style="position:absolute;left:5014;top:9144;height:567;width:4837;" fillcolor="#FFFFFF" filled="t" stroked="t" coordsize="21600,21600" o:gfxdata="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bg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8.5040157480315pt,2.54mm,1.27mm">
                      <w:txbxContent>
                        <w:p>
                          <w:pPr>
                            <w:rPr>
                              <w:rFonts w:ascii="楷体_GB2312" w:eastAsia="楷体_GB2312"/>
                              <w:color w:val="000000"/>
                            </w:rPr>
                          </w:pPr>
                          <w:r>
                            <w:rPr>
                              <w:rFonts w:hint="eastAsia" w:ascii="楷体_GB2312" w:eastAsia="楷体_GB2312"/>
                              <w:color w:val="000000"/>
                            </w:rPr>
                            <w:t>《手工制茶》《禅茶体验》《根艺风情》《青瓷制作》</w:t>
                          </w:r>
                        </w:p>
                        <w:p/>
                      </w:txbxContent>
                    </v:textbox>
                  </v:shape>
                  <v:shape id="文本框 6" o:spid="_x0000_s1026" o:spt="202" type="#_x0000_t202" style="position:absolute;left:5014;top:8452;height:567;width:4855;" fillcolor="#FFFFFF" filled="t" stroked="t" coordsize="21600,21600" o:gfxdata="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ix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8.5040157480315pt,2.54mm,1.27mm">
                      <w:txbxContent>
                        <w:p>
                          <w:pPr>
                            <w:rPr>
                              <w:rFonts w:ascii="楷体_GB2312" w:hAnsi="宋体" w:eastAsia="楷体_GB2312"/>
                            </w:rPr>
                          </w:pPr>
                          <w:r>
                            <w:rPr>
                              <w:rFonts w:hint="eastAsia" w:ascii="楷体_GB2312" w:eastAsia="楷体_GB2312"/>
                            </w:rPr>
                            <w:t>《高山土特</w:t>
                          </w:r>
                          <w:r>
                            <w:rPr>
                              <w:rFonts w:hint="eastAsia" w:ascii="楷体_GB2312" w:hAnsi="宋体" w:eastAsia="楷体_GB2312"/>
                              <w:color w:val="000000"/>
                            </w:rPr>
                            <w:t>产</w:t>
                          </w:r>
                          <w:r>
                            <w:rPr>
                              <w:rFonts w:hint="eastAsia" w:ascii="楷体_GB2312" w:hAnsi="宋体" w:eastAsia="楷体_GB2312"/>
                            </w:rPr>
                            <w:t>》《微商课堂》《悠悠淘宝情》《乐乐网购》</w:t>
                          </w:r>
                        </w:p>
                        <w:p/>
                      </w:txbxContent>
                    </v:textbox>
                  </v:shape>
                  <v:shape id="椭圆 7" o:spid="_x0000_s1026" o:spt="3" type="#_x0000_t3" style="position:absolute;left:3060;top:6287;height:540;width:540;" fillcolor="#FFFFFF" filled="t" stroked="t" coordsize="21600,21600" o:gfxdata="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XLy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0787412510936133in,1.27mm,0.0787412510936133in,1.27mm">
                      <w:txbxContent>
                        <w:p>
                          <w:pPr>
                            <w:rPr>
                              <w:rFonts w:ascii="楷体_GB2312" w:eastAsia="楷体_GB2312"/>
                            </w:rPr>
                          </w:pPr>
                          <w:r>
                            <w:rPr>
                              <w:rFonts w:hint="eastAsia" w:ascii="楷体_GB2312" w:eastAsia="楷体_GB2312"/>
                            </w:rPr>
                            <w:t>吃</w:t>
                          </w:r>
                        </w:p>
                      </w:txbxContent>
                    </v:textbox>
                  </v:shape>
                  <v:shape id="椭圆 8" o:spid="_x0000_s1026" o:spt="3" type="#_x0000_t3" style="position:absolute;left:3060;top:6973;height:540;width:540;" fillcolor="#FFFFFF" filled="t" stroked="t" coordsize="21600,21600" o:gfxdata="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9I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0787412510936133in,1.27mm,0.0787412510936133in,1.27mm">
                      <w:txbxContent>
                        <w:p>
                          <w:pPr>
                            <w:rPr>
                              <w:rFonts w:ascii="楷体_GB2312" w:eastAsia="楷体_GB2312"/>
                            </w:rPr>
                          </w:pPr>
                          <w:r>
                            <w:rPr>
                              <w:rFonts w:hint="eastAsia" w:ascii="楷体_GB2312" w:eastAsia="楷体_GB2312"/>
                            </w:rPr>
                            <w:t>住</w:t>
                          </w:r>
                        </w:p>
                      </w:txbxContent>
                    </v:textbox>
                  </v:shape>
                  <v:shape id="椭圆 9" o:spid="_x0000_s1026" o:spt="3" type="#_x0000_t3" style="position:absolute;left:3060;top:7748;height:540;width:540;" fillcolor="#FFFFFF" filled="t" stroked="t" coordsize="21600,21600" o:gfxdata="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qURG/&#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0787412510936133in,1.27mm,0.0787412510936133in,1.27mm">
                      <w:txbxContent>
                        <w:p>
                          <w:pPr>
                            <w:rPr>
                              <w:rFonts w:ascii="楷体_GB2312" w:eastAsia="楷体_GB2312"/>
                            </w:rPr>
                          </w:pPr>
                          <w:r>
                            <w:rPr>
                              <w:rFonts w:hint="eastAsia" w:ascii="楷体_GB2312" w:eastAsia="楷体_GB2312"/>
                            </w:rPr>
                            <w:t>游</w:t>
                          </w:r>
                        </w:p>
                      </w:txbxContent>
                    </v:textbox>
                  </v:shape>
                  <v:shape id="椭圆 10" o:spid="_x0000_s1026" o:spt="3" type="#_x0000_t3" style="position:absolute;left:3060;top:8470;height:540;width:540;" fillcolor="#FFFFFF" filled="t" stroked="t" coordsize="21600,21600" o:gfxdata="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OM9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0787412510936133in,1.27mm,0.0787412510936133in,1.27mm">
                      <w:txbxContent>
                        <w:p>
                          <w:pPr>
                            <w:rPr>
                              <w:rFonts w:ascii="楷体_GB2312" w:eastAsia="楷体_GB2312"/>
                            </w:rPr>
                          </w:pPr>
                          <w:r>
                            <w:rPr>
                              <w:rFonts w:hint="eastAsia" w:ascii="楷体_GB2312" w:eastAsia="楷体_GB2312"/>
                            </w:rPr>
                            <w:t>购</w:t>
                          </w:r>
                        </w:p>
                      </w:txbxContent>
                    </v:textbox>
                  </v:shape>
                  <v:shape id="椭圆 11" o:spid="_x0000_s1026" o:spt="3" type="#_x0000_t3" style="position:absolute;left:3060;top:9172;height:540;width:540;" fillcolor="#FFFFFF" filled="t" stroked="t" coordsize="21600,21600" o:gfxdata="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dGr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0787412510936133in,1.27mm,0.0787412510936133in,1.27mm">
                      <w:txbxContent>
                        <w:p>
                          <w:pPr>
                            <w:rPr>
                              <w:rFonts w:ascii="楷体_GB2312" w:eastAsia="楷体_GB2312"/>
                            </w:rPr>
                          </w:pPr>
                          <w:r>
                            <w:rPr>
                              <w:rFonts w:hint="eastAsia" w:ascii="楷体_GB2312" w:eastAsia="楷体_GB2312"/>
                            </w:rPr>
                            <w:t>娱</w:t>
                          </w:r>
                        </w:p>
                        <w:p>
                          <w:pPr>
                            <w:rPr>
                              <w:rFonts w:ascii="楷体_GB2312" w:eastAsia="楷体_GB2312"/>
                            </w:rPr>
                          </w:pPr>
                          <w:r>
                            <w:rPr>
                              <w:rFonts w:hint="eastAsia" w:ascii="楷体_GB2312" w:eastAsia="楷体_GB2312"/>
                            </w:rPr>
                            <w:t>娱</w:t>
                          </w:r>
                        </w:p>
                      </w:txbxContent>
                    </v:textbox>
                  </v:shape>
                  <v:shape id="直接箭头连接符 12" o:spid="_x0000_s1026" o:spt="32" type="#_x0000_t32" style="position:absolute;left:3330;top:6819;height:147;width:1;"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13" o:spid="_x0000_s1026" o:spt="32" type="#_x0000_t32" style="position:absolute;left:3330;top:7506;height:235;width:1;"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14" o:spid="_x0000_s1026" o:spt="32" type="#_x0000_t32" style="position:absolute;left:3330;top:8281;height:182;width:1;"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15" o:spid="_x0000_s1026" o:spt="32" type="#_x0000_t32" style="position:absolute;left:3330;top:9003;height:162;width:1;"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16" o:spid="_x0000_s1026" o:spt="32" type="#_x0000_t32" style="position:absolute;left:3600;top:6549;height:4;width:1414;"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直接箭头连接符 17" o:spid="_x0000_s1026" o:spt="32" type="#_x0000_t32" style="position:absolute;left:3600;top:7236;height:8;width:1414;"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18" o:spid="_x0000_s1026" o:spt="32" type="#_x0000_t32" style="position:absolute;left:3600;top:8009;flip:y;height:2;width:1414;" filled="f" stroked="t" coordsize="21600,21600" o:gfxdata="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9lf9L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直接箭头连接符 19" o:spid="_x0000_s1026" o:spt="32" type="#_x0000_t32" style="position:absolute;left:3600;top:8733;height:3;width:1414;"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20" o:spid="_x0000_s1026" o:spt="32" type="#_x0000_t32" style="position:absolute;left:3600;top:9428;flip:y;height:7;width:1414;" filled="f" stroked="t" coordsize="21600,21600" o:gfxdata="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ZB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10:wrap type="tight"/>
              </v:group>
            </w:pict>
          </mc:Fallback>
        </mc:AlternateContent>
      </w:r>
      <w:r>
        <w:rPr>
          <w:rFonts w:hint="eastAsia" w:ascii="楷体_GB2312" w:hAnsi="宋体" w:eastAsia="楷体_GB2312" w:cs="宋体"/>
          <w:b/>
          <w:bCs/>
          <w:color w:val="000000"/>
          <w:kern w:val="0"/>
          <w:sz w:val="20"/>
          <w:szCs w:val="20"/>
        </w:rPr>
        <w:t>图：“服务乡村振兴”地方课程开发</w:t>
      </w:r>
    </w:p>
    <w:p>
      <w:pPr>
        <w:pStyle w:val="4"/>
        <w:rPr>
          <w:rFonts w:hint="eastAsia"/>
          <w:lang w:eastAsia="zh-CN"/>
        </w:rPr>
      </w:pPr>
      <w:bookmarkStart w:id="202" w:name="_Toc2955"/>
      <w:bookmarkStart w:id="203" w:name="_Toc5570"/>
      <w:bookmarkStart w:id="204" w:name="_Toc12505"/>
      <w:bookmarkStart w:id="205" w:name="_Toc30727"/>
      <w:bookmarkStart w:id="206" w:name="_Toc4924"/>
      <w:bookmarkStart w:id="207" w:name="_Toc26367"/>
      <w:bookmarkStart w:id="208" w:name="_Toc21715"/>
      <w:r>
        <w:rPr>
          <w:rFonts w:hint="eastAsia"/>
          <w:lang w:eastAsia="zh-CN"/>
        </w:rPr>
        <w:t>二、社会培训中心：促进农民致富</w:t>
      </w:r>
      <w:bookmarkEnd w:id="202"/>
      <w:bookmarkEnd w:id="203"/>
      <w:bookmarkEnd w:id="204"/>
      <w:bookmarkEnd w:id="205"/>
      <w:bookmarkEnd w:id="206"/>
      <w:bookmarkEnd w:id="207"/>
      <w:bookmarkEnd w:id="208"/>
    </w:p>
    <w:p>
      <w:pPr>
        <w:keepNext w:val="0"/>
        <w:keepLines w:val="0"/>
        <w:pageBreakBefore w:val="0"/>
        <w:kinsoku/>
        <w:wordWrap/>
        <w:overflowPunct/>
        <w:topLinePunct w:val="0"/>
        <w:bidi w:val="0"/>
        <w:adjustRightInd w:val="0"/>
        <w:snapToGrid/>
        <w:spacing w:line="600" w:lineRule="exact"/>
        <w:textAlignment w:val="auto"/>
        <w:rPr>
          <w:rFonts w:ascii="宋体" w:cs="宋体"/>
          <w:color w:val="000000"/>
          <w:sz w:val="24"/>
          <w:szCs w:val="24"/>
        </w:rPr>
      </w:pPr>
      <w:r>
        <w:rPr>
          <w:rFonts w:ascii="宋体" w:hAnsi="宋体"/>
          <w:b/>
          <w:sz w:val="24"/>
          <w:szCs w:val="24"/>
        </w:rPr>
        <w:t xml:space="preserve">   </w:t>
      </w:r>
      <w:r>
        <w:rPr>
          <w:rFonts w:ascii="楷体_GB2312" w:hAnsi="宋体" w:eastAsia="楷体_GB2312"/>
          <w:b/>
          <w:sz w:val="24"/>
          <w:szCs w:val="24"/>
        </w:rPr>
        <w:t xml:space="preserve"> </w:t>
      </w:r>
      <w:r>
        <w:rPr>
          <w:rFonts w:hint="eastAsia" w:ascii="楷体_GB2312" w:hAnsi="宋体" w:eastAsia="楷体_GB2312" w:cs="宋体"/>
          <w:b/>
          <w:color w:val="000000"/>
          <w:sz w:val="32"/>
          <w:szCs w:val="32"/>
        </w:rPr>
        <w:t>一乡一品。</w:t>
      </w:r>
      <w:r>
        <w:rPr>
          <w:rFonts w:hint="eastAsia" w:ascii="仿宋_GB2312" w:hAnsi="仿宋_GB2312" w:eastAsia="仿宋_GB2312" w:cs="仿宋_GB2312"/>
          <w:kern w:val="0"/>
          <w:sz w:val="32"/>
          <w:szCs w:val="32"/>
          <w:lang w:val="en-US" w:eastAsia="zh-CN" w:bidi="ar-SA"/>
        </w:rPr>
        <w:t>坚持“教学与服务合一”，围绕全域旅游产业，打造一批成人培训项目品牌。强化产业技能培训，促进地方劳动力转移和产业发展。烹饪专业协同县农办、县餐饮协会开展农家大厨培训项目，旨在培养一大批社会需求旺盛的乡土人才，打造一批“会烧开化菜、烧好开化菜”的农家大厨，让开化美食“走出开化、走向全国”。</w:t>
      </w:r>
      <w:r>
        <w:rPr>
          <w:rFonts w:ascii="宋体" w:hAnsi="宋体" w:cs="宋体"/>
          <w:color w:val="000000"/>
          <w:sz w:val="24"/>
          <w:szCs w:val="24"/>
        </w:rPr>
        <w:t xml:space="preserve">              </w:t>
      </w:r>
    </w:p>
    <w:p>
      <w:pPr>
        <w:pStyle w:val="4"/>
        <w:rPr>
          <w:rFonts w:hint="eastAsia"/>
          <w:lang w:eastAsia="zh-CN"/>
        </w:rPr>
      </w:pPr>
      <w:bookmarkStart w:id="209" w:name="_Toc6033"/>
      <w:bookmarkStart w:id="210" w:name="_Toc27297"/>
      <w:bookmarkStart w:id="211" w:name="_Toc30899"/>
      <w:bookmarkStart w:id="212" w:name="_Toc8646"/>
      <w:bookmarkStart w:id="213" w:name="_Toc26854"/>
      <w:bookmarkStart w:id="214" w:name="_Toc15881"/>
      <w:bookmarkStart w:id="215" w:name="_Toc30397"/>
      <w:r>
        <w:rPr>
          <w:rFonts w:hint="eastAsia"/>
          <w:lang w:eastAsia="zh-CN"/>
        </w:rPr>
        <w:t>三、技术辐射中心：帮助百姓创业</w:t>
      </w:r>
      <w:bookmarkEnd w:id="209"/>
      <w:bookmarkEnd w:id="210"/>
      <w:bookmarkEnd w:id="211"/>
      <w:bookmarkEnd w:id="212"/>
      <w:bookmarkEnd w:id="213"/>
      <w:bookmarkEnd w:id="214"/>
      <w:bookmarkEnd w:id="215"/>
    </w:p>
    <w:p>
      <w:pPr>
        <w:keepNext w:val="0"/>
        <w:keepLines w:val="0"/>
        <w:pageBreakBefore w:val="0"/>
        <w:kinsoku/>
        <w:wordWrap/>
        <w:overflowPunct/>
        <w:topLinePunct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级职业学校依托产学研一体成为技术推广、平民创业的孵化器，实现“开设一个专业，培养一批人才，服务一个产业，富裕一方经济”的理想。组织实施新型农民培训，重点培训科技带头人、乡村旅游经纪人和专业合作组织领办人等，加快提高农民素质和创业能力，以创业带动就业，实现创业富民、创新强农。</w:t>
      </w:r>
    </w:p>
    <w:p>
      <w:pPr>
        <w:pStyle w:val="4"/>
        <w:rPr>
          <w:rFonts w:hint="eastAsia"/>
          <w:lang w:eastAsia="zh-CN"/>
        </w:rPr>
      </w:pPr>
      <w:bookmarkStart w:id="216" w:name="_Toc5373"/>
      <w:bookmarkStart w:id="217" w:name="_Toc7509"/>
      <w:bookmarkStart w:id="218" w:name="_Toc4277"/>
      <w:bookmarkStart w:id="219" w:name="_Toc3406"/>
      <w:bookmarkStart w:id="220" w:name="_Toc2514"/>
      <w:bookmarkStart w:id="221" w:name="_Toc14991"/>
      <w:bookmarkStart w:id="222" w:name="_Toc9671"/>
      <w:r>
        <w:rPr>
          <w:rFonts w:hint="eastAsia"/>
          <w:lang w:eastAsia="zh-CN"/>
        </w:rPr>
        <w:t>四、综合服务中心：促进村校共融</w:t>
      </w:r>
      <w:bookmarkEnd w:id="216"/>
      <w:bookmarkEnd w:id="217"/>
      <w:bookmarkEnd w:id="218"/>
      <w:bookmarkEnd w:id="219"/>
      <w:bookmarkEnd w:id="220"/>
      <w:bookmarkEnd w:id="221"/>
      <w:bookmarkEnd w:id="222"/>
    </w:p>
    <w:p>
      <w:pPr>
        <w:keepNext w:val="0"/>
        <w:keepLines w:val="0"/>
        <w:pageBreakBefore w:val="0"/>
        <w:kinsoku/>
        <w:wordWrap/>
        <w:overflowPunct/>
        <w:topLinePunct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随着国家乡村振兴战略实施，学校培训处结合地方特色开设了乡村导游讲解员培训、新农村景点介绍、月嫂培训班等培训，对农民朋友培训服务礼仪、茶艺等知识。学校旅游专业课老师带领学生礼仪社团为开化县星伴旅游公司员工提供从理念到实践的服务礼仪相关课程培训。学校利用师资和设施、设备上优势开展各类职业技能社会培训，每年培训突破4000人次，已成为开化县最大培训基地，其中 “乡村导游”“茶艺师”“农家大厨”培训已成为省、市、县的品牌培训项目。由开化县委组织部牵头，学校与杨林镇结对，全面承担“乡村振兴大讲堂”服务工作，成为新亮点。</w:t>
      </w:r>
    </w:p>
    <w:p>
      <w:pPr>
        <w:pStyle w:val="4"/>
        <w:rPr>
          <w:rFonts w:hint="eastAsia"/>
          <w:lang w:eastAsia="zh-CN"/>
        </w:rPr>
      </w:pPr>
      <w:bookmarkStart w:id="223" w:name="_Toc31054"/>
      <w:bookmarkStart w:id="224" w:name="_Toc7856"/>
      <w:bookmarkStart w:id="225" w:name="_Toc19291"/>
      <w:bookmarkStart w:id="226" w:name="_Toc31812"/>
      <w:bookmarkStart w:id="227" w:name="_Toc4110"/>
      <w:bookmarkStart w:id="228" w:name="_Toc7491"/>
      <w:bookmarkStart w:id="229" w:name="_Toc24694"/>
      <w:r>
        <w:rPr>
          <w:rFonts w:hint="eastAsia"/>
          <w:lang w:eastAsia="zh-CN"/>
        </w:rPr>
        <w:t>五、文化传承中心：提升农村品位</w:t>
      </w:r>
      <w:bookmarkEnd w:id="223"/>
      <w:bookmarkEnd w:id="224"/>
      <w:bookmarkEnd w:id="225"/>
      <w:bookmarkEnd w:id="226"/>
      <w:bookmarkEnd w:id="227"/>
      <w:bookmarkEnd w:id="228"/>
      <w:bookmarkEnd w:id="229"/>
    </w:p>
    <w:p>
      <w:pPr>
        <w:keepNext w:val="0"/>
        <w:keepLines w:val="0"/>
        <w:pageBreakBefore w:val="0"/>
        <w:kinsoku/>
        <w:wordWrap/>
        <w:overflowPunct/>
        <w:topLinePunct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职业教育在传承地方文化（产业文化、民俗文化、非遗文化）方面有责任有担当。文化传承包括烙着家乡发展印记的传统技艺文化。开化是中国龙顶茶之乡，龙顶茶的制作工艺细致，工序要求严格，从茶青到成品的七道工序，要求通过手工完成。为传承、保护开化龙顶茶的手工制作技艺，学校在附近开辟50亩茶园，每年三四月份茶园采摘时节，茶艺专业学生们采茶，制茶，品茶，形成链条式学习实践。特邀开化龙顶茶（手工）制作技艺代表性传承人周光霖先生传授制作技艺。2018年由中国农业国际合作促进会茶产业委员会和CCTV-7乡土栏目共同策划的第二季《乡土·行走魅力茶乡》纪录片摄制组走进村庄与学校，实拍学生手工传统制茶及茶艺展示成果。学校致力于为各个乡镇打造家乡“开化龙顶茶”代言人。此外，职业学校与成人学校一起参与文化礼堂的文化建设，语文组老师为一些乡村写村歌。</w:t>
      </w:r>
    </w:p>
    <w:p>
      <w:pPr>
        <w:pStyle w:val="17"/>
        <w:rPr>
          <w:rFonts w:hint="eastAsia"/>
          <w:lang w:val="en-US" w:eastAsia="zh-CN"/>
        </w:rPr>
      </w:pPr>
    </w:p>
    <w:p>
      <w:pPr>
        <w:pStyle w:val="3"/>
        <w:ind w:left="0" w:leftChars="0" w:firstLine="0" w:firstLineChars="0"/>
        <w:jc w:val="center"/>
        <w:rPr>
          <w:rFonts w:hint="eastAsia" w:ascii="方正小标宋简体" w:hAnsi="方正小标宋简体" w:eastAsia="方正小标宋简体" w:cs="方正小标宋简体"/>
          <w:lang w:val="en-US" w:eastAsia="zh-CN"/>
        </w:rPr>
      </w:pPr>
      <w:bookmarkStart w:id="230" w:name="_Toc12760"/>
      <w:bookmarkStart w:id="231" w:name="_Toc3654"/>
      <w:bookmarkStart w:id="232" w:name="_Toc7906"/>
      <w:bookmarkStart w:id="233" w:name="_Toc17711"/>
      <w:bookmarkStart w:id="234" w:name="_Toc16631"/>
      <w:bookmarkStart w:id="235" w:name="_Toc27651"/>
      <w:bookmarkStart w:id="236" w:name="_Toc4108"/>
      <w:r>
        <w:rPr>
          <w:rFonts w:hint="eastAsia" w:ascii="方正小标宋简体" w:hAnsi="方正小标宋简体" w:eastAsia="方正小标宋简体" w:cs="方正小标宋简体"/>
          <w:lang w:val="en-US" w:eastAsia="zh-CN"/>
        </w:rPr>
        <w:t>案例三：双师双徒 平台赋能</w:t>
      </w:r>
      <w:bookmarkEnd w:id="230"/>
      <w:bookmarkEnd w:id="231"/>
      <w:bookmarkEnd w:id="232"/>
      <w:bookmarkEnd w:id="233"/>
      <w:bookmarkEnd w:id="234"/>
      <w:bookmarkEnd w:id="235"/>
      <w:bookmarkEnd w:id="236"/>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国2025智能制造也对技能型人才提出了新的要求。如何培养企业需要的一线职工是每个中职学校的职责。衢州数字工业学校抓住常山县职业教育发展大会召开契机，出台一系列发展职业教育的新政策，其中创办工匠学院，搭建技能大师进校园的平台，就是其中最具职教改革意义的一项举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bookmarkStart w:id="237" w:name="_Toc10348"/>
      <w:bookmarkStart w:id="238" w:name="_Toc22079"/>
      <w:bookmarkStart w:id="239" w:name="_Toc17062"/>
      <w:bookmarkStart w:id="240" w:name="_Toc7793"/>
      <w:bookmarkStart w:id="241" w:name="_Toc3001"/>
      <w:bookmarkStart w:id="242" w:name="_Toc25312"/>
      <w:bookmarkStart w:id="243" w:name="_Toc24102"/>
      <w:r>
        <w:rPr>
          <w:rStyle w:val="20"/>
          <w:rFonts w:hint="eastAsia"/>
          <w:lang w:eastAsia="zh-CN"/>
        </w:rPr>
        <w:t>一、冲破各部门沟通藩篱，赋能平台育人机制。</w:t>
      </w:r>
      <w:bookmarkEnd w:id="237"/>
      <w:bookmarkEnd w:id="238"/>
      <w:bookmarkEnd w:id="239"/>
      <w:bookmarkEnd w:id="240"/>
      <w:bookmarkEnd w:id="241"/>
      <w:bookmarkEnd w:id="242"/>
      <w:bookmarkEnd w:id="243"/>
      <w:r>
        <w:rPr>
          <w:rFonts w:hint="eastAsia" w:ascii="仿宋_GB2312" w:hAnsi="仿宋_GB2312" w:eastAsia="仿宋_GB2312" w:cs="仿宋_GB2312"/>
          <w:kern w:val="0"/>
          <w:sz w:val="32"/>
          <w:szCs w:val="32"/>
          <w:lang w:val="en-US" w:eastAsia="zh-CN" w:bidi="ar-SA"/>
        </w:rPr>
        <w:t>校企共建培育企业需要的技能工人，政府和企业的参与非常重要。为了落实工匠学院产、教、研、训的培养目标，在工匠学院授牌之初就制定了相关的运行方案，成立领导小组明确部门职责，由县政府分管副县长任组长，负责指导和协调工匠学院的有序开展，经信局负责对接企业，财政局负责工匠学院运行经费保障。衢州市数字工业学校指定专门处室负责工匠学院的日常运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28"/>
          <w:szCs w:val="28"/>
          <w:lang w:val="en-US" w:eastAsia="zh-CN"/>
        </w:rPr>
      </w:pPr>
      <w:bookmarkStart w:id="244" w:name="_Toc7824"/>
      <w:bookmarkStart w:id="245" w:name="_Toc31017"/>
      <w:bookmarkStart w:id="246" w:name="_Toc25257"/>
      <w:bookmarkStart w:id="247" w:name="_Toc1942"/>
      <w:bookmarkStart w:id="248" w:name="_Toc12350"/>
      <w:bookmarkStart w:id="249" w:name="_Toc16861"/>
      <w:bookmarkStart w:id="250" w:name="_Toc15718"/>
      <w:r>
        <w:rPr>
          <w:rStyle w:val="20"/>
          <w:rFonts w:hint="eastAsia"/>
          <w:lang w:eastAsia="zh-CN"/>
        </w:rPr>
        <w:t>二、组建企业大师流动池，推行驻校首席技师制度。</w:t>
      </w:r>
      <w:bookmarkEnd w:id="244"/>
      <w:bookmarkEnd w:id="245"/>
      <w:bookmarkEnd w:id="246"/>
      <w:bookmarkEnd w:id="247"/>
      <w:bookmarkEnd w:id="248"/>
      <w:bookmarkEnd w:id="249"/>
      <w:bookmarkEnd w:id="250"/>
      <w:r>
        <w:rPr>
          <w:rFonts w:hint="eastAsia" w:ascii="仿宋_GB2312" w:hAnsi="仿宋_GB2312" w:eastAsia="仿宋_GB2312" w:cs="仿宋_GB2312"/>
          <w:kern w:val="0"/>
          <w:sz w:val="32"/>
          <w:szCs w:val="32"/>
          <w:lang w:val="en-US" w:eastAsia="zh-CN" w:bidi="ar-SA"/>
        </w:rPr>
        <w:t xml:space="preserve"> 根据常山主导产业发展情况，以新材料、机械制造、电子电工、大健康等为重点，引进区域范围内行业企业的技能领军人才，聘为驻校首席技师，设立大师工作室。第一批引进的大师以常山县首批“十大工匠”为代表，设立了5个大师工作室；2020年增设了汽修制造与检修大师工作室。</w:t>
      </w:r>
      <w:r>
        <w:rPr>
          <w:rFonts w:hint="eastAsia" w:ascii="楷体_GB2312" w:hAnsi="楷体_GB2312" w:eastAsia="楷体_GB2312" w:cs="楷体_GB2312"/>
          <w:color w:val="auto"/>
          <w:kern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bookmarkStart w:id="251" w:name="_Toc27179"/>
      <w:bookmarkStart w:id="252" w:name="_Toc13424"/>
      <w:bookmarkStart w:id="253" w:name="_Toc22868"/>
      <w:bookmarkStart w:id="254" w:name="_Toc19615"/>
      <w:bookmarkStart w:id="255" w:name="_Toc9084"/>
      <w:bookmarkStart w:id="256" w:name="_Toc19336"/>
      <w:bookmarkStart w:id="257" w:name="_Toc26931"/>
      <w:r>
        <w:rPr>
          <w:rStyle w:val="20"/>
          <w:rFonts w:hint="eastAsia"/>
          <w:lang w:eastAsia="zh-CN"/>
        </w:rPr>
        <w:t>三、挖掘地方非遗技艺，成立民间大师工作室。</w:t>
      </w:r>
      <w:bookmarkEnd w:id="251"/>
      <w:bookmarkEnd w:id="252"/>
      <w:bookmarkEnd w:id="253"/>
      <w:bookmarkEnd w:id="254"/>
      <w:bookmarkEnd w:id="255"/>
      <w:bookmarkEnd w:id="256"/>
      <w:bookmarkEnd w:id="257"/>
      <w:r>
        <w:rPr>
          <w:rFonts w:hint="eastAsia" w:ascii="楷体_GB2312" w:hAnsi="楷体_GB2312" w:eastAsia="楷体_GB2312" w:cs="楷体_GB2312"/>
          <w:color w:val="auto"/>
          <w:kern w:val="0"/>
          <w:sz w:val="28"/>
          <w:szCs w:val="28"/>
          <w:lang w:eastAsia="zh-CN"/>
        </w:rPr>
        <w:t>“</w:t>
      </w:r>
      <w:r>
        <w:rPr>
          <w:rFonts w:hint="eastAsia" w:ascii="仿宋_GB2312" w:hAnsi="仿宋_GB2312" w:eastAsia="仿宋_GB2312" w:cs="仿宋_GB2312"/>
          <w:kern w:val="0"/>
          <w:sz w:val="32"/>
          <w:szCs w:val="32"/>
          <w:lang w:val="en-US" w:eastAsia="zh-CN" w:bidi="ar-SA"/>
        </w:rPr>
        <w:t>世代匠心”不仅厚植在企业技能大师中，也厚植于很多的非物质文化遗产中。职业教育不仅要与产业对接、培养技能人才，也要传承文化。常山工匠学院设立了省非遗竹编和国家非遗“武当太乙拳”大师工作，引进章嘉水和左琦两位大师进校，手把手带徒创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bookmarkStart w:id="258" w:name="_Toc15062"/>
      <w:bookmarkStart w:id="259" w:name="_Toc6958"/>
      <w:bookmarkStart w:id="260" w:name="_Toc13636"/>
      <w:bookmarkStart w:id="261" w:name="_Toc22884"/>
      <w:bookmarkStart w:id="262" w:name="_Toc15256"/>
      <w:bookmarkStart w:id="263" w:name="_Toc14151"/>
      <w:bookmarkStart w:id="264" w:name="_Toc18496"/>
      <w:r>
        <w:rPr>
          <w:rStyle w:val="20"/>
          <w:rFonts w:hint="eastAsia"/>
          <w:lang w:eastAsia="zh-CN"/>
        </w:rPr>
        <w:t>四、实施“双师双徒”制，培育常山小工匠。</w:t>
      </w:r>
      <w:bookmarkEnd w:id="258"/>
      <w:bookmarkEnd w:id="259"/>
      <w:bookmarkEnd w:id="260"/>
      <w:bookmarkEnd w:id="261"/>
      <w:bookmarkEnd w:id="262"/>
      <w:bookmarkEnd w:id="263"/>
      <w:bookmarkEnd w:id="264"/>
      <w:r>
        <w:rPr>
          <w:rFonts w:hint="eastAsia" w:ascii="仿宋_GB2312" w:hAnsi="仿宋_GB2312" w:eastAsia="仿宋_GB2312" w:cs="仿宋_GB2312"/>
          <w:kern w:val="0"/>
          <w:sz w:val="32"/>
          <w:szCs w:val="32"/>
          <w:lang w:val="en-US" w:eastAsia="zh-CN" w:bidi="ar-SA"/>
        </w:rPr>
        <w:t>工匠学院就是在技能大师、教师、学生之间搭建平台，提供服务和管理。技能大师是教师和学生的技能师傅，学校教师是技能大师的教学指导老师和学生的上课教师。教师徒弟接受大师的研训和承担大师上课的教辅工作，学生徒弟接受教师徒弟的专业教学和技能大师的技艺传承。创新“5+X”育人模式，搭建师徒沟通新平台。“5+X”育人模式是在不影响学生日常教学的基础上建立的，“5” 是一周5个工作日，“X”是1-4个晚自修或是周末，即学生白天和工作日按照课表完成学历教育，在晚自修和周末进行工匠学院的技能或非遗特色课程的学习。大师们白天正常企业上班或是艺术创作，下班后再到工匠学院进行技艺的传承。如果需要，周末师傅会将学徒带到企业进行现场技艺传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bookmarkStart w:id="265" w:name="_Toc3497"/>
      <w:bookmarkStart w:id="266" w:name="_Toc3235"/>
      <w:bookmarkStart w:id="267" w:name="_Toc708"/>
      <w:bookmarkStart w:id="268" w:name="_Toc12960"/>
      <w:bookmarkStart w:id="269" w:name="_Toc1250"/>
      <w:bookmarkStart w:id="270" w:name="_Toc15603"/>
      <w:bookmarkStart w:id="271" w:name="_Toc23499"/>
      <w:r>
        <w:rPr>
          <w:rStyle w:val="20"/>
          <w:rFonts w:hint="eastAsia"/>
          <w:lang w:eastAsia="zh-CN"/>
        </w:rPr>
        <w:t>五、双元育人显成效，师生素养明显提升。</w:t>
      </w:r>
      <w:bookmarkEnd w:id="265"/>
      <w:bookmarkEnd w:id="266"/>
      <w:bookmarkEnd w:id="267"/>
      <w:bookmarkEnd w:id="268"/>
      <w:bookmarkEnd w:id="269"/>
      <w:bookmarkEnd w:id="270"/>
      <w:bookmarkEnd w:id="271"/>
      <w:r>
        <w:rPr>
          <w:rFonts w:hint="eastAsia" w:ascii="仿宋_GB2312" w:hAnsi="仿宋_GB2312" w:eastAsia="仿宋_GB2312" w:cs="仿宋_GB2312"/>
          <w:kern w:val="0"/>
          <w:sz w:val="32"/>
          <w:szCs w:val="32"/>
          <w:lang w:val="en-US" w:eastAsia="zh-CN" w:bidi="ar-SA"/>
        </w:rPr>
        <w:t>一大批教师学徒跟着师傅进行技能实操学习后，使理论与实践紧密对接，大大提升了专业素养。他们与大师一起研讨新的工艺方法，将所学应用于教学和学生竞赛辅导中，在很多赛项上取得零的突破。在接到技能比赛项目后，技能大师会将自己的工作团队带入学校帮助学校教师一起研究比赛赛点，攻克技术难点。其中电子电工团队辅导学生参加省电气安装与调试项目中获得省三等奖；通过工匠学院这个平台，企业大师直接对学生进行一对一的精心培养，使</w:t>
      </w:r>
      <w:bookmarkStart w:id="291" w:name="_GoBack"/>
      <w:bookmarkEnd w:id="291"/>
      <w:r>
        <w:rPr>
          <w:rFonts w:hint="eastAsia" w:ascii="仿宋_GB2312" w:hAnsi="仿宋_GB2312" w:eastAsia="仿宋_GB2312" w:cs="仿宋_GB2312"/>
          <w:kern w:val="0"/>
          <w:sz w:val="32"/>
          <w:szCs w:val="32"/>
          <w:lang w:val="en-US" w:eastAsia="zh-CN" w:bidi="ar-SA"/>
        </w:rPr>
        <w:t>学生无论在技能上，还是对企业文化的认同上，都能做到与企业高度匹配；甚至有大师已经做好了在校学徒的职业规划和岗位对接；工匠学院技能大师结合自身工作经验总结出来的教案经过系统整理，形成特色课程可推广使用。工匠学院在短短的一年多时间里，大师们的教学手册，经过整理，已经初步形成多门类的特色教材。这些教材极大丰富了学校的校本课程开发。这些“活页式”的教材实践性强，有力助推了学校的“三教改革”。</w:t>
      </w:r>
    </w:p>
    <w:p>
      <w:pPr>
        <w:pStyle w:val="2"/>
        <w:rPr>
          <w:rFonts w:hint="eastAsia" w:ascii="黑体" w:hAnsi="黑体" w:eastAsia="黑体" w:cs="黑体"/>
          <w:sz w:val="32"/>
          <w:szCs w:val="32"/>
        </w:rPr>
      </w:pPr>
      <w:bookmarkStart w:id="272" w:name="_Toc8699"/>
      <w:bookmarkStart w:id="273" w:name="_Toc32450"/>
      <w:bookmarkStart w:id="274" w:name="_Toc13576"/>
      <w:r>
        <w:rPr>
          <w:rFonts w:hint="eastAsia" w:ascii="Arial" w:hAnsi="Arial" w:eastAsia="楷体" w:cs="Times New Roman"/>
          <w:b w:val="0"/>
          <w:kern w:val="2"/>
          <w:sz w:val="32"/>
          <w:szCs w:val="22"/>
          <w:lang w:val="en-US" w:eastAsia="zh-CN" w:bidi="ar-SA"/>
        </w:rPr>
        <w:t>8.</w:t>
      </w:r>
      <w:r>
        <w:rPr>
          <w:rStyle w:val="21"/>
          <w:rFonts w:hint="eastAsia"/>
        </w:rPr>
        <w:t>学校党建工作情况</w:t>
      </w:r>
      <w:bookmarkEnd w:id="272"/>
      <w:bookmarkEnd w:id="273"/>
      <w:bookmarkEnd w:id="274"/>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强化党建统领。扎实推进党对教育工作全面领导。按照省委、市委和市教育局党委工作部署，坚持目标导向和问题导向。多层次深入学习宣传贯彻十九大、十九届五中全会、习近平关于教育的重要论述、全国教育大会和市委七届八次、九次全会精神，全面推进党的思想、组织、作风和制度建设。按照“抓党建，促发展，提质量”的思路，充分发挥党组织的战斗堡垒作用和先锋模范作用，为学校高质量、可持续发展提供有力的思想和组织保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强化组织队伍建设。推进党组织领导下的校长负责制工作，立足职教特色培育职业学校党建品牌。开展形式多样主题党日活动，进一步教育引导广大党员教师守纪律、讲规矩，发挥先锋模范作用；重视青年干部和名优骨干教师的培训培养，注重业余党校、团校建设，做到有计划、有措施、有落实。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深化纪律作风建设。从党政班子层面、中层干部层面、教职工和普通党员层面，抓好党风廉政建设，打造政风清廉的管理团队，筑牢廉洁自律“防火墙”，将清廉文化融入校园文化建设中，推进“衢州有礼”文明校园建设。做好党务校务定期公开工作，主动接受学生、家长和社会监督。</w:t>
      </w:r>
    </w:p>
    <w:p>
      <w:pPr>
        <w:pStyle w:val="2"/>
        <w:rPr>
          <w:rFonts w:hint="eastAsia"/>
        </w:rPr>
      </w:pPr>
      <w:bookmarkStart w:id="275" w:name="_Toc20249"/>
      <w:bookmarkStart w:id="276" w:name="_Toc15335"/>
      <w:r>
        <w:rPr>
          <w:rFonts w:hint="eastAsia" w:ascii="Arial" w:hAnsi="Arial" w:eastAsia="楷体" w:cs="Times New Roman"/>
          <w:b w:val="0"/>
          <w:kern w:val="2"/>
          <w:sz w:val="32"/>
          <w:szCs w:val="22"/>
          <w:lang w:val="en-US" w:eastAsia="zh-CN" w:bidi="ar-SA"/>
        </w:rPr>
        <w:t>9.</w:t>
      </w:r>
      <w:r>
        <w:rPr>
          <w:rFonts w:hint="eastAsia"/>
        </w:rPr>
        <w:t>主要问题和改进措施</w:t>
      </w:r>
      <w:bookmarkEnd w:id="275"/>
      <w:bookmarkEnd w:id="276"/>
    </w:p>
    <w:p>
      <w:pPr>
        <w:pStyle w:val="3"/>
        <w:rPr>
          <w:rFonts w:hint="eastAsia"/>
          <w:lang w:val="en-US" w:eastAsia="zh-CN"/>
        </w:rPr>
      </w:pPr>
      <w:bookmarkStart w:id="277" w:name="_Toc28468"/>
      <w:bookmarkStart w:id="278" w:name="_Toc14297"/>
      <w:bookmarkStart w:id="279" w:name="_Toc10988"/>
      <w:bookmarkStart w:id="280" w:name="_Toc10581"/>
      <w:bookmarkStart w:id="281" w:name="_Toc9368"/>
      <w:bookmarkStart w:id="282" w:name="_Toc6193"/>
      <w:bookmarkStart w:id="283" w:name="_Toc17654"/>
      <w:r>
        <w:rPr>
          <w:rFonts w:hint="eastAsia"/>
          <w:lang w:val="en-US" w:eastAsia="zh-CN"/>
        </w:rPr>
        <w:t>9.1主要问题</w:t>
      </w:r>
      <w:bookmarkEnd w:id="277"/>
      <w:bookmarkEnd w:id="278"/>
      <w:bookmarkEnd w:id="279"/>
      <w:bookmarkEnd w:id="280"/>
      <w:bookmarkEnd w:id="281"/>
      <w:bookmarkEnd w:id="282"/>
      <w:bookmarkEnd w:id="283"/>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Cs/>
          <w:sz w:val="32"/>
          <w:szCs w:val="32"/>
          <w:lang w:val="en-US" w:eastAsia="zh-CN"/>
        </w:rPr>
        <w:t>职业教育社会吸引力不够。</w:t>
      </w:r>
      <w:r>
        <w:rPr>
          <w:rFonts w:hint="eastAsia" w:ascii="仿宋_GB2312" w:hAnsi="仿宋_GB2312" w:eastAsia="仿宋_GB2312" w:cs="仿宋_GB2312"/>
          <w:kern w:val="0"/>
          <w:sz w:val="32"/>
          <w:szCs w:val="32"/>
          <w:lang w:val="en-US" w:eastAsia="zh-CN" w:bidi="ar-SA"/>
        </w:rPr>
        <w:t>虽然近几年社会对职业院校的认可有所提升，但在报读生源上几乎处于普高分数以下分段。</w:t>
      </w:r>
      <w:r>
        <w:rPr>
          <w:rFonts w:hint="eastAsia" w:ascii="仿宋_GB2312" w:hAnsi="仿宋_GB2312" w:eastAsia="仿宋_GB2312" w:cs="仿宋_GB2312"/>
          <w:sz w:val="32"/>
          <w:szCs w:val="32"/>
        </w:rPr>
        <w:t>社会家长层面对职业教育仍然存在歧视心理，认为职业教育是“</w:t>
      </w:r>
      <w:r>
        <w:rPr>
          <w:rFonts w:hint="eastAsia" w:ascii="仿宋_GB2312" w:hAnsi="仿宋_GB2312" w:eastAsia="仿宋_GB2312" w:cs="仿宋_GB2312"/>
          <w:sz w:val="32"/>
          <w:szCs w:val="32"/>
          <w:lang w:eastAsia="zh-CN"/>
        </w:rPr>
        <w:t>差生</w:t>
      </w:r>
      <w:r>
        <w:rPr>
          <w:rFonts w:hint="eastAsia" w:ascii="仿宋_GB2312" w:hAnsi="仿宋_GB2312" w:eastAsia="仿宋_GB2312" w:cs="仿宋_GB2312"/>
          <w:sz w:val="32"/>
          <w:szCs w:val="32"/>
        </w:rPr>
        <w:t>教育”“托底教育”，就读普通高中升入普通高校</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是唯一出路。</w:t>
      </w:r>
      <w:r>
        <w:rPr>
          <w:rFonts w:hint="eastAsia" w:ascii="仿宋_GB2312" w:hAnsi="仿宋_GB2312" w:eastAsia="仿宋_GB2312" w:cs="仿宋_GB2312"/>
          <w:kern w:val="0"/>
          <w:sz w:val="32"/>
          <w:szCs w:val="32"/>
          <w:lang w:val="en-US" w:eastAsia="zh-CN" w:bidi="ar-SA"/>
        </w:rPr>
        <w:t>地方政府对职业教育也不够重视，无论是生均公用经费还是对其他项目的财政支持上，仍然存在“厚此薄彼”，更看重初中生中考重点高中的比例和普高的高考录取率，存在“重普高，轻职教”的倾向。</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en-US" w:eastAsia="zh-CN"/>
        </w:rPr>
        <w:t>师资队伍能力不强。</w:t>
      </w:r>
      <w:r>
        <w:rPr>
          <w:rFonts w:hint="eastAsia" w:ascii="仿宋_GB2312" w:hAnsi="仿宋_GB2312" w:eastAsia="仿宋_GB2312" w:cs="仿宋_GB2312"/>
          <w:sz w:val="32"/>
          <w:szCs w:val="32"/>
        </w:rPr>
        <w:t>目前职业院校师资来源单一，普遍缺少企业经验，而兼职教师不足10%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与国家的逐步落实职业院校兼职教师占比30%的比例还有很大差距</w:t>
      </w:r>
      <w:r>
        <w:rPr>
          <w:rFonts w:hint="eastAsia" w:ascii="仿宋_GB2312" w:hAnsi="仿宋_GB2312" w:eastAsia="仿宋_GB2312" w:cs="仿宋_GB2312"/>
          <w:sz w:val="32"/>
          <w:szCs w:val="32"/>
          <w:lang w:eastAsia="zh-CN"/>
        </w:rPr>
        <w:t>。加上缺乏相应的政策支持，“</w:t>
      </w:r>
      <w:r>
        <w:rPr>
          <w:rFonts w:hint="eastAsia" w:ascii="仿宋_GB2312" w:hAnsi="仿宋_GB2312" w:eastAsia="仿宋_GB2312" w:cs="仿宋_GB2312"/>
          <w:sz w:val="32"/>
          <w:szCs w:val="32"/>
        </w:rPr>
        <w:t>职业院校教师下企业实践锻炼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高技能人才进校园兼职</w:t>
      </w:r>
      <w:r>
        <w:rPr>
          <w:rFonts w:hint="eastAsia" w:ascii="仿宋_GB2312" w:hAnsi="仿宋_GB2312" w:eastAsia="仿宋_GB2312" w:cs="仿宋_GB2312"/>
          <w:sz w:val="32"/>
          <w:szCs w:val="32"/>
          <w:lang w:eastAsia="zh-CN"/>
        </w:rPr>
        <w:t>补贴得不到保障，导致</w:t>
      </w:r>
      <w:r>
        <w:rPr>
          <w:rFonts w:hint="eastAsia" w:ascii="仿宋_GB2312" w:hAnsi="仿宋_GB2312" w:eastAsia="仿宋_GB2312" w:cs="仿宋_GB2312"/>
          <w:sz w:val="32"/>
          <w:szCs w:val="32"/>
        </w:rPr>
        <w:t>教师下企业积极性</w:t>
      </w:r>
      <w:r>
        <w:rPr>
          <w:rFonts w:hint="eastAsia" w:ascii="仿宋_GB2312" w:hAnsi="仿宋_GB2312" w:eastAsia="仿宋_GB2312" w:cs="仿宋_GB2312"/>
          <w:sz w:val="32"/>
          <w:szCs w:val="32"/>
          <w:lang w:eastAsia="zh-CN"/>
        </w:rPr>
        <w:t>不高，学校也</w:t>
      </w:r>
      <w:r>
        <w:rPr>
          <w:rFonts w:hint="eastAsia" w:ascii="仿宋_GB2312" w:hAnsi="仿宋_GB2312" w:eastAsia="仿宋_GB2312" w:cs="仿宋_GB2312"/>
          <w:sz w:val="32"/>
          <w:szCs w:val="32"/>
        </w:rPr>
        <w:t>不愿意聘请兼职教师。久而久之，造成理论教学和实践教学能力的“双师型”教师和教学团队短缺。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Cs/>
          <w:sz w:val="32"/>
          <w:szCs w:val="32"/>
          <w:lang w:val="en-US" w:eastAsia="zh-CN"/>
        </w:rPr>
        <w:t>职业教育纵向贯通不足。</w:t>
      </w:r>
      <w:r>
        <w:rPr>
          <w:rFonts w:hint="eastAsia" w:ascii="仿宋_GB2312" w:hAnsi="Calibri" w:eastAsia="仿宋_GB2312" w:cs="Times New Roman"/>
          <w:b w:val="0"/>
          <w:bCs w:val="0"/>
          <w:color w:val="auto"/>
          <w:kern w:val="2"/>
          <w:sz w:val="32"/>
          <w:szCs w:val="32"/>
          <w:lang w:val="en-US" w:eastAsia="zh-CN" w:bidi="ar-SA"/>
        </w:rPr>
        <w:t>虽然中职有实施中高职一体化、中本一体化贯通培养模式，但是</w:t>
      </w:r>
      <w:r>
        <w:rPr>
          <w:rFonts w:hint="eastAsia" w:ascii="仿宋_GB2312" w:eastAsia="仿宋_GB2312" w:cs="Times New Roman"/>
          <w:b w:val="0"/>
          <w:bCs w:val="0"/>
          <w:color w:val="auto"/>
          <w:kern w:val="2"/>
          <w:sz w:val="32"/>
          <w:szCs w:val="32"/>
          <w:lang w:val="en-US" w:eastAsia="zh-CN" w:bidi="ar-SA"/>
        </w:rPr>
        <w:t>主要局限在招生层面，</w:t>
      </w:r>
      <w:r>
        <w:rPr>
          <w:rFonts w:hint="eastAsia" w:ascii="仿宋_GB2312" w:hAnsi="仿宋_GB2312" w:eastAsia="仿宋_GB2312" w:cs="仿宋_GB2312"/>
          <w:kern w:val="0"/>
          <w:sz w:val="32"/>
          <w:szCs w:val="32"/>
          <w:lang w:val="en-US" w:eastAsia="zh-CN" w:bidi="ar-SA"/>
        </w:rPr>
        <w:t>中职和高职、应用型大学一体化培养没有很好融通，专业设置的匹配度不够，中高职衔接总体体量偏小，对中等职业教育的拉动作用较弱。</w:t>
      </w:r>
    </w:p>
    <w:p>
      <w:pPr>
        <w:pStyle w:val="3"/>
        <w:ind w:firstLine="880"/>
        <w:rPr>
          <w:rFonts w:hint="eastAsia" w:ascii="Arial" w:hAnsi="Arial"/>
          <w:b w:val="0"/>
          <w:lang w:val="en-US" w:eastAsia="zh-CN"/>
        </w:rPr>
      </w:pPr>
      <w:bookmarkStart w:id="284" w:name="_Toc15189"/>
      <w:bookmarkStart w:id="285" w:name="_Toc4214"/>
      <w:bookmarkStart w:id="286" w:name="_Toc24444"/>
      <w:bookmarkStart w:id="287" w:name="_Toc28931"/>
      <w:bookmarkStart w:id="288" w:name="_Toc18123"/>
      <w:bookmarkStart w:id="289" w:name="_Toc28133"/>
      <w:bookmarkStart w:id="290" w:name="_Toc31392"/>
      <w:r>
        <w:rPr>
          <w:rFonts w:hint="eastAsia" w:ascii="Arial" w:hAnsi="Arial"/>
          <w:b w:val="0"/>
          <w:lang w:val="en-US" w:eastAsia="zh-CN"/>
        </w:rPr>
        <w:t>9.2改进措施</w:t>
      </w:r>
      <w:bookmarkEnd w:id="284"/>
      <w:bookmarkEnd w:id="285"/>
      <w:bookmarkEnd w:id="286"/>
      <w:bookmarkEnd w:id="287"/>
      <w:bookmarkEnd w:id="288"/>
      <w:bookmarkEnd w:id="289"/>
      <w:bookmarkEnd w:id="290"/>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eastAsia="楷体_GB2312"/>
          <w:sz w:val="32"/>
          <w:szCs w:val="32"/>
          <w:lang w:eastAsia="zh-CN"/>
        </w:rPr>
        <w:t>完善</w:t>
      </w:r>
      <w:r>
        <w:rPr>
          <w:rFonts w:hint="eastAsia" w:ascii="楷体_GB2312" w:eastAsia="楷体_GB2312"/>
          <w:sz w:val="32"/>
          <w:szCs w:val="32"/>
        </w:rPr>
        <w:t>标准</w:t>
      </w:r>
      <w:r>
        <w:rPr>
          <w:rFonts w:hint="eastAsia" w:ascii="楷体_GB2312" w:eastAsia="楷体_GB2312"/>
          <w:sz w:val="32"/>
          <w:szCs w:val="32"/>
          <w:lang w:eastAsia="zh-CN"/>
        </w:rPr>
        <w:t>体系</w:t>
      </w:r>
      <w:r>
        <w:rPr>
          <w:rFonts w:hint="eastAsia" w:ascii="楷体_GB2312" w:eastAsia="楷体_GB2312"/>
          <w:sz w:val="32"/>
          <w:szCs w:val="32"/>
        </w:rPr>
        <w:t>，</w:t>
      </w:r>
      <w:r>
        <w:rPr>
          <w:rFonts w:hint="eastAsia" w:ascii="楷体_GB2312" w:eastAsia="楷体_GB2312"/>
          <w:sz w:val="32"/>
          <w:szCs w:val="32"/>
          <w:lang w:eastAsia="zh-CN"/>
        </w:rPr>
        <w:t>实施“三教”改革。</w:t>
      </w:r>
      <w:r>
        <w:rPr>
          <w:rFonts w:hint="eastAsia" w:ascii="仿宋_GB2312" w:hAnsi="仿宋_GB2312" w:eastAsia="仿宋_GB2312" w:cs="仿宋_GB2312"/>
          <w:kern w:val="0"/>
          <w:sz w:val="32"/>
          <w:szCs w:val="32"/>
          <w:lang w:val="en-US" w:eastAsia="zh-CN" w:bidi="ar-SA"/>
        </w:rPr>
        <w:t>一是启动课堂教学改革。开展衢州市新教学改革与质量提升工程，围绕建设标准，坚定学校发展方向，全面推进特色化学校开展认定评估，推进职业教育内涵发展，提升职业教育吸引力。二是编撰地方特色教材。围绕“双高”建设，下发专业设置管理和专业建设标准，开发独具地方特色的“活页式教材”或“工作手册式教材”。</w:t>
      </w:r>
    </w:p>
    <w:p>
      <w:pPr>
        <w:keepNext w:val="0"/>
        <w:keepLines w:val="0"/>
        <w:pageBreakBefore w:val="0"/>
        <w:kinsoku/>
        <w:wordWrap/>
        <w:overflowPunct/>
        <w:topLinePunct w:val="0"/>
        <w:bidi w:val="0"/>
        <w:snapToGrid/>
        <w:spacing w:line="600" w:lineRule="exact"/>
        <w:ind w:firstLine="63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en-US" w:eastAsia="zh-CN"/>
        </w:rPr>
        <w:t>推进双进工程，提升师资育人水平。</w:t>
      </w:r>
      <w:r>
        <w:rPr>
          <w:rFonts w:hint="eastAsia" w:ascii="仿宋_GB2312" w:eastAsia="仿宋_GB2312"/>
          <w:sz w:val="32"/>
          <w:szCs w:val="32"/>
        </w:rPr>
        <w:t>组建完成融学校、行业、企业、科研机构师资为一体的“双师型”教师教学创新团队，启动职业教育“领军人才”培养。实施“首席技师”“高技能人才”“技能大师”进职校，“教师进企业”的双进工程，通过建立“企业实践基地库、兼职教师流动池、专业教师服务岗、兼职教师特聘岗”，推进校企师资共育。发挥衢职院、衢州学院在专业共建的拉力作用，推进中高职师资共融共研。</w:t>
      </w:r>
      <w:r>
        <w:rPr>
          <w:rFonts w:hint="eastAsia" w:ascii="仿宋_GB2312" w:eastAsia="仿宋_GB2312"/>
          <w:sz w:val="32"/>
          <w:szCs w:val="32"/>
          <w:lang w:eastAsia="zh-CN"/>
        </w:rPr>
        <w:t>全面</w:t>
      </w:r>
      <w:r>
        <w:rPr>
          <w:rFonts w:hint="eastAsia" w:ascii="仿宋_GB2312" w:eastAsia="仿宋_GB2312"/>
          <w:sz w:val="32"/>
          <w:szCs w:val="32"/>
        </w:rPr>
        <w:t>打响“南孔工匠”“南孔新匠”品牌。</w:t>
      </w:r>
    </w:p>
    <w:p>
      <w:pPr>
        <w:keepNext w:val="0"/>
        <w:keepLines w:val="0"/>
        <w:pageBreakBefore w:val="0"/>
        <w:kinsoku/>
        <w:wordWrap/>
        <w:overflowPunct/>
        <w:topLinePunct w:val="0"/>
        <w:bidi w:val="0"/>
        <w:adjustRightInd/>
        <w:snapToGrid/>
        <w:spacing w:after="0" w:line="600" w:lineRule="exact"/>
        <w:ind w:left="0" w:leftChars="0" w:right="0" w:rightChars="0" w:firstLine="640" w:firstLineChars="200"/>
        <w:jc w:val="both"/>
        <w:textAlignment w:val="auto"/>
        <w:rPr>
          <w:rFonts w:hint="eastAsia"/>
          <w:lang w:val="en-US" w:eastAsia="zh-CN"/>
        </w:rPr>
      </w:pPr>
      <w:r>
        <w:rPr>
          <w:rFonts w:hint="eastAsia" w:ascii="楷体_GB2312" w:eastAsia="楷体_GB2312"/>
          <w:sz w:val="32"/>
          <w:szCs w:val="32"/>
          <w:lang w:val="en-US" w:eastAsia="zh-CN"/>
        </w:rPr>
        <w:t>加大职业教育贯通培养。</w:t>
      </w:r>
      <w:r>
        <w:rPr>
          <w:rFonts w:hint="eastAsia" w:ascii="仿宋_GB2312" w:hAnsi="仿宋_GB2312" w:eastAsia="仿宋_GB2312" w:cs="仿宋_GB2312"/>
          <w:sz w:val="32"/>
          <w:szCs w:val="32"/>
          <w:lang w:val="en-US" w:eastAsia="zh-CN"/>
        </w:rPr>
        <w:t>加大中高职一体化、中高本一体化贯通培养力度，发挥衢州高职（应用型本科）在中职主体专业升级中的拉力作用，鼓励和引导高职（应用型本科）与中职同一专业大类共建、联合进行课程和教学改革，联合开展教研，联合辅导职业技能大赛，促进中职主体专业的内涵发展，做强中职主体专业。积极探索中职与高职、应用型本科在师资共享、设备共用、课程公选方面的办学新样态，不断扩大中高职衔接的规模和覆盖面，形成有衢州特色的职业教育贯通体系。</w:t>
      </w:r>
      <w:r>
        <w:rPr>
          <w:rFonts w:hint="eastAsia" w:ascii="仿宋_GB2312" w:eastAsia="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32197"/>
    <w:rsid w:val="01C74DE4"/>
    <w:rsid w:val="01F93905"/>
    <w:rsid w:val="02C92979"/>
    <w:rsid w:val="03ED0B64"/>
    <w:rsid w:val="040E51B6"/>
    <w:rsid w:val="067748CE"/>
    <w:rsid w:val="070E749C"/>
    <w:rsid w:val="077A39EA"/>
    <w:rsid w:val="09A72FFB"/>
    <w:rsid w:val="0A6204FA"/>
    <w:rsid w:val="0A7B6D0A"/>
    <w:rsid w:val="0BC24C4F"/>
    <w:rsid w:val="0BCF3F23"/>
    <w:rsid w:val="0C230BCF"/>
    <w:rsid w:val="0C633C93"/>
    <w:rsid w:val="0C726575"/>
    <w:rsid w:val="0E321C00"/>
    <w:rsid w:val="119C69C3"/>
    <w:rsid w:val="11BB6514"/>
    <w:rsid w:val="133F243C"/>
    <w:rsid w:val="143B32C4"/>
    <w:rsid w:val="14F23418"/>
    <w:rsid w:val="14F736F3"/>
    <w:rsid w:val="154E61AB"/>
    <w:rsid w:val="15ED5929"/>
    <w:rsid w:val="17230ED1"/>
    <w:rsid w:val="180D05DB"/>
    <w:rsid w:val="1831532F"/>
    <w:rsid w:val="18632C0F"/>
    <w:rsid w:val="19047994"/>
    <w:rsid w:val="1BF83944"/>
    <w:rsid w:val="1CC66961"/>
    <w:rsid w:val="1CC92357"/>
    <w:rsid w:val="1D411FEF"/>
    <w:rsid w:val="1D952437"/>
    <w:rsid w:val="1DAC5A54"/>
    <w:rsid w:val="1E0C4E0F"/>
    <w:rsid w:val="1F823BFC"/>
    <w:rsid w:val="209C32A8"/>
    <w:rsid w:val="214368E0"/>
    <w:rsid w:val="218C47A0"/>
    <w:rsid w:val="21EE5428"/>
    <w:rsid w:val="2231501F"/>
    <w:rsid w:val="22AE7810"/>
    <w:rsid w:val="23C27894"/>
    <w:rsid w:val="246D0D3F"/>
    <w:rsid w:val="252B4407"/>
    <w:rsid w:val="2836768B"/>
    <w:rsid w:val="285705D0"/>
    <w:rsid w:val="28F401D7"/>
    <w:rsid w:val="2900748A"/>
    <w:rsid w:val="29954D82"/>
    <w:rsid w:val="29FD7B8D"/>
    <w:rsid w:val="2A82213F"/>
    <w:rsid w:val="2AB646FF"/>
    <w:rsid w:val="2B2F67BD"/>
    <w:rsid w:val="2B4C093B"/>
    <w:rsid w:val="2C3E32C5"/>
    <w:rsid w:val="2D4F0425"/>
    <w:rsid w:val="2D6C7DF2"/>
    <w:rsid w:val="2D8C608E"/>
    <w:rsid w:val="2E3B7B6A"/>
    <w:rsid w:val="2E602F94"/>
    <w:rsid w:val="2E7B1EB2"/>
    <w:rsid w:val="2E955332"/>
    <w:rsid w:val="317F3862"/>
    <w:rsid w:val="33455BCB"/>
    <w:rsid w:val="334E43DD"/>
    <w:rsid w:val="337519C7"/>
    <w:rsid w:val="337B1606"/>
    <w:rsid w:val="33B0631E"/>
    <w:rsid w:val="33F96DF9"/>
    <w:rsid w:val="34555C4D"/>
    <w:rsid w:val="34DB536A"/>
    <w:rsid w:val="354B0C2A"/>
    <w:rsid w:val="35EF7C37"/>
    <w:rsid w:val="38BA54D3"/>
    <w:rsid w:val="393742FE"/>
    <w:rsid w:val="396834E3"/>
    <w:rsid w:val="3AC527E0"/>
    <w:rsid w:val="3BFA0FB4"/>
    <w:rsid w:val="3C06702D"/>
    <w:rsid w:val="3D2E721E"/>
    <w:rsid w:val="3D4047C3"/>
    <w:rsid w:val="3DC231FC"/>
    <w:rsid w:val="3DD5797D"/>
    <w:rsid w:val="3F141F84"/>
    <w:rsid w:val="3FA25D47"/>
    <w:rsid w:val="40B94309"/>
    <w:rsid w:val="417744F7"/>
    <w:rsid w:val="42EF7CE3"/>
    <w:rsid w:val="43F77F05"/>
    <w:rsid w:val="4455752C"/>
    <w:rsid w:val="45A4574E"/>
    <w:rsid w:val="463F12FE"/>
    <w:rsid w:val="486131FF"/>
    <w:rsid w:val="49085602"/>
    <w:rsid w:val="4BF17D38"/>
    <w:rsid w:val="4C010926"/>
    <w:rsid w:val="4C6A7D43"/>
    <w:rsid w:val="4CEB40D4"/>
    <w:rsid w:val="4CFA2DEE"/>
    <w:rsid w:val="4DB65704"/>
    <w:rsid w:val="4E4F12D4"/>
    <w:rsid w:val="4EB60AC1"/>
    <w:rsid w:val="4F07131F"/>
    <w:rsid w:val="4F402815"/>
    <w:rsid w:val="4FE838DA"/>
    <w:rsid w:val="5010184F"/>
    <w:rsid w:val="508F5293"/>
    <w:rsid w:val="527C30D0"/>
    <w:rsid w:val="52F930FA"/>
    <w:rsid w:val="52FD53E8"/>
    <w:rsid w:val="53E72EE4"/>
    <w:rsid w:val="54934D56"/>
    <w:rsid w:val="54DF51D7"/>
    <w:rsid w:val="551852CC"/>
    <w:rsid w:val="553D3977"/>
    <w:rsid w:val="57873E8E"/>
    <w:rsid w:val="57D3229C"/>
    <w:rsid w:val="57DB3943"/>
    <w:rsid w:val="57F90D2B"/>
    <w:rsid w:val="586365A0"/>
    <w:rsid w:val="590027CE"/>
    <w:rsid w:val="596D0253"/>
    <w:rsid w:val="59E7450F"/>
    <w:rsid w:val="5A6D69C3"/>
    <w:rsid w:val="5B651A18"/>
    <w:rsid w:val="5C9A3AE5"/>
    <w:rsid w:val="5C9F6205"/>
    <w:rsid w:val="5D7E6DE8"/>
    <w:rsid w:val="5E9449D6"/>
    <w:rsid w:val="5FA07FF1"/>
    <w:rsid w:val="613906D8"/>
    <w:rsid w:val="61392F74"/>
    <w:rsid w:val="61711645"/>
    <w:rsid w:val="61D275B7"/>
    <w:rsid w:val="62B97709"/>
    <w:rsid w:val="63491AD4"/>
    <w:rsid w:val="63B44E7B"/>
    <w:rsid w:val="641328AA"/>
    <w:rsid w:val="6531515D"/>
    <w:rsid w:val="65C94700"/>
    <w:rsid w:val="66512B4F"/>
    <w:rsid w:val="6A8D7748"/>
    <w:rsid w:val="6CF739CD"/>
    <w:rsid w:val="6D0843F7"/>
    <w:rsid w:val="6D2D7ED8"/>
    <w:rsid w:val="6D52243C"/>
    <w:rsid w:val="6D954519"/>
    <w:rsid w:val="6DDB50CC"/>
    <w:rsid w:val="6EE13F02"/>
    <w:rsid w:val="6F482AC8"/>
    <w:rsid w:val="702E2E34"/>
    <w:rsid w:val="70340CD0"/>
    <w:rsid w:val="71377F2D"/>
    <w:rsid w:val="741A26F4"/>
    <w:rsid w:val="74446312"/>
    <w:rsid w:val="753469D5"/>
    <w:rsid w:val="754E44BF"/>
    <w:rsid w:val="759C5A50"/>
    <w:rsid w:val="7660193C"/>
    <w:rsid w:val="77041335"/>
    <w:rsid w:val="77500DB7"/>
    <w:rsid w:val="77D34DCE"/>
    <w:rsid w:val="782137C6"/>
    <w:rsid w:val="7834023C"/>
    <w:rsid w:val="784E6782"/>
    <w:rsid w:val="78751338"/>
    <w:rsid w:val="792D78F8"/>
    <w:rsid w:val="79856B91"/>
    <w:rsid w:val="79E01C32"/>
    <w:rsid w:val="7B022566"/>
    <w:rsid w:val="7B6F71A3"/>
    <w:rsid w:val="7BAD72E7"/>
    <w:rsid w:val="7BB73E3A"/>
    <w:rsid w:val="7BC93108"/>
    <w:rsid w:val="7C1F6D51"/>
    <w:rsid w:val="7C397C70"/>
    <w:rsid w:val="7C77697C"/>
    <w:rsid w:val="7D9F7637"/>
    <w:rsid w:val="7F0A08BE"/>
    <w:rsid w:val="7F8D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Lines="0" w:beforeAutospacing="0" w:afterLines="0" w:afterAutospacing="0" w:line="600" w:lineRule="exact"/>
      <w:ind w:firstLine="880"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Arial" w:hAnsi="Arial" w:eastAsia="楷体"/>
      <w:sz w:val="32"/>
    </w:rPr>
  </w:style>
  <w:style w:type="paragraph" w:styleId="4">
    <w:name w:val="heading 3"/>
    <w:basedOn w:val="1"/>
    <w:next w:val="1"/>
    <w:link w:val="20"/>
    <w:unhideWhenUsed/>
    <w:qFormat/>
    <w:uiPriority w:val="0"/>
    <w:pPr>
      <w:keepNext/>
      <w:keepLines/>
      <w:spacing w:beforeLines="0" w:beforeAutospacing="0" w:afterLines="0" w:afterAutospacing="0" w:line="600" w:lineRule="exact"/>
      <w:ind w:firstLine="880" w:firstLineChars="200"/>
      <w:outlineLvl w:val="2"/>
    </w:pPr>
    <w:rPr>
      <w:rFonts w:eastAsia="黑体"/>
      <w:sz w:val="32"/>
    </w:rPr>
  </w:style>
  <w:style w:type="character" w:default="1" w:styleId="12">
    <w:name w:val="Default Paragraph Font"/>
    <w:semiHidden/>
    <w:qFormat/>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uiPriority w:val="0"/>
    <w:pPr>
      <w:ind w:left="420" w:leftChars="200"/>
    </w:pPr>
  </w:style>
  <w:style w:type="paragraph" w:styleId="11">
    <w:name w:val="Normal (Web)"/>
    <w:basedOn w:val="1"/>
    <w:qFormat/>
    <w:uiPriority w:val="0"/>
    <w:pPr>
      <w:spacing w:beforeAutospacing="1" w:afterAutospacing="1"/>
      <w:jc w:val="left"/>
    </w:pPr>
    <w:rPr>
      <w:rFonts w:ascii="Calibri" w:hAnsi="Calibri" w:eastAsia="宋体"/>
      <w:kern w:val="0"/>
      <w:sz w:val="24"/>
    </w:rPr>
  </w:style>
  <w:style w:type="character" w:styleId="13">
    <w:name w:val="Strong"/>
    <w:basedOn w:val="12"/>
    <w:qFormat/>
    <w:uiPriority w:val="0"/>
    <w:rPr>
      <w:b/>
    </w:rPr>
  </w:style>
  <w:style w:type="character" w:styleId="14">
    <w:name w:val="Emphasis"/>
    <w:qFormat/>
    <w:uiPriority w:val="0"/>
    <w:rPr>
      <w:rFonts w:cs="Times New Roman"/>
      <w:color w:val="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character" w:customStyle="1" w:styleId="18">
    <w:name w:val="font31"/>
    <w:basedOn w:val="12"/>
    <w:qFormat/>
    <w:uiPriority w:val="99"/>
    <w:rPr>
      <w:rFonts w:ascii="楷体" w:hAnsi="楷体" w:eastAsia="楷体" w:cs="楷体"/>
      <w:color w:val="000000"/>
      <w:sz w:val="28"/>
      <w:szCs w:val="28"/>
      <w:u w:val="none"/>
    </w:rPr>
  </w:style>
  <w:style w:type="character" w:customStyle="1" w:styleId="19">
    <w:name w:val="NormalCharacter"/>
    <w:link w:val="1"/>
    <w:qFormat/>
    <w:uiPriority w:val="0"/>
    <w:rPr>
      <w:rFonts w:ascii="Calibri" w:hAnsi="Calibri" w:eastAsia="宋体" w:cs="Times New Roman"/>
      <w:kern w:val="2"/>
      <w:sz w:val="21"/>
      <w:szCs w:val="22"/>
      <w:lang w:val="en-US" w:eastAsia="zh-CN" w:bidi="ar-SA"/>
    </w:rPr>
  </w:style>
  <w:style w:type="character" w:customStyle="1" w:styleId="20">
    <w:name w:val="标题 3 Char"/>
    <w:link w:val="4"/>
    <w:uiPriority w:val="0"/>
    <w:rPr>
      <w:rFonts w:eastAsia="黑体"/>
      <w:sz w:val="32"/>
    </w:rPr>
  </w:style>
  <w:style w:type="character" w:customStyle="1" w:styleId="21">
    <w:name w:val="标题 1 Char"/>
    <w:link w:val="2"/>
    <w:qFormat/>
    <w:uiPriority w:val="0"/>
    <w:rPr>
      <w:rFonts w:eastAsia="黑体"/>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9640;&#32844;&#25104;&#25945;&#22788;&#22788;&#23460;&#24037;&#20316;\0-2020&#24180;&#24230;&#24037;&#20316;\10.&#24180;&#24230;&#36136;&#37327;&#25253;&#21578;\2021-0104&#20851;&#20110;&#20570;&#22909;2020&#24180;&#20013;&#31561;&#32844;&#19994;&#25945;&#32946;&#36136;&#37327;&#25253;&#21578;&#32534;&#21046;&#12289;&#21457;&#24067;&#21644;&#25253;&#36865;&#24037;&#20316;&#30340;&#36890;&#30693;\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型"/>
      <sectRole val="1"/>
    </customSectPr>
    <customSectPr>
      <sectNamePr val="目录页"/>
      <sectRole val="2"/>
    </customSectPr>
    <customSectPr/>
  </customSectProps>
  <customShpExts>
    <customShpInfo spid="_x0000_s1026" textRotate="1"/>
    <customShpInfo spid="_x0000_s1034"/>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2021-01-25T02:33:00Z</dcterms:created>
  <dc:creator>Administrator</dc:creator>
  <cp:lastModifiedBy>Administrator</cp:lastModifiedBy>
  <cp:lastPrinted>2021-02-25T03:18:00Z</cp:lastPrinted>
  <dcterms:modified xsi:type="dcterms:W3CDTF">2021-02-26T03:37:18Z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