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2C" w:rsidRDefault="0010022C" w:rsidP="0010022C">
      <w:pPr>
        <w:pStyle w:val="a3"/>
        <w:spacing w:before="0" w:beforeAutospacing="0" w:after="0" w:afterAutospacing="0" w:line="54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附件4:</w:t>
      </w:r>
    </w:p>
    <w:p w:rsidR="0010022C" w:rsidRDefault="00E37577" w:rsidP="0010022C">
      <w:pPr>
        <w:pStyle w:val="a3"/>
        <w:spacing w:before="0" w:beforeAutospacing="0" w:after="0" w:afterAutospacing="0" w:line="54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hyperlink r:id="rId4" w:tgtFrame="http://www.zjtvu.edu.cn/glwj/html/201512/_blank" w:history="1">
        <w:r w:rsidR="0010022C" w:rsidRPr="00992EDB">
          <w:rPr>
            <w:rStyle w:val="a4"/>
            <w:rFonts w:ascii="仿宋_GB2312" w:eastAsia="仿宋_GB2312" w:hAnsi="仿宋_GB2312" w:cs="仿宋_GB2312"/>
            <w:b/>
            <w:bCs/>
            <w:color w:val="000000"/>
            <w:sz w:val="32"/>
            <w:szCs w:val="32"/>
            <w:u w:val="none"/>
          </w:rPr>
          <w:t>20</w:t>
        </w:r>
        <w:r w:rsidR="0010022C" w:rsidRPr="00992EDB">
          <w:rPr>
            <w:rStyle w:val="a4"/>
            <w:rFonts w:ascii="仿宋_GB2312" w:eastAsia="仿宋_GB2312" w:hAnsi="仿宋_GB2312" w:cs="仿宋_GB2312" w:hint="eastAsia"/>
            <w:b/>
            <w:bCs/>
            <w:color w:val="000000"/>
            <w:sz w:val="32"/>
            <w:szCs w:val="32"/>
            <w:u w:val="none"/>
          </w:rPr>
          <w:t>21</w:t>
        </w:r>
        <w:r w:rsidR="0010022C" w:rsidRPr="00992EDB">
          <w:rPr>
            <w:rStyle w:val="a4"/>
            <w:rFonts w:ascii="仿宋_GB2312" w:eastAsia="仿宋_GB2312" w:hAnsi="仿宋_GB2312" w:cs="仿宋_GB2312"/>
            <w:b/>
            <w:bCs/>
            <w:color w:val="000000"/>
            <w:sz w:val="32"/>
            <w:szCs w:val="32"/>
            <w:u w:val="none"/>
          </w:rPr>
          <w:t>年全国“终身学习品牌项目”</w:t>
        </w:r>
        <w:r w:rsidR="0010022C">
          <w:rPr>
            <w:rFonts w:ascii="仿宋_GB2312" w:eastAsia="仿宋_GB2312" w:hAnsi="仿宋_GB2312" w:cs="仿宋_GB2312" w:hint="eastAsia"/>
            <w:b/>
            <w:bCs/>
            <w:color w:val="000000"/>
            <w:sz w:val="32"/>
            <w:szCs w:val="32"/>
          </w:rPr>
          <w:t>推荐</w:t>
        </w:r>
        <w:r w:rsidR="0010022C" w:rsidRPr="00992EDB">
          <w:rPr>
            <w:rStyle w:val="a4"/>
            <w:rFonts w:ascii="仿宋_GB2312" w:eastAsia="仿宋_GB2312" w:hAnsi="仿宋_GB2312" w:cs="仿宋_GB2312"/>
            <w:b/>
            <w:bCs/>
            <w:color w:val="000000"/>
            <w:sz w:val="32"/>
            <w:szCs w:val="32"/>
            <w:u w:val="none"/>
          </w:rPr>
          <w:t>名单</w:t>
        </w:r>
      </w:hyperlink>
    </w:p>
    <w:tbl>
      <w:tblPr>
        <w:tblW w:w="102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22"/>
        <w:gridCol w:w="1167"/>
        <w:gridCol w:w="3385"/>
        <w:gridCol w:w="2549"/>
        <w:gridCol w:w="2421"/>
        <w:gridCol w:w="16"/>
      </w:tblGrid>
      <w:tr w:rsidR="0010022C" w:rsidTr="00CF4A3B">
        <w:trPr>
          <w:gridAfter w:val="1"/>
          <w:wAfter w:w="16" w:type="dxa"/>
          <w:trHeight w:val="543"/>
          <w:jc w:val="center"/>
        </w:trPr>
        <w:tc>
          <w:tcPr>
            <w:tcW w:w="7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ind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ind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地 区</w:t>
            </w:r>
          </w:p>
        </w:tc>
        <w:tc>
          <w:tcPr>
            <w:tcW w:w="33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品牌项目名称</w:t>
            </w:r>
          </w:p>
        </w:tc>
        <w:tc>
          <w:tcPr>
            <w:tcW w:w="254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主办单位</w:t>
            </w:r>
          </w:p>
        </w:tc>
        <w:tc>
          <w:tcPr>
            <w:tcW w:w="242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10022C" w:rsidTr="00CF4A3B">
        <w:trPr>
          <w:gridAfter w:val="1"/>
          <w:wAfter w:w="16" w:type="dxa"/>
          <w:trHeight w:val="543"/>
          <w:jc w:val="center"/>
        </w:trPr>
        <w:tc>
          <w:tcPr>
            <w:tcW w:w="7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台州</w:t>
            </w:r>
          </w:p>
        </w:tc>
        <w:tc>
          <w:tcPr>
            <w:tcW w:w="33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千年古镇“技能富民”万人培训工程</w:t>
            </w:r>
          </w:p>
        </w:tc>
        <w:tc>
          <w:tcPr>
            <w:tcW w:w="254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温岭市温峤镇成人文化技术学校</w:t>
            </w:r>
          </w:p>
        </w:tc>
        <w:tc>
          <w:tcPr>
            <w:tcW w:w="2421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特别受百姓喜爱的终身学习品牌项目</w:t>
            </w:r>
          </w:p>
        </w:tc>
      </w:tr>
      <w:tr w:rsidR="0010022C" w:rsidTr="00CF4A3B">
        <w:trPr>
          <w:trHeight w:val="543"/>
          <w:jc w:val="center"/>
        </w:trPr>
        <w:tc>
          <w:tcPr>
            <w:tcW w:w="7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1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湖州</w:t>
            </w:r>
          </w:p>
        </w:tc>
        <w:tc>
          <w:tcPr>
            <w:tcW w:w="33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安吉余村“两山”理念大讲堂</w:t>
            </w:r>
          </w:p>
        </w:tc>
        <w:tc>
          <w:tcPr>
            <w:tcW w:w="254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安吉县天荒坪区域性中心成人文化技术学校</w:t>
            </w:r>
          </w:p>
        </w:tc>
        <w:tc>
          <w:tcPr>
            <w:tcW w:w="2437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0022C" w:rsidTr="00CF4A3B">
        <w:trPr>
          <w:trHeight w:val="543"/>
          <w:jc w:val="center"/>
        </w:trPr>
        <w:tc>
          <w:tcPr>
            <w:tcW w:w="7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舟山</w:t>
            </w:r>
          </w:p>
        </w:tc>
        <w:tc>
          <w:tcPr>
            <w:tcW w:w="33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蓉浦•智“惠”银龄公益项目</w:t>
            </w:r>
          </w:p>
        </w:tc>
        <w:tc>
          <w:tcPr>
            <w:tcW w:w="254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舟山蓉浦学院（舟山社区大学）</w:t>
            </w:r>
          </w:p>
        </w:tc>
        <w:tc>
          <w:tcPr>
            <w:tcW w:w="2437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 w:rsidR="0010022C" w:rsidTr="00CF4A3B">
        <w:trPr>
          <w:trHeight w:val="543"/>
          <w:jc w:val="center"/>
        </w:trPr>
        <w:tc>
          <w:tcPr>
            <w:tcW w:w="7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1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绍兴</w:t>
            </w:r>
          </w:p>
        </w:tc>
        <w:tc>
          <w:tcPr>
            <w:tcW w:w="33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用书香浸润柯桥，以阅读美化生活——“柯桥领读者”</w:t>
            </w:r>
          </w:p>
        </w:tc>
        <w:tc>
          <w:tcPr>
            <w:tcW w:w="254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绍兴市柯桥区柯桥成校</w:t>
            </w:r>
          </w:p>
        </w:tc>
        <w:tc>
          <w:tcPr>
            <w:tcW w:w="2437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0022C" w:rsidTr="00CF4A3B">
        <w:trPr>
          <w:trHeight w:val="543"/>
          <w:jc w:val="center"/>
        </w:trPr>
        <w:tc>
          <w:tcPr>
            <w:tcW w:w="7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1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嘉兴</w:t>
            </w:r>
          </w:p>
        </w:tc>
        <w:tc>
          <w:tcPr>
            <w:tcW w:w="3385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兵哥加油站</w:t>
            </w:r>
          </w:p>
        </w:tc>
        <w:tc>
          <w:tcPr>
            <w:tcW w:w="254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海盐县社区教育学院</w:t>
            </w:r>
          </w:p>
        </w:tc>
        <w:tc>
          <w:tcPr>
            <w:tcW w:w="2437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0022C" w:rsidRDefault="0010022C" w:rsidP="00CF4A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10022C" w:rsidRDefault="0010022C" w:rsidP="0010022C">
      <w:pPr>
        <w:pStyle w:val="a3"/>
        <w:spacing w:before="0" w:beforeAutospacing="0" w:after="0" w:afterAutospacing="0" w:line="540" w:lineRule="exact"/>
        <w:jc w:val="both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</w:p>
    <w:p w:rsidR="00A914B3" w:rsidRDefault="00A914B3"/>
    <w:sectPr w:rsidR="00A914B3" w:rsidSect="00A91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022C"/>
    <w:rsid w:val="0010022C"/>
    <w:rsid w:val="00992EDB"/>
    <w:rsid w:val="00A914B3"/>
    <w:rsid w:val="00E3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002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sid w:val="001002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jtvu.edu.cn/glwj/html/201512/20151215_1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dcterms:created xsi:type="dcterms:W3CDTF">2021-09-07T05:38:00Z</dcterms:created>
  <dcterms:modified xsi:type="dcterms:W3CDTF">2021-09-07T05:56:00Z</dcterms:modified>
</cp:coreProperties>
</file>