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52"/>
          <w:szCs w:val="52"/>
        </w:rPr>
      </w:pPr>
    </w:p>
    <w:p>
      <w:pPr>
        <w:jc w:val="center"/>
        <w:rPr>
          <w:rFonts w:hint="eastAsia" w:ascii="华文中宋" w:hAnsi="华文中宋" w:eastAsia="华文中宋" w:cs="华文中宋"/>
          <w:b/>
          <w:bCs/>
          <w:sz w:val="52"/>
          <w:szCs w:val="52"/>
        </w:rPr>
      </w:pPr>
    </w:p>
    <w:p>
      <w:pPr>
        <w:jc w:val="center"/>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rPr>
        <w:t>杭州市萧山区第四中等职业学校</w:t>
      </w:r>
    </w:p>
    <w:p>
      <w:pPr>
        <w:jc w:val="center"/>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lang w:eastAsia="zh-CN"/>
        </w:rPr>
        <w:t>年度质量</w:t>
      </w:r>
      <w:r>
        <w:rPr>
          <w:rFonts w:hint="eastAsia" w:ascii="华文中宋" w:hAnsi="华文中宋" w:eastAsia="华文中宋" w:cs="华文中宋"/>
          <w:b/>
          <w:bCs/>
          <w:sz w:val="52"/>
          <w:szCs w:val="52"/>
        </w:rPr>
        <w:t>报告</w:t>
      </w:r>
    </w:p>
    <w:p>
      <w:pPr>
        <w:jc w:val="center"/>
        <w:rPr>
          <w:rFonts w:hint="eastAsia" w:ascii="宋体" w:hAnsi="宋体"/>
          <w:sz w:val="52"/>
          <w:szCs w:val="52"/>
        </w:rPr>
      </w:pPr>
      <w:r>
        <w:rPr>
          <w:rFonts w:hint="eastAsia" w:ascii="华文中宋" w:hAnsi="华文中宋" w:eastAsia="华文中宋" w:cs="华文中宋"/>
          <w:b/>
          <w:bCs/>
          <w:sz w:val="52"/>
          <w:szCs w:val="52"/>
        </w:rPr>
        <w:t>（2020年）</w:t>
      </w:r>
    </w:p>
    <w:p>
      <w:pPr>
        <w:jc w:val="center"/>
        <w:rPr>
          <w:rFonts w:hint="eastAsia" w:ascii="宋体" w:hAnsi="宋体"/>
          <w:sz w:val="72"/>
          <w:szCs w:val="72"/>
        </w:rPr>
      </w:pPr>
    </w:p>
    <w:p>
      <w:pPr>
        <w:jc w:val="center"/>
        <w:rPr>
          <w:rFonts w:hint="eastAsia" w:ascii="宋体" w:hAnsi="宋体"/>
          <w:sz w:val="72"/>
          <w:szCs w:val="72"/>
        </w:rPr>
      </w:pPr>
    </w:p>
    <w:p>
      <w:pPr>
        <w:jc w:val="center"/>
        <w:rPr>
          <w:rFonts w:hint="eastAsia" w:ascii="宋体" w:hAnsi="宋体"/>
          <w:sz w:val="72"/>
          <w:szCs w:val="72"/>
        </w:rPr>
      </w:pPr>
    </w:p>
    <w:p>
      <w:pPr>
        <w:jc w:val="center"/>
        <w:rPr>
          <w:rFonts w:hint="eastAsia" w:ascii="宋体" w:hAnsi="宋体"/>
          <w:sz w:val="72"/>
          <w:szCs w:val="72"/>
        </w:rPr>
      </w:pPr>
    </w:p>
    <w:p>
      <w:pPr>
        <w:jc w:val="center"/>
        <w:rPr>
          <w:rFonts w:hint="eastAsia" w:ascii="宋体" w:hAnsi="宋体"/>
          <w:sz w:val="72"/>
          <w:szCs w:val="72"/>
        </w:rPr>
      </w:pPr>
    </w:p>
    <w:p>
      <w:pPr>
        <w:jc w:val="center"/>
        <w:rPr>
          <w:rFonts w:hint="eastAsia" w:ascii="宋体" w:hAnsi="宋体"/>
          <w:sz w:val="72"/>
          <w:szCs w:val="72"/>
        </w:rPr>
      </w:pPr>
    </w:p>
    <w:p>
      <w:pPr>
        <w:jc w:val="center"/>
        <w:rPr>
          <w:rFonts w:hint="eastAsia" w:ascii="宋体" w:hAnsi="宋体"/>
          <w:sz w:val="48"/>
          <w:szCs w:val="48"/>
        </w:rPr>
      </w:pPr>
    </w:p>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2020.12</w:t>
      </w:r>
    </w:p>
    <w:p>
      <w:pPr>
        <w:jc w:val="center"/>
        <w:rPr>
          <w:rFonts w:hint="eastAsia" w:ascii="宋体" w:hAnsi="宋体"/>
          <w:sz w:val="44"/>
          <w:szCs w:val="44"/>
        </w:rPr>
      </w:pPr>
    </w:p>
    <w:p>
      <w:pPr>
        <w:jc w:val="center"/>
        <w:rPr>
          <w:rFonts w:ascii="宋体" w:hAnsi="宋体"/>
        </w:rPr>
      </w:pPr>
    </w:p>
    <w:p>
      <w:pPr>
        <w:widowControl/>
        <w:shd w:val="clear" w:color="auto" w:fill="FFFFFF"/>
        <w:spacing w:line="555" w:lineRule="atLeast"/>
        <w:rPr>
          <w:rFonts w:ascii="华文中宋" w:hAnsi="华文中宋" w:eastAsia="华文中宋" w:cs="华文中宋"/>
          <w:b/>
          <w:bCs/>
          <w:sz w:val="52"/>
          <w:szCs w:val="52"/>
        </w:rPr>
      </w:pPr>
    </w:p>
    <w:p>
      <w:pPr>
        <w:widowControl/>
        <w:shd w:val="clear" w:color="auto" w:fill="FFFFFF"/>
        <w:spacing w:line="555" w:lineRule="atLeast"/>
        <w:rPr>
          <w:rFonts w:hint="eastAsia" w:ascii="仿宋_GB2312" w:hAnsi="����" w:eastAsia="仿宋_GB2312" w:cs="宋体"/>
          <w:b/>
          <w:bCs/>
          <w:kern w:val="0"/>
          <w:sz w:val="32"/>
          <w:szCs w:val="32"/>
        </w:rPr>
      </w:pPr>
      <w:r>
        <w:rPr>
          <w:rFonts w:asciiTheme="minorHAnsi" w:hAnsiTheme="minorHAnsi" w:eastAsiaTheme="minorEastAsia" w:cstheme="minorBidi"/>
          <w:szCs w:val="22"/>
        </w:rPr>
        <mc:AlternateContent>
          <mc:Choice Requires="wps">
            <w:drawing>
              <wp:anchor distT="0" distB="0" distL="114300" distR="114300" simplePos="0" relativeHeight="251668480" behindDoc="0" locked="0" layoutInCell="1" allowOverlap="1">
                <wp:simplePos x="0" y="0"/>
                <wp:positionH relativeFrom="column">
                  <wp:posOffset>3905250</wp:posOffset>
                </wp:positionH>
                <wp:positionV relativeFrom="paragraph">
                  <wp:posOffset>179070</wp:posOffset>
                </wp:positionV>
                <wp:extent cx="2123440" cy="36823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23440" cy="3682365"/>
                        </a:xfrm>
                        <a:prstGeom prst="rect">
                          <a:avLst/>
                        </a:prstGeom>
                        <a:noFill/>
                        <a:ln>
                          <a:noFill/>
                        </a:ln>
                        <a:effectLst/>
                      </wps:spPr>
                      <wps:txbx>
                        <w:txbxContent>
                          <w:p>
                            <w:pPr>
                              <w:rPr>
                                <w:rFonts w:ascii="华文行楷" w:eastAsia="华文行楷"/>
                                <w:sz w:val="200"/>
                                <w:szCs w:val="200"/>
                                <w14:textOutline w14:w="9525" w14:cap="rnd" w14:cmpd="sng" w14:algn="ctr">
                                  <w14:solidFill>
                                    <w14:srgbClr w14:val="FFFF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_x0000_s1026" o:spid="_x0000_s1026" o:spt="202" type="#_x0000_t202" style="position:absolute;left:0pt;margin-left:307.5pt;margin-top:14.1pt;height:289.95pt;width:167.2pt;z-index:251668480;mso-width-relative:page;mso-height-relative:page;" filled="f" stroked="f" coordsize="21600,21600" o:gfxdata="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IUfctcAAAAKAQAADwAAAAAAAAABACAAAAAiAAAAZHJzL2Rvd25yZXYueG1sUEsBAhQA&#10;FAAAAAgAh07iQLREUuzXAgAArwUAAA4AAAAAAAAAAQAgAAAAJgEAAGRycy9lMm9Eb2MueG1sUEsF&#10;BgAAAAAGAAYAWQEAAG8GAAAAAA==&#10;">
                <v:fill on="f" focussize="0,0"/>
                <v:stroke on="f"/>
                <v:imagedata o:title=""/>
                <o:lock v:ext="edit" aspectratio="f"/>
                <v:textbox>
                  <w:txbxContent>
                    <w:p>
                      <w:pPr>
                        <w:rPr>
                          <w:rFonts w:ascii="华文行楷" w:eastAsia="华文行楷"/>
                          <w:sz w:val="200"/>
                          <w:szCs w:val="200"/>
                          <w14:textOutline w14:w="9525" w14:cap="rnd" w14:cmpd="sng" w14:algn="ctr">
                            <w14:solidFill>
                              <w14:srgbClr w14:val="FFFF00"/>
                            </w14:solidFill>
                            <w14:prstDash w14:val="solid"/>
                            <w14:bevel/>
                          </w14:textOutline>
                        </w:rPr>
                      </w:pPr>
                    </w:p>
                  </w:txbxContent>
                </v:textbox>
              </v:shape>
            </w:pict>
          </mc:Fallback>
        </mc:AlternateContent>
      </w:r>
    </w:p>
    <w:sdt>
      <w:sdtPr>
        <w:rPr>
          <w:rFonts w:ascii="宋体" w:hAnsi="宋体" w:eastAsia="宋体" w:cs="Times New Roman"/>
          <w:kern w:val="2"/>
          <w:sz w:val="21"/>
          <w:szCs w:val="24"/>
          <w:lang w:val="en-US" w:eastAsia="zh-CN" w:bidi="ar-SA"/>
        </w:rPr>
        <w:id w:val="147466538"/>
        <w15:color w:val="DBDBDB"/>
        <w:docPartObj>
          <w:docPartGallery w:val="Table of Contents"/>
          <w:docPartUnique/>
        </w:docPartObj>
      </w:sdtPr>
      <w:sdtEndPr>
        <w:rPr>
          <w:rFonts w:ascii="宋体" w:hAnsi="宋体" w:eastAsia="宋体" w:cs="宋体"/>
          <w:b/>
          <w:kern w:val="0"/>
          <w:sz w:val="24"/>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spacing w:before="0" w:beforeLines="0" w:after="0" w:afterLines="0" w:line="240" w:lineRule="auto"/>
            <w:ind w:left="0" w:leftChars="0" w:right="0" w:rightChars="0" w:firstLine="0" w:firstLineChars="0"/>
            <w:jc w:val="center"/>
            <w:rPr>
              <w:rFonts w:hint="eastAsia" w:ascii="宋体" w:hAnsi="宋体" w:eastAsia="宋体" w:cs="宋体"/>
              <w:sz w:val="21"/>
              <w:szCs w:val="21"/>
            </w:rPr>
          </w:pPr>
          <w:bookmarkStart w:id="37" w:name="_GoBack"/>
          <w:bookmarkEnd w:id="37"/>
          <w:r>
            <w:rPr>
              <w:rStyle w:val="19"/>
              <w:rFonts w:hint="eastAsia" w:ascii="宋体" w:hAnsi="宋体" w:eastAsia="宋体" w:cs="宋体"/>
              <w:b/>
              <w:bCs/>
              <w:sz w:val="21"/>
              <w:szCs w:val="21"/>
            </w:rPr>
            <w:fldChar w:fldCharType="begin"/>
          </w:r>
          <w:r>
            <w:rPr>
              <w:rStyle w:val="19"/>
              <w:rFonts w:hint="eastAsia" w:ascii="宋体" w:hAnsi="宋体" w:eastAsia="宋体" w:cs="宋体"/>
              <w:b/>
              <w:bCs/>
              <w:sz w:val="21"/>
              <w:szCs w:val="21"/>
            </w:rPr>
            <w:instrText xml:space="preserve">TOC \o "1-2" \h \u </w:instrText>
          </w:r>
          <w:r>
            <w:rPr>
              <w:rStyle w:val="19"/>
              <w:rFonts w:hint="eastAsia" w:ascii="宋体" w:hAnsi="宋体" w:eastAsia="宋体" w:cs="宋体"/>
              <w:b/>
              <w:bCs/>
              <w:sz w:val="21"/>
              <w:szCs w:val="21"/>
            </w:rPr>
            <w:fldChar w:fldCharType="separate"/>
          </w:r>
        </w:p>
        <w:p>
          <w:pPr>
            <w:pStyle w:val="13"/>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_Toc27867 </w:instrText>
          </w:r>
          <w:r>
            <w:rPr>
              <w:rFonts w:hint="eastAsia" w:ascii="宋体" w:hAnsi="宋体" w:eastAsia="宋体" w:cs="宋体"/>
              <w:sz w:val="21"/>
              <w:szCs w:val="21"/>
            </w:rPr>
            <w:fldChar w:fldCharType="separate"/>
          </w:r>
          <w:r>
            <w:rPr>
              <w:rFonts w:hint="eastAsia" w:ascii="宋体" w:hAnsi="宋体" w:eastAsia="宋体" w:cs="宋体"/>
              <w:sz w:val="21"/>
              <w:szCs w:val="21"/>
            </w:rPr>
            <w:t>1.学校情况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_Toc27867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_Toc31310 </w:instrText>
          </w:r>
          <w:r>
            <w:rPr>
              <w:rFonts w:hint="eastAsia" w:ascii="宋体" w:hAnsi="宋体" w:eastAsia="宋体" w:cs="宋体"/>
              <w:sz w:val="21"/>
              <w:szCs w:val="21"/>
            </w:rPr>
            <w:fldChar w:fldCharType="separate"/>
          </w:r>
          <w:r>
            <w:rPr>
              <w:rFonts w:hint="eastAsia" w:ascii="宋体" w:hAnsi="宋体" w:eastAsia="宋体" w:cs="宋体"/>
              <w:sz w:val="21"/>
              <w:szCs w:val="21"/>
            </w:rPr>
            <w:t>1.1学校概况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_Toc31310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_Toc13214 </w:instrText>
          </w:r>
          <w:r>
            <w:rPr>
              <w:rFonts w:hint="eastAsia" w:ascii="宋体" w:hAnsi="宋体" w:eastAsia="宋体" w:cs="宋体"/>
              <w:sz w:val="21"/>
              <w:szCs w:val="21"/>
            </w:rPr>
            <w:fldChar w:fldCharType="separate"/>
          </w:r>
          <w:r>
            <w:rPr>
              <w:rFonts w:hint="eastAsia" w:ascii="宋体" w:hAnsi="宋体" w:eastAsia="宋体" w:cs="宋体"/>
              <w:sz w:val="21"/>
              <w:szCs w:val="21"/>
            </w:rPr>
            <w:t>1.2学生情况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_Toc13214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_Toc13413 </w:instrText>
          </w:r>
          <w:r>
            <w:rPr>
              <w:rFonts w:hint="eastAsia" w:ascii="宋体" w:hAnsi="宋体" w:eastAsia="宋体" w:cs="宋体"/>
              <w:sz w:val="21"/>
              <w:szCs w:val="21"/>
            </w:rPr>
            <w:fldChar w:fldCharType="separate"/>
          </w:r>
          <w:r>
            <w:rPr>
              <w:rFonts w:hint="eastAsia" w:ascii="宋体" w:hAnsi="宋体" w:eastAsia="宋体" w:cs="宋体"/>
              <w:sz w:val="21"/>
              <w:szCs w:val="21"/>
            </w:rPr>
            <w:t>1.3教师队伍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_Toc13413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_Toc30428 </w:instrText>
          </w:r>
          <w:r>
            <w:rPr>
              <w:rFonts w:hint="eastAsia" w:ascii="宋体" w:hAnsi="宋体" w:eastAsia="宋体" w:cs="宋体"/>
              <w:sz w:val="21"/>
              <w:szCs w:val="21"/>
            </w:rPr>
            <w:fldChar w:fldCharType="separate"/>
          </w:r>
          <w:r>
            <w:rPr>
              <w:rFonts w:hint="eastAsia" w:ascii="宋体" w:hAnsi="宋体" w:eastAsia="宋体" w:cs="宋体"/>
              <w:sz w:val="21"/>
              <w:szCs w:val="21"/>
            </w:rPr>
            <w:t>1.4设施设备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_Toc30428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_Toc16447 </w:instrText>
          </w:r>
          <w:r>
            <w:rPr>
              <w:rFonts w:hint="eastAsia" w:ascii="宋体" w:hAnsi="宋体" w:eastAsia="宋体" w:cs="宋体"/>
              <w:sz w:val="21"/>
              <w:szCs w:val="21"/>
            </w:rPr>
            <w:fldChar w:fldCharType="separate"/>
          </w:r>
          <w:r>
            <w:rPr>
              <w:rFonts w:hint="eastAsia" w:ascii="宋体" w:hAnsi="宋体" w:eastAsia="宋体" w:cs="宋体"/>
              <w:sz w:val="21"/>
              <w:szCs w:val="21"/>
            </w:rPr>
            <w:t>2.学生发展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_Toc16447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_Toc21557 </w:instrText>
          </w:r>
          <w:r>
            <w:rPr>
              <w:rFonts w:hint="eastAsia" w:ascii="宋体" w:hAnsi="宋体" w:eastAsia="宋体" w:cs="宋体"/>
              <w:sz w:val="21"/>
              <w:szCs w:val="21"/>
            </w:rPr>
            <w:fldChar w:fldCharType="separate"/>
          </w:r>
          <w:r>
            <w:rPr>
              <w:rFonts w:hint="eastAsia" w:ascii="宋体" w:hAnsi="宋体" w:eastAsia="宋体" w:cs="宋体"/>
              <w:sz w:val="21"/>
              <w:szCs w:val="21"/>
            </w:rPr>
            <w:t>2.1学生素质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_Toc21557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_Toc8359 </w:instrText>
          </w:r>
          <w:r>
            <w:rPr>
              <w:rFonts w:hint="eastAsia" w:ascii="宋体" w:hAnsi="宋体" w:eastAsia="宋体" w:cs="宋体"/>
              <w:sz w:val="21"/>
              <w:szCs w:val="21"/>
            </w:rPr>
            <w:fldChar w:fldCharType="separate"/>
          </w:r>
          <w:r>
            <w:rPr>
              <w:rFonts w:hint="eastAsia" w:ascii="宋体" w:hAnsi="宋体" w:eastAsia="宋体" w:cs="宋体"/>
              <w:sz w:val="21"/>
              <w:szCs w:val="21"/>
            </w:rPr>
            <w:t>2.2在校体验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_Toc8359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_Toc22594 </w:instrText>
          </w:r>
          <w:r>
            <w:rPr>
              <w:rFonts w:hint="eastAsia" w:ascii="宋体" w:hAnsi="宋体" w:eastAsia="宋体" w:cs="宋体"/>
              <w:sz w:val="21"/>
              <w:szCs w:val="21"/>
            </w:rPr>
            <w:fldChar w:fldCharType="separate"/>
          </w:r>
          <w:r>
            <w:rPr>
              <w:rFonts w:hint="eastAsia" w:ascii="宋体" w:hAnsi="宋体" w:eastAsia="宋体" w:cs="宋体"/>
              <w:sz w:val="21"/>
              <w:szCs w:val="21"/>
            </w:rPr>
            <w:t>2.3资助情况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_Toc22594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_Toc30923 </w:instrText>
          </w:r>
          <w:r>
            <w:rPr>
              <w:rFonts w:hint="eastAsia" w:ascii="宋体" w:hAnsi="宋体" w:eastAsia="宋体" w:cs="宋体"/>
              <w:sz w:val="21"/>
              <w:szCs w:val="21"/>
            </w:rPr>
            <w:fldChar w:fldCharType="separate"/>
          </w:r>
          <w:r>
            <w:rPr>
              <w:rFonts w:hint="eastAsia" w:ascii="宋体" w:hAnsi="宋体" w:eastAsia="宋体" w:cs="宋体"/>
              <w:sz w:val="21"/>
              <w:szCs w:val="21"/>
            </w:rPr>
            <w:t>2.4就业质量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_Toc30923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_Toc9874 </w:instrText>
          </w:r>
          <w:r>
            <w:rPr>
              <w:rFonts w:hint="eastAsia" w:ascii="宋体" w:hAnsi="宋体" w:eastAsia="宋体" w:cs="宋体"/>
              <w:sz w:val="21"/>
              <w:szCs w:val="21"/>
            </w:rPr>
            <w:fldChar w:fldCharType="separate"/>
          </w:r>
          <w:r>
            <w:rPr>
              <w:rFonts w:hint="eastAsia" w:ascii="宋体" w:hAnsi="宋体" w:eastAsia="宋体" w:cs="宋体"/>
              <w:sz w:val="21"/>
              <w:szCs w:val="21"/>
            </w:rPr>
            <w:t>2.5职业发展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_Toc9874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_Toc32458 </w:instrText>
          </w:r>
          <w:r>
            <w:rPr>
              <w:rFonts w:hint="eastAsia" w:ascii="宋体" w:hAnsi="宋体" w:eastAsia="宋体" w:cs="宋体"/>
              <w:sz w:val="21"/>
              <w:szCs w:val="21"/>
            </w:rPr>
            <w:fldChar w:fldCharType="separate"/>
          </w:r>
          <w:r>
            <w:rPr>
              <w:rFonts w:hint="eastAsia" w:ascii="宋体" w:hAnsi="宋体" w:eastAsia="宋体" w:cs="宋体"/>
              <w:sz w:val="21"/>
              <w:szCs w:val="21"/>
            </w:rPr>
            <w:t>3.质量保障措施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_Toc32458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_Toc25188 </w:instrText>
          </w:r>
          <w:r>
            <w:rPr>
              <w:rFonts w:hint="eastAsia" w:ascii="宋体" w:hAnsi="宋体" w:eastAsia="宋体" w:cs="宋体"/>
              <w:sz w:val="21"/>
              <w:szCs w:val="21"/>
            </w:rPr>
            <w:fldChar w:fldCharType="separate"/>
          </w:r>
          <w:r>
            <w:rPr>
              <w:rFonts w:hint="eastAsia" w:ascii="宋体" w:hAnsi="宋体" w:eastAsia="宋体" w:cs="宋体"/>
              <w:sz w:val="21"/>
              <w:szCs w:val="21"/>
            </w:rPr>
            <w:t>3.1紧跟区域经济新形势，统筹专业调整新态势</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_Toc25188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 </w:instrText>
          </w:r>
          <w:r>
            <w:rPr>
              <w:rFonts w:hint="eastAsia" w:ascii="宋体" w:hAnsi="宋体" w:eastAsia="宋体" w:cs="宋体"/>
              <w:sz w:val="21"/>
              <w:szCs w:val="21"/>
            </w:rPr>
            <w:fldChar w:fldCharType="separate"/>
          </w:r>
          <w:r>
            <w:rPr>
              <w:rFonts w:hint="eastAsia" w:ascii="宋体" w:hAnsi="宋体" w:eastAsia="宋体" w:cs="宋体"/>
              <w:sz w:val="21"/>
              <w:szCs w:val="21"/>
            </w:rPr>
            <w:t>3.2教育教学改革</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_Toc26193 </w:instrText>
          </w:r>
          <w:r>
            <w:rPr>
              <w:rFonts w:hint="eastAsia" w:ascii="宋体" w:hAnsi="宋体" w:eastAsia="宋体" w:cs="宋体"/>
              <w:sz w:val="21"/>
              <w:szCs w:val="21"/>
            </w:rPr>
            <w:fldChar w:fldCharType="separate"/>
          </w:r>
          <w:r>
            <w:rPr>
              <w:rFonts w:hint="eastAsia" w:ascii="宋体" w:hAnsi="宋体" w:eastAsia="宋体" w:cs="宋体"/>
              <w:sz w:val="21"/>
              <w:szCs w:val="21"/>
            </w:rPr>
            <w:t>3.3教师培养培训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_Toc26193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_Toc27792 </w:instrText>
          </w:r>
          <w:r>
            <w:rPr>
              <w:rFonts w:hint="eastAsia" w:ascii="宋体" w:hAnsi="宋体" w:eastAsia="宋体" w:cs="宋体"/>
              <w:sz w:val="21"/>
              <w:szCs w:val="21"/>
            </w:rPr>
            <w:fldChar w:fldCharType="separate"/>
          </w:r>
          <w:r>
            <w:rPr>
              <w:rFonts w:hint="eastAsia" w:ascii="宋体" w:hAnsi="宋体" w:eastAsia="宋体" w:cs="宋体"/>
              <w:sz w:val="21"/>
              <w:szCs w:val="21"/>
            </w:rPr>
            <w:t>3.4规范管理情况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_Toc27792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_Toc2641 </w:instrText>
          </w:r>
          <w:r>
            <w:rPr>
              <w:rFonts w:hint="eastAsia" w:ascii="宋体" w:hAnsi="宋体" w:eastAsia="宋体" w:cs="宋体"/>
              <w:sz w:val="21"/>
              <w:szCs w:val="21"/>
            </w:rPr>
            <w:fldChar w:fldCharType="separate"/>
          </w:r>
          <w:r>
            <w:rPr>
              <w:rFonts w:hint="eastAsia" w:ascii="宋体" w:hAnsi="宋体" w:eastAsia="宋体" w:cs="宋体"/>
              <w:sz w:val="21"/>
              <w:szCs w:val="21"/>
            </w:rPr>
            <w:t>3.5创新德育工作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_Toc2641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_Toc19396 </w:instrText>
          </w:r>
          <w:r>
            <w:rPr>
              <w:rFonts w:hint="eastAsia" w:ascii="宋体" w:hAnsi="宋体" w:eastAsia="宋体" w:cs="宋体"/>
              <w:sz w:val="21"/>
              <w:szCs w:val="21"/>
            </w:rPr>
            <w:fldChar w:fldCharType="separate"/>
          </w:r>
          <w:r>
            <w:rPr>
              <w:rFonts w:hint="eastAsia" w:ascii="宋体" w:hAnsi="宋体" w:eastAsia="宋体" w:cs="宋体"/>
              <w:sz w:val="21"/>
              <w:szCs w:val="21"/>
            </w:rPr>
            <w:t>3.6党建工作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_Toc19396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_Toc29363 </w:instrText>
          </w:r>
          <w:r>
            <w:rPr>
              <w:rFonts w:hint="eastAsia" w:ascii="宋体" w:hAnsi="宋体" w:eastAsia="宋体" w:cs="宋体"/>
              <w:sz w:val="21"/>
              <w:szCs w:val="21"/>
            </w:rPr>
            <w:fldChar w:fldCharType="separate"/>
          </w:r>
          <w:r>
            <w:rPr>
              <w:rFonts w:hint="eastAsia" w:ascii="宋体" w:hAnsi="宋体" w:eastAsia="宋体" w:cs="宋体"/>
              <w:sz w:val="21"/>
              <w:szCs w:val="21"/>
            </w:rPr>
            <w:t>4.校企合作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_Toc29363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_Toc18880 </w:instrText>
          </w:r>
          <w:r>
            <w:rPr>
              <w:rFonts w:hint="eastAsia" w:ascii="宋体" w:hAnsi="宋体" w:eastAsia="宋体" w:cs="宋体"/>
              <w:sz w:val="21"/>
              <w:szCs w:val="21"/>
            </w:rPr>
            <w:fldChar w:fldCharType="separate"/>
          </w:r>
          <w:r>
            <w:rPr>
              <w:rFonts w:hint="eastAsia" w:ascii="宋体" w:hAnsi="宋体" w:eastAsia="宋体" w:cs="宋体"/>
              <w:sz w:val="21"/>
              <w:szCs w:val="21"/>
            </w:rPr>
            <w:t>4.1校企合作开展情况和效果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_Toc18880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_Toc30719 </w:instrText>
          </w:r>
          <w:r>
            <w:rPr>
              <w:rFonts w:hint="eastAsia" w:ascii="宋体" w:hAnsi="宋体" w:eastAsia="宋体" w:cs="宋体"/>
              <w:sz w:val="21"/>
              <w:szCs w:val="21"/>
            </w:rPr>
            <w:fldChar w:fldCharType="separate"/>
          </w:r>
          <w:r>
            <w:rPr>
              <w:rFonts w:hint="eastAsia" w:ascii="宋体" w:hAnsi="宋体" w:eastAsia="宋体" w:cs="宋体"/>
              <w:sz w:val="21"/>
              <w:szCs w:val="21"/>
            </w:rPr>
            <w:t>4.2学生实习情况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_Toc30719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_Toc20034 </w:instrText>
          </w:r>
          <w:r>
            <w:rPr>
              <w:rFonts w:hint="eastAsia" w:ascii="宋体" w:hAnsi="宋体" w:eastAsia="宋体" w:cs="宋体"/>
              <w:sz w:val="21"/>
              <w:szCs w:val="21"/>
            </w:rPr>
            <w:fldChar w:fldCharType="separate"/>
          </w:r>
          <w:r>
            <w:rPr>
              <w:rFonts w:hint="eastAsia" w:ascii="宋体" w:hAnsi="宋体" w:eastAsia="宋体" w:cs="宋体"/>
              <w:sz w:val="21"/>
              <w:szCs w:val="21"/>
            </w:rPr>
            <w:t>4.3集团化办学情况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_Toc20034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_Toc30438 </w:instrText>
          </w:r>
          <w:r>
            <w:rPr>
              <w:rFonts w:hint="eastAsia" w:ascii="宋体" w:hAnsi="宋体" w:eastAsia="宋体" w:cs="宋体"/>
              <w:sz w:val="21"/>
              <w:szCs w:val="21"/>
            </w:rPr>
            <w:fldChar w:fldCharType="separate"/>
          </w:r>
          <w:r>
            <w:rPr>
              <w:rFonts w:hint="eastAsia" w:ascii="宋体" w:hAnsi="宋体" w:eastAsia="宋体" w:cs="宋体"/>
              <w:sz w:val="21"/>
              <w:szCs w:val="21"/>
            </w:rPr>
            <w:t>5.社会服务与贡献 </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_Toc30438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_Toc20323 </w:instrText>
          </w:r>
          <w:r>
            <w:rPr>
              <w:rFonts w:hint="eastAsia" w:ascii="宋体" w:hAnsi="宋体" w:eastAsia="宋体" w:cs="宋体"/>
              <w:sz w:val="21"/>
              <w:szCs w:val="21"/>
            </w:rPr>
            <w:fldChar w:fldCharType="separate"/>
          </w:r>
          <w:r>
            <w:rPr>
              <w:rFonts w:hint="eastAsia" w:ascii="宋体" w:hAnsi="宋体" w:eastAsia="宋体" w:cs="宋体"/>
              <w:sz w:val="21"/>
              <w:szCs w:val="21"/>
            </w:rPr>
            <w:t>5.1技术技能人才培养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_Toc20323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_Toc4261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5.2社会服务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_Toc4261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_Toc26340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5.3对口支援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_Toc26340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_Toc26502 </w:instrText>
          </w:r>
          <w:r>
            <w:rPr>
              <w:rFonts w:hint="eastAsia" w:ascii="宋体" w:hAnsi="宋体" w:eastAsia="宋体" w:cs="宋体"/>
              <w:sz w:val="21"/>
              <w:szCs w:val="21"/>
            </w:rPr>
            <w:fldChar w:fldCharType="separate"/>
          </w:r>
          <w:r>
            <w:rPr>
              <w:rFonts w:hint="eastAsia" w:ascii="宋体" w:hAnsi="宋体" w:eastAsia="宋体" w:cs="宋体"/>
              <w:sz w:val="21"/>
              <w:szCs w:val="21"/>
            </w:rPr>
            <w:t>6.举办者履责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_Toc26502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_Toc10034 </w:instrText>
          </w:r>
          <w:r>
            <w:rPr>
              <w:rFonts w:hint="eastAsia" w:ascii="宋体" w:hAnsi="宋体" w:eastAsia="宋体" w:cs="宋体"/>
              <w:sz w:val="21"/>
              <w:szCs w:val="21"/>
            </w:rPr>
            <w:fldChar w:fldCharType="separate"/>
          </w:r>
          <w:r>
            <w:rPr>
              <w:rFonts w:hint="eastAsia" w:ascii="宋体" w:hAnsi="宋体" w:eastAsia="宋体" w:cs="宋体"/>
              <w:sz w:val="21"/>
              <w:szCs w:val="21"/>
            </w:rPr>
            <w:t>6.1经费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_Toc10034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_Toc101 </w:instrText>
          </w:r>
          <w:r>
            <w:rPr>
              <w:rFonts w:hint="eastAsia" w:ascii="宋体" w:hAnsi="宋体" w:eastAsia="宋体" w:cs="宋体"/>
              <w:sz w:val="21"/>
              <w:szCs w:val="21"/>
            </w:rPr>
            <w:fldChar w:fldCharType="separate"/>
          </w:r>
          <w:r>
            <w:rPr>
              <w:rFonts w:hint="eastAsia" w:ascii="宋体" w:hAnsi="宋体" w:eastAsia="宋体" w:cs="宋体"/>
              <w:sz w:val="21"/>
              <w:szCs w:val="21"/>
            </w:rPr>
            <w:t>6.2政策措施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_Toc21844 </w:instrText>
          </w:r>
          <w:r>
            <w:rPr>
              <w:rFonts w:hint="eastAsia" w:ascii="宋体" w:hAnsi="宋体" w:eastAsia="宋体" w:cs="宋体"/>
              <w:sz w:val="21"/>
              <w:szCs w:val="21"/>
            </w:rPr>
            <w:fldChar w:fldCharType="separate"/>
          </w:r>
          <w:r>
            <w:rPr>
              <w:rFonts w:hint="eastAsia" w:ascii="宋体" w:hAnsi="宋体" w:eastAsia="宋体" w:cs="宋体"/>
              <w:sz w:val="21"/>
              <w:szCs w:val="21"/>
            </w:rPr>
            <w:t>7.特色创新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_Toc21844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_Toc31075 </w:instrText>
          </w:r>
          <w:r>
            <w:rPr>
              <w:rFonts w:hint="eastAsia" w:ascii="宋体" w:hAnsi="宋体" w:eastAsia="宋体" w:cs="宋体"/>
              <w:sz w:val="21"/>
              <w:szCs w:val="21"/>
            </w:rPr>
            <w:fldChar w:fldCharType="separate"/>
          </w:r>
          <w:r>
            <w:rPr>
              <w:rFonts w:hint="eastAsia" w:ascii="宋体" w:hAnsi="宋体" w:eastAsia="宋体" w:cs="宋体"/>
              <w:sz w:val="21"/>
              <w:szCs w:val="21"/>
            </w:rPr>
            <w:t>7.1案例：最美逆行人之阳光四职抗疫志愿团队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_Toc31075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_Toc5968 </w:instrText>
          </w:r>
          <w:r>
            <w:rPr>
              <w:rFonts w:hint="eastAsia" w:ascii="宋体" w:hAnsi="宋体" w:eastAsia="宋体" w:cs="宋体"/>
              <w:sz w:val="21"/>
              <w:szCs w:val="21"/>
            </w:rPr>
            <w:fldChar w:fldCharType="separate"/>
          </w:r>
          <w:r>
            <w:rPr>
              <w:rFonts w:hint="eastAsia" w:ascii="宋体" w:hAnsi="宋体" w:eastAsia="宋体" w:cs="宋体"/>
              <w:sz w:val="21"/>
              <w:szCs w:val="21"/>
            </w:rPr>
            <w:t>7.2案例：阳光德育之晨读暮诵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_Toc5968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_Toc1838 </w:instrText>
          </w:r>
          <w:r>
            <w:rPr>
              <w:rFonts w:hint="eastAsia" w:ascii="宋体" w:hAnsi="宋体" w:eastAsia="宋体" w:cs="宋体"/>
              <w:sz w:val="21"/>
              <w:szCs w:val="21"/>
            </w:rPr>
            <w:fldChar w:fldCharType="separate"/>
          </w:r>
          <w:r>
            <w:rPr>
              <w:rFonts w:hint="eastAsia" w:ascii="宋体" w:hAnsi="宋体" w:eastAsia="宋体" w:cs="宋体"/>
              <w:sz w:val="21"/>
              <w:szCs w:val="21"/>
            </w:rPr>
            <w:t>8.主要问题和改进措施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_Toc1838 </w:instrText>
          </w:r>
          <w:r>
            <w:rPr>
              <w:rFonts w:hint="eastAsia" w:ascii="宋体" w:hAnsi="宋体" w:eastAsia="宋体" w:cs="宋体"/>
              <w:sz w:val="21"/>
              <w:szCs w:val="21"/>
            </w:rPr>
            <w:fldChar w:fldCharType="separate"/>
          </w:r>
          <w:r>
            <w:rPr>
              <w:rFonts w:hint="eastAsia"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_Toc25302 </w:instrText>
          </w:r>
          <w:r>
            <w:rPr>
              <w:rFonts w:hint="eastAsia" w:ascii="宋体" w:hAnsi="宋体" w:eastAsia="宋体" w:cs="宋体"/>
              <w:sz w:val="21"/>
              <w:szCs w:val="21"/>
            </w:rPr>
            <w:fldChar w:fldCharType="separate"/>
          </w:r>
          <w:r>
            <w:rPr>
              <w:rFonts w:hint="eastAsia" w:ascii="宋体" w:hAnsi="宋体" w:eastAsia="宋体" w:cs="宋体"/>
              <w:sz w:val="21"/>
              <w:szCs w:val="21"/>
            </w:rPr>
            <w:t>8.1努力实现工科类专业深度产教融合，提升人才培养质量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_Toc25302 </w:instrText>
          </w:r>
          <w:r>
            <w:rPr>
              <w:rFonts w:hint="eastAsia" w:ascii="宋体" w:hAnsi="宋体" w:eastAsia="宋体" w:cs="宋体"/>
              <w:sz w:val="21"/>
              <w:szCs w:val="21"/>
            </w:rPr>
            <w:fldChar w:fldCharType="separate"/>
          </w:r>
          <w:r>
            <w:rPr>
              <w:rFonts w:hint="eastAsia"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keepNext w:val="0"/>
            <w:keepLines w:val="0"/>
            <w:pageBreakBefore w:val="0"/>
            <w:tabs>
              <w:tab w:val="right" w:leader="dot" w:pos="8519"/>
              <w:tab w:val="clear" w:pos="8296"/>
            </w:tabs>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_Toc30085 </w:instrText>
          </w:r>
          <w:r>
            <w:rPr>
              <w:rFonts w:hint="eastAsia" w:ascii="宋体" w:hAnsi="宋体" w:eastAsia="宋体" w:cs="宋体"/>
              <w:sz w:val="21"/>
              <w:szCs w:val="21"/>
            </w:rPr>
            <w:fldChar w:fldCharType="separate"/>
          </w:r>
          <w:r>
            <w:rPr>
              <w:rFonts w:hint="eastAsia" w:ascii="宋体" w:hAnsi="宋体" w:eastAsia="宋体" w:cs="宋体"/>
              <w:kern w:val="2"/>
              <w:sz w:val="21"/>
              <w:szCs w:val="21"/>
            </w:rPr>
            <w:t>8.2大力推进1+X证书试点工作，拓展人才培养渠道</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_Toc30085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4" w:lineRule="auto"/>
            <w:textAlignment w:val="auto"/>
            <w:rPr>
              <w:rStyle w:val="19"/>
              <w:sz w:val="36"/>
              <w:szCs w:val="36"/>
            </w:rPr>
          </w:pPr>
          <w:r>
            <w:rPr>
              <w:rFonts w:hint="eastAsia" w:ascii="宋体" w:hAnsi="宋体" w:eastAsia="宋体" w:cs="宋体"/>
              <w:sz w:val="21"/>
              <w:szCs w:val="21"/>
            </w:rPr>
            <w:fldChar w:fldCharType="end"/>
          </w:r>
        </w:p>
      </w:sdtContent>
    </w:sdt>
    <w:p>
      <w:pPr>
        <w:widowControl/>
        <w:jc w:val="left"/>
        <w:rPr>
          <w:rStyle w:val="19"/>
          <w:rFonts w:ascii="宋体" w:hAnsi="宋体" w:cs="宋体"/>
          <w:kern w:val="0"/>
          <w:sz w:val="36"/>
          <w:szCs w:val="36"/>
        </w:rPr>
        <w:sectPr>
          <w:pgSz w:w="11906" w:h="16838"/>
          <w:pgMar w:top="1440" w:right="1587" w:bottom="1440" w:left="1800" w:header="851" w:footer="992" w:gutter="0"/>
          <w:cols w:space="425" w:num="1"/>
          <w:docGrid w:type="lines" w:linePitch="312" w:charSpace="0"/>
        </w:sectPr>
      </w:pPr>
    </w:p>
    <w:p>
      <w:pPr>
        <w:pStyle w:val="15"/>
        <w:shd w:val="clear" w:color="auto" w:fill="FFFFFF"/>
        <w:spacing w:before="156" w:beforeLines="50" w:beforeAutospacing="0" w:after="156" w:afterLines="50" w:afterAutospacing="0" w:line="360" w:lineRule="auto"/>
        <w:jc w:val="center"/>
        <w:outlineLvl w:val="0"/>
        <w:rPr>
          <w:rFonts w:ascii="华文中宋" w:hAnsi="华文中宋" w:eastAsia="华文中宋" w:cs="华文中宋"/>
          <w:b/>
          <w:kern w:val="2"/>
          <w:sz w:val="44"/>
          <w:szCs w:val="44"/>
        </w:rPr>
      </w:pPr>
      <w:bookmarkStart w:id="0" w:name="_Toc29533"/>
      <w:r>
        <w:rPr>
          <w:rFonts w:hint="eastAsia" w:ascii="华文中宋" w:hAnsi="华文中宋" w:eastAsia="华文中宋" w:cs="华文中宋"/>
          <w:b/>
          <w:kern w:val="2"/>
          <w:sz w:val="44"/>
          <w:szCs w:val="44"/>
        </w:rPr>
        <w:t>萧山四职2020年度质量报告</w:t>
      </w:r>
      <w:bookmarkEnd w:id="0"/>
    </w:p>
    <w:p>
      <w:pPr>
        <w:pStyle w:val="2"/>
        <w:spacing w:before="156" w:beforeLines="50" w:after="156" w:afterLines="50"/>
        <w:ind w:firstLine="440" w:firstLineChars="100"/>
        <w:rPr>
          <w:rFonts w:ascii="华文中宋" w:hAnsi="华文中宋" w:eastAsia="华文中宋" w:cs="华文中宋"/>
          <w:sz w:val="44"/>
          <w:szCs w:val="44"/>
        </w:rPr>
      </w:pPr>
      <w:bookmarkStart w:id="1" w:name="_Toc27867"/>
      <w:r>
        <w:rPr>
          <w:rFonts w:hint="eastAsia" w:ascii="华文中宋" w:hAnsi="华文中宋" w:eastAsia="华文中宋" w:cs="华文中宋"/>
          <w:sz w:val="44"/>
          <w:szCs w:val="44"/>
        </w:rPr>
        <w:t>1.学校情况</w:t>
      </w:r>
      <w:bookmarkEnd w:id="1"/>
    </w:p>
    <w:p>
      <w:pPr>
        <w:pStyle w:val="3"/>
        <w:spacing w:before="156" w:beforeLines="50" w:after="156" w:afterLines="50"/>
        <w:ind w:firstLine="602"/>
      </w:pPr>
      <w:bookmarkStart w:id="2" w:name="_Toc31310"/>
      <w:r>
        <w:rPr>
          <w:rFonts w:hint="eastAsia" w:ascii="黑体" w:hAnsi="黑体" w:eastAsia="黑体" w:cs="黑体"/>
        </w:rPr>
        <w:t>1.1学校概况</w:t>
      </w:r>
      <w:bookmarkEnd w:id="2"/>
      <w:r>
        <w:rPr>
          <w:rFonts w:hint="eastAsia"/>
        </w:rPr>
        <w:t xml:space="preserve"> </w:t>
      </w:r>
    </w:p>
    <w:p>
      <w:pPr>
        <w:spacing w:before="156" w:beforeLines="50" w:after="156" w:afterLines="50" w:line="360" w:lineRule="auto"/>
        <w:ind w:firstLine="420" w:firstLineChars="200"/>
        <w:rPr>
          <w:rFonts w:ascii="宋体" w:hAnsi="宋体" w:cs="宋体"/>
          <w:szCs w:val="21"/>
        </w:rPr>
      </w:pPr>
      <w:r>
        <w:rPr>
          <w:rFonts w:hint="eastAsia" w:ascii="宋体" w:hAnsi="宋体" w:cs="宋体"/>
          <w:kern w:val="0"/>
          <w:szCs w:val="21"/>
        </w:rPr>
        <w:t>杭州市萧山区第四中等职业学校（以下简称萧山四职）是杭州市萧山区教育局举办的公办中等职业学校，是国家级重点中等职业学校、浙江省首批一级中等职业学校，创办于1956年，</w:t>
      </w:r>
      <w:r>
        <w:rPr>
          <w:rFonts w:hint="eastAsia" w:ascii="宋体" w:hAnsi="宋体" w:cs="宋体"/>
          <w:szCs w:val="21"/>
        </w:rPr>
        <w:t>是一所有着深厚文化底蕴的学校，也是萧山区最早创办职高班的学校。 2014年3月，区委区政府对全区职业教育体制进行改革，萧山卫校与萧山四职合并，2015年9月萧山区坎山综合高中校舍纳入萧山四职管理，目前学校名称为“杭州市萧山区第四中等职业学校”、“杭州市萧山卫生中等专业学校”、“杭州市萧山区卫生进修学校”三块牌子，实行“三块牌子、三个校区、一套班子”的管理格局。</w:t>
      </w:r>
    </w:p>
    <w:p>
      <w:pPr>
        <w:spacing w:before="156" w:beforeLines="50" w:after="156" w:afterLines="50" w:line="360" w:lineRule="auto"/>
        <w:ind w:firstLine="480"/>
        <w:jc w:val="left"/>
        <w:rPr>
          <w:rFonts w:ascii="仿宋" w:hAnsi="仿宋" w:eastAsia="仿宋" w:cs="宋体"/>
          <w:kern w:val="0"/>
          <w:sz w:val="30"/>
          <w:szCs w:val="30"/>
        </w:rPr>
      </w:pPr>
      <w:r>
        <w:rPr>
          <w:rFonts w:hint="eastAsia" w:ascii="宋体" w:hAnsi="宋体" w:cs="宋体"/>
          <w:kern w:val="0"/>
          <w:szCs w:val="21"/>
        </w:rPr>
        <w:t>目前三个校区的校园面积分别为：长山校区占地面积43969平方米,建筑面积28442平方米；新街校区占地面积26004平方米,建筑面积17540平方米；坎山校区占地面积9151平方米,建筑面积7230平方米；三校区总校园面积为79124平方米，总建筑面积为53212平方米，固定资产总值8930万元。</w:t>
      </w:r>
      <w:bookmarkStart w:id="3" w:name="_Toc29554"/>
      <w:r>
        <w:rPr>
          <w:rFonts w:hint="eastAsia" w:ascii="宋体" w:hAnsi="宋体" w:cs="宋体"/>
          <w:kern w:val="0"/>
          <w:szCs w:val="21"/>
        </w:rPr>
        <w:t>具体数据见表一。</w:t>
      </w:r>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表一  2019-2020年萧山四职办学条件数据表</w:t>
      </w:r>
    </w:p>
    <w:tbl>
      <w:tblPr>
        <w:tblStyle w:val="16"/>
        <w:tblW w:w="85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285"/>
        <w:gridCol w:w="1285"/>
        <w:gridCol w:w="1244"/>
        <w:gridCol w:w="1325"/>
        <w:gridCol w:w="114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251" w:type="dxa"/>
            <w:tcBorders>
              <w:tl2br w:val="single" w:color="auto" w:sz="4" w:space="0"/>
            </w:tcBorders>
            <w:vAlign w:val="center"/>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项目</w:t>
            </w:r>
          </w:p>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年份</w:t>
            </w:r>
          </w:p>
        </w:tc>
        <w:tc>
          <w:tcPr>
            <w:tcW w:w="1285" w:type="dxa"/>
            <w:vAlign w:val="center"/>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占地面积</w:t>
            </w:r>
          </w:p>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（平方米）</w:t>
            </w:r>
          </w:p>
        </w:tc>
        <w:tc>
          <w:tcPr>
            <w:tcW w:w="1285" w:type="dxa"/>
            <w:vAlign w:val="center"/>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建筑面积</w:t>
            </w:r>
          </w:p>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（平方米）</w:t>
            </w:r>
          </w:p>
        </w:tc>
        <w:tc>
          <w:tcPr>
            <w:tcW w:w="1244" w:type="dxa"/>
            <w:vAlign w:val="center"/>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固定资产值（万元）</w:t>
            </w:r>
          </w:p>
        </w:tc>
        <w:tc>
          <w:tcPr>
            <w:tcW w:w="1325" w:type="dxa"/>
            <w:vAlign w:val="center"/>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仪器设备值（万元）</w:t>
            </w:r>
          </w:p>
        </w:tc>
        <w:tc>
          <w:tcPr>
            <w:tcW w:w="1142" w:type="dxa"/>
            <w:vAlign w:val="center"/>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纸质图书（册）</w:t>
            </w:r>
          </w:p>
        </w:tc>
        <w:tc>
          <w:tcPr>
            <w:tcW w:w="1050" w:type="dxa"/>
            <w:vAlign w:val="center"/>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计算机</w:t>
            </w:r>
          </w:p>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51" w:type="dxa"/>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2019年</w:t>
            </w:r>
          </w:p>
        </w:tc>
        <w:tc>
          <w:tcPr>
            <w:tcW w:w="1285" w:type="dxa"/>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79124</w:t>
            </w:r>
          </w:p>
        </w:tc>
        <w:tc>
          <w:tcPr>
            <w:tcW w:w="1285" w:type="dxa"/>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53121</w:t>
            </w:r>
          </w:p>
        </w:tc>
        <w:tc>
          <w:tcPr>
            <w:tcW w:w="1244" w:type="dxa"/>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8930</w:t>
            </w:r>
          </w:p>
        </w:tc>
        <w:tc>
          <w:tcPr>
            <w:tcW w:w="1325" w:type="dxa"/>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3628</w:t>
            </w:r>
          </w:p>
        </w:tc>
        <w:tc>
          <w:tcPr>
            <w:tcW w:w="1142" w:type="dxa"/>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64381</w:t>
            </w:r>
          </w:p>
        </w:tc>
        <w:tc>
          <w:tcPr>
            <w:tcW w:w="1050" w:type="dxa"/>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51" w:type="dxa"/>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2020年</w:t>
            </w:r>
          </w:p>
        </w:tc>
        <w:tc>
          <w:tcPr>
            <w:tcW w:w="1285" w:type="dxa"/>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79124</w:t>
            </w:r>
          </w:p>
        </w:tc>
        <w:tc>
          <w:tcPr>
            <w:tcW w:w="1285" w:type="dxa"/>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53121</w:t>
            </w:r>
          </w:p>
        </w:tc>
        <w:tc>
          <w:tcPr>
            <w:tcW w:w="1244" w:type="dxa"/>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10549</w:t>
            </w:r>
          </w:p>
        </w:tc>
        <w:tc>
          <w:tcPr>
            <w:tcW w:w="1325" w:type="dxa"/>
          </w:tcPr>
          <w:p>
            <w:pPr>
              <w:spacing w:before="156" w:beforeLines="50" w:after="156" w:afterLines="50" w:line="360" w:lineRule="auto"/>
              <w:ind w:firstLine="420" w:firstLineChars="200"/>
              <w:jc w:val="left"/>
              <w:rPr>
                <w:rFonts w:ascii="楷体" w:hAnsi="楷体" w:eastAsia="楷体" w:cs="楷体"/>
                <w:szCs w:val="21"/>
              </w:rPr>
            </w:pPr>
            <w:r>
              <w:rPr>
                <w:rFonts w:hint="eastAsia" w:ascii="楷体" w:hAnsi="楷体" w:eastAsia="楷体" w:cs="楷体"/>
                <w:szCs w:val="21"/>
              </w:rPr>
              <w:t>3752</w:t>
            </w:r>
          </w:p>
        </w:tc>
        <w:tc>
          <w:tcPr>
            <w:tcW w:w="1142" w:type="dxa"/>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64785</w:t>
            </w:r>
          </w:p>
        </w:tc>
        <w:tc>
          <w:tcPr>
            <w:tcW w:w="1050" w:type="dxa"/>
          </w:tcPr>
          <w:p>
            <w:pPr>
              <w:spacing w:before="156" w:beforeLines="50" w:after="156" w:afterLines="50" w:line="360" w:lineRule="auto"/>
              <w:jc w:val="left"/>
              <w:rPr>
                <w:rFonts w:ascii="楷体" w:hAnsi="楷体" w:eastAsia="楷体" w:cs="楷体"/>
                <w:szCs w:val="21"/>
              </w:rPr>
            </w:pPr>
            <w:r>
              <w:rPr>
                <w:rFonts w:hint="eastAsia" w:ascii="楷体" w:hAnsi="楷体" w:eastAsia="楷体" w:cs="楷体"/>
                <w:szCs w:val="21"/>
              </w:rPr>
              <w:t>1123</w:t>
            </w:r>
          </w:p>
        </w:tc>
      </w:tr>
      <w:bookmarkEnd w:id="3"/>
    </w:tbl>
    <w:p>
      <w:pPr>
        <w:pStyle w:val="3"/>
        <w:spacing w:before="156" w:beforeLines="50" w:after="156" w:afterLines="50"/>
        <w:ind w:firstLine="602"/>
        <w:outlineLvl w:val="9"/>
        <w:rPr>
          <w:rFonts w:ascii="黑体" w:hAnsi="黑体" w:eastAsia="黑体" w:cs="黑体"/>
        </w:rPr>
      </w:pPr>
    </w:p>
    <w:p>
      <w:pPr>
        <w:pStyle w:val="3"/>
        <w:spacing w:before="156" w:beforeLines="50" w:after="156" w:afterLines="50"/>
        <w:ind w:firstLine="602"/>
        <w:outlineLvl w:val="9"/>
        <w:rPr>
          <w:rFonts w:ascii="黑体" w:hAnsi="黑体" w:eastAsia="黑体" w:cs="黑体"/>
        </w:rPr>
      </w:pPr>
    </w:p>
    <w:p>
      <w:pPr>
        <w:pStyle w:val="3"/>
        <w:spacing w:before="156" w:beforeLines="50" w:after="156" w:afterLines="50"/>
        <w:ind w:firstLine="602"/>
        <w:rPr>
          <w:rFonts w:ascii="黑体" w:hAnsi="黑体" w:eastAsia="黑体" w:cs="黑体"/>
        </w:rPr>
      </w:pPr>
      <w:bookmarkStart w:id="4" w:name="_Toc13214"/>
      <w:r>
        <w:rPr>
          <w:rFonts w:hint="eastAsia" w:ascii="黑体" w:hAnsi="黑体" w:eastAsia="黑体" w:cs="黑体"/>
        </w:rPr>
        <w:t>1.2</w:t>
      </w:r>
      <w:r>
        <w:rPr>
          <w:rFonts w:hint="eastAsia" w:ascii="宋体" w:hAnsi="宋体" w:eastAsia="宋体" w:cs="宋体"/>
        </w:rPr>
        <w:t> </w:t>
      </w:r>
      <w:r>
        <w:rPr>
          <w:rFonts w:hint="eastAsia" w:ascii="黑体" w:hAnsi="黑体" w:eastAsia="黑体" w:cs="黑体"/>
        </w:rPr>
        <w:t>学生情况</w:t>
      </w:r>
      <w:bookmarkEnd w:id="4"/>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表二   2019-2020年萧山四职人才培养数据表</w:t>
      </w:r>
    </w:p>
    <w:tbl>
      <w:tblPr>
        <w:tblStyle w:val="16"/>
        <w:tblW w:w="9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66"/>
        <w:gridCol w:w="924"/>
        <w:gridCol w:w="686"/>
        <w:gridCol w:w="668"/>
        <w:gridCol w:w="843"/>
        <w:gridCol w:w="957"/>
        <w:gridCol w:w="675"/>
        <w:gridCol w:w="832"/>
        <w:gridCol w:w="92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 xml:space="preserve">  项目</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年份</w:t>
            </w:r>
          </w:p>
        </w:tc>
        <w:tc>
          <w:tcPr>
            <w:tcW w:w="766"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班级数（个）</w:t>
            </w:r>
          </w:p>
        </w:tc>
        <w:tc>
          <w:tcPr>
            <w:tcW w:w="924"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在校生数（人）</w:t>
            </w:r>
          </w:p>
        </w:tc>
        <w:tc>
          <w:tcPr>
            <w:tcW w:w="686"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招生数（人）</w:t>
            </w:r>
          </w:p>
        </w:tc>
        <w:tc>
          <w:tcPr>
            <w:tcW w:w="668"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招生完成率（%）</w:t>
            </w:r>
          </w:p>
        </w:tc>
        <w:tc>
          <w:tcPr>
            <w:tcW w:w="843"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巩固率（%）</w:t>
            </w:r>
          </w:p>
        </w:tc>
        <w:tc>
          <w:tcPr>
            <w:tcW w:w="957"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毕业生数</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（人）</w:t>
            </w:r>
          </w:p>
        </w:tc>
        <w:tc>
          <w:tcPr>
            <w:tcW w:w="675"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毕业率</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w:t>
            </w:r>
          </w:p>
        </w:tc>
        <w:tc>
          <w:tcPr>
            <w:tcW w:w="832"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初次就业率（%）</w:t>
            </w:r>
          </w:p>
        </w:tc>
        <w:tc>
          <w:tcPr>
            <w:tcW w:w="924"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专业对口率（%）</w:t>
            </w:r>
          </w:p>
        </w:tc>
        <w:tc>
          <w:tcPr>
            <w:tcW w:w="952"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培训人数比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1008"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766"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48</w:t>
            </w:r>
          </w:p>
        </w:tc>
        <w:tc>
          <w:tcPr>
            <w:tcW w:w="924"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2073</w:t>
            </w:r>
          </w:p>
        </w:tc>
        <w:tc>
          <w:tcPr>
            <w:tcW w:w="686"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677</w:t>
            </w:r>
          </w:p>
        </w:tc>
        <w:tc>
          <w:tcPr>
            <w:tcW w:w="668"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843"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99.24%</w:t>
            </w:r>
          </w:p>
        </w:tc>
        <w:tc>
          <w:tcPr>
            <w:tcW w:w="957"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681</w:t>
            </w:r>
          </w:p>
        </w:tc>
        <w:tc>
          <w:tcPr>
            <w:tcW w:w="675"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832"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95%</w:t>
            </w:r>
          </w:p>
        </w:tc>
        <w:tc>
          <w:tcPr>
            <w:tcW w:w="924"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952"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08"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c>
          <w:tcPr>
            <w:tcW w:w="766"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48</w:t>
            </w:r>
          </w:p>
        </w:tc>
        <w:tc>
          <w:tcPr>
            <w:tcW w:w="924"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2046</w:t>
            </w:r>
          </w:p>
        </w:tc>
        <w:tc>
          <w:tcPr>
            <w:tcW w:w="686"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760</w:t>
            </w:r>
          </w:p>
        </w:tc>
        <w:tc>
          <w:tcPr>
            <w:tcW w:w="668"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843"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99.37%</w:t>
            </w:r>
          </w:p>
        </w:tc>
        <w:tc>
          <w:tcPr>
            <w:tcW w:w="957"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733</w:t>
            </w:r>
          </w:p>
        </w:tc>
        <w:tc>
          <w:tcPr>
            <w:tcW w:w="675"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832"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w:t>
            </w:r>
          </w:p>
        </w:tc>
        <w:tc>
          <w:tcPr>
            <w:tcW w:w="924"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952" w:type="dxa"/>
            <w:tcMar>
              <w:left w:w="0" w:type="dxa"/>
              <w:right w:w="0" w:type="dxa"/>
            </w:tcMa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2559</w:t>
            </w:r>
          </w:p>
        </w:tc>
      </w:tr>
    </w:tbl>
    <w:p>
      <w:pPr>
        <w:pStyle w:val="3"/>
        <w:spacing w:before="156" w:beforeLines="50" w:after="156" w:afterLines="50"/>
        <w:ind w:firstLine="602"/>
        <w:rPr>
          <w:rFonts w:ascii="黑体" w:hAnsi="黑体" w:eastAsia="黑体" w:cs="黑体"/>
        </w:rPr>
      </w:pPr>
      <w:bookmarkStart w:id="5" w:name="_Toc13413"/>
      <w:r>
        <w:rPr>
          <w:rFonts w:hint="eastAsia" w:ascii="黑体" w:hAnsi="黑体" w:eastAsia="黑体" w:cs="黑体"/>
        </w:rPr>
        <w:t>1.3教师队伍</w:t>
      </w:r>
      <w:bookmarkEnd w:id="5"/>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2020年萧山四职在编教职工数181人，其中专任教师数174人，专任教师数占教职工数的96.13%，生师比为11.5:1；在编专业课教师83人，其中“双师型”教师比例为75.9%；外聘兼职教师6人，占专业课教师数7.23 %。2019年萧山四职专任教师本科以上学历174人，占专任教师总数的100%，其中硕士研究生及以上学历9人，占专任教师总数的5.17%；专任教师中有正高级职称教师0人，高级职称教师46人，占专任教师总数的26.44%。具体各项指标见表三、四、五所示。</w:t>
      </w:r>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表三   2019-2020年萧山四职在编专任教师学历结构表</w:t>
      </w:r>
    </w:p>
    <w:tbl>
      <w:tblPr>
        <w:tblStyle w:val="16"/>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390"/>
        <w:gridCol w:w="1451"/>
        <w:gridCol w:w="130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52" w:type="dxa"/>
            <w:vMerge w:val="restar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学历</w:t>
            </w:r>
          </w:p>
        </w:tc>
        <w:tc>
          <w:tcPr>
            <w:tcW w:w="2841" w:type="dxa"/>
            <w:gridSpan w:val="2"/>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2841" w:type="dxa"/>
            <w:gridSpan w:val="2"/>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52" w:type="dxa"/>
            <w:vMerge w:val="continue"/>
          </w:tcPr>
          <w:p>
            <w:pPr>
              <w:spacing w:before="156" w:beforeLines="50" w:after="156" w:afterLines="50" w:line="360" w:lineRule="auto"/>
              <w:jc w:val="center"/>
              <w:rPr>
                <w:rFonts w:ascii="楷体" w:hAnsi="楷体" w:eastAsia="楷体" w:cs="楷体"/>
                <w:kern w:val="0"/>
                <w:szCs w:val="21"/>
              </w:rPr>
            </w:pPr>
          </w:p>
        </w:tc>
        <w:tc>
          <w:tcPr>
            <w:tcW w:w="139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人数（人）</w:t>
            </w:r>
          </w:p>
        </w:tc>
        <w:tc>
          <w:tcPr>
            <w:tcW w:w="1451"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占比（%）</w:t>
            </w:r>
          </w:p>
        </w:tc>
        <w:tc>
          <w:tcPr>
            <w:tcW w:w="1305"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人数（人）</w:t>
            </w:r>
          </w:p>
        </w:tc>
        <w:tc>
          <w:tcPr>
            <w:tcW w:w="1536"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52"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硕士研究生</w:t>
            </w:r>
          </w:p>
        </w:tc>
        <w:tc>
          <w:tcPr>
            <w:tcW w:w="139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w:t>
            </w:r>
          </w:p>
        </w:tc>
        <w:tc>
          <w:tcPr>
            <w:tcW w:w="1451"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4.55</w:t>
            </w:r>
          </w:p>
        </w:tc>
        <w:tc>
          <w:tcPr>
            <w:tcW w:w="1305"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w:t>
            </w:r>
          </w:p>
        </w:tc>
        <w:tc>
          <w:tcPr>
            <w:tcW w:w="1536"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552"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本科</w:t>
            </w:r>
          </w:p>
        </w:tc>
        <w:tc>
          <w:tcPr>
            <w:tcW w:w="139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147</w:t>
            </w:r>
          </w:p>
        </w:tc>
        <w:tc>
          <w:tcPr>
            <w:tcW w:w="1451"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95.45</w:t>
            </w:r>
          </w:p>
        </w:tc>
        <w:tc>
          <w:tcPr>
            <w:tcW w:w="1305"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164</w:t>
            </w:r>
          </w:p>
        </w:tc>
        <w:tc>
          <w:tcPr>
            <w:tcW w:w="1536"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552"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专科</w:t>
            </w:r>
          </w:p>
        </w:tc>
        <w:tc>
          <w:tcPr>
            <w:tcW w:w="139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451"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305"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w:t>
            </w:r>
          </w:p>
        </w:tc>
        <w:tc>
          <w:tcPr>
            <w:tcW w:w="1536"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合计</w:t>
            </w:r>
          </w:p>
        </w:tc>
        <w:tc>
          <w:tcPr>
            <w:tcW w:w="139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154</w:t>
            </w:r>
          </w:p>
        </w:tc>
        <w:tc>
          <w:tcPr>
            <w:tcW w:w="1451"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1305"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174</w:t>
            </w:r>
          </w:p>
        </w:tc>
        <w:tc>
          <w:tcPr>
            <w:tcW w:w="1536"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r>
    </w:tbl>
    <w:p>
      <w:pPr>
        <w:spacing w:before="156" w:beforeLines="50" w:after="156" w:afterLines="50" w:line="360" w:lineRule="auto"/>
        <w:jc w:val="center"/>
        <w:rPr>
          <w:rFonts w:ascii="楷体" w:hAnsi="楷体" w:eastAsia="楷体" w:cs="楷体"/>
          <w:b/>
          <w:bCs/>
          <w:szCs w:val="21"/>
        </w:rPr>
      </w:pPr>
    </w:p>
    <w:p>
      <w:pPr>
        <w:spacing w:before="156" w:beforeLines="50" w:after="156" w:afterLines="50" w:line="360" w:lineRule="auto"/>
        <w:jc w:val="center"/>
        <w:rPr>
          <w:rFonts w:ascii="楷体" w:hAnsi="楷体" w:eastAsia="楷体" w:cs="楷体"/>
          <w:b/>
          <w:bCs/>
          <w:szCs w:val="21"/>
        </w:rPr>
      </w:pPr>
      <w:r>
        <w:rPr>
          <w:rFonts w:hint="eastAsia" w:ascii="楷体" w:hAnsi="楷体" w:eastAsia="楷体" w:cs="楷体"/>
          <w:b/>
          <w:bCs/>
          <w:szCs w:val="21"/>
        </w:rPr>
        <w:t>表四   2019-2020年在编专任教师职称结构表</w:t>
      </w:r>
    </w:p>
    <w:tbl>
      <w:tblPr>
        <w:tblStyle w:val="16"/>
        <w:tblpPr w:leftFromText="180" w:rightFromText="180" w:vertAnchor="text" w:horzAnchor="margin" w:tblpXSpec="center" w:tblpY="9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155"/>
        <w:gridCol w:w="1665"/>
        <w:gridCol w:w="176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48" w:type="dxa"/>
            <w:vMerge w:val="restart"/>
          </w:tcPr>
          <w:p>
            <w:pPr>
              <w:spacing w:before="156" w:beforeLines="50" w:after="156" w:afterLines="50" w:line="360" w:lineRule="auto"/>
              <w:jc w:val="center"/>
              <w:rPr>
                <w:rFonts w:ascii="楷体" w:hAnsi="楷体" w:eastAsia="楷体" w:cs="楷体"/>
                <w:kern w:val="0"/>
                <w:szCs w:val="21"/>
              </w:rPr>
            </w:pP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职称</w:t>
            </w:r>
          </w:p>
        </w:tc>
        <w:tc>
          <w:tcPr>
            <w:tcW w:w="2820" w:type="dxa"/>
            <w:gridSpan w:val="2"/>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4887" w:type="dxa"/>
            <w:gridSpan w:val="3"/>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vMerge w:val="continue"/>
          </w:tcPr>
          <w:p>
            <w:pPr>
              <w:spacing w:before="156" w:beforeLines="50" w:after="156" w:afterLines="50" w:line="360" w:lineRule="auto"/>
              <w:jc w:val="center"/>
              <w:rPr>
                <w:rFonts w:ascii="楷体" w:hAnsi="楷体" w:eastAsia="楷体" w:cs="楷体"/>
                <w:kern w:val="0"/>
                <w:szCs w:val="21"/>
              </w:rPr>
            </w:pPr>
          </w:p>
        </w:tc>
        <w:tc>
          <w:tcPr>
            <w:tcW w:w="115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人数（人）</w:t>
            </w:r>
          </w:p>
        </w:tc>
        <w:tc>
          <w:tcPr>
            <w:tcW w:w="166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占比（%）</w:t>
            </w:r>
          </w:p>
        </w:tc>
        <w:tc>
          <w:tcPr>
            <w:tcW w:w="176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人数（人）</w:t>
            </w:r>
          </w:p>
        </w:tc>
        <w:tc>
          <w:tcPr>
            <w:tcW w:w="1417"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占比（%）</w:t>
            </w:r>
          </w:p>
        </w:tc>
        <w:tc>
          <w:tcPr>
            <w:tcW w:w="170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占比增量（%）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8"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正高级</w:t>
            </w:r>
          </w:p>
        </w:tc>
        <w:tc>
          <w:tcPr>
            <w:tcW w:w="115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66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76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417"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70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副高级</w:t>
            </w:r>
          </w:p>
        </w:tc>
        <w:tc>
          <w:tcPr>
            <w:tcW w:w="115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39</w:t>
            </w:r>
          </w:p>
        </w:tc>
        <w:tc>
          <w:tcPr>
            <w:tcW w:w="166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25.32</w:t>
            </w:r>
          </w:p>
        </w:tc>
        <w:tc>
          <w:tcPr>
            <w:tcW w:w="176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46</w:t>
            </w:r>
          </w:p>
        </w:tc>
        <w:tc>
          <w:tcPr>
            <w:tcW w:w="1417"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26.44</w:t>
            </w:r>
          </w:p>
        </w:tc>
        <w:tc>
          <w:tcPr>
            <w:tcW w:w="170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中级</w:t>
            </w:r>
          </w:p>
        </w:tc>
        <w:tc>
          <w:tcPr>
            <w:tcW w:w="115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81</w:t>
            </w:r>
          </w:p>
        </w:tc>
        <w:tc>
          <w:tcPr>
            <w:tcW w:w="166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52.60</w:t>
            </w:r>
          </w:p>
        </w:tc>
        <w:tc>
          <w:tcPr>
            <w:tcW w:w="176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86</w:t>
            </w:r>
          </w:p>
        </w:tc>
        <w:tc>
          <w:tcPr>
            <w:tcW w:w="1417"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49.43</w:t>
            </w:r>
          </w:p>
        </w:tc>
        <w:tc>
          <w:tcPr>
            <w:tcW w:w="170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8"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初级</w:t>
            </w:r>
          </w:p>
        </w:tc>
        <w:tc>
          <w:tcPr>
            <w:tcW w:w="115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31</w:t>
            </w:r>
          </w:p>
        </w:tc>
        <w:tc>
          <w:tcPr>
            <w:tcW w:w="166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20.13</w:t>
            </w:r>
          </w:p>
        </w:tc>
        <w:tc>
          <w:tcPr>
            <w:tcW w:w="176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33</w:t>
            </w:r>
          </w:p>
        </w:tc>
        <w:tc>
          <w:tcPr>
            <w:tcW w:w="1417"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18.97</w:t>
            </w:r>
          </w:p>
        </w:tc>
        <w:tc>
          <w:tcPr>
            <w:tcW w:w="170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未评定</w:t>
            </w:r>
          </w:p>
        </w:tc>
        <w:tc>
          <w:tcPr>
            <w:tcW w:w="115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w:t>
            </w:r>
          </w:p>
        </w:tc>
        <w:tc>
          <w:tcPr>
            <w:tcW w:w="1665"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1.95</w:t>
            </w:r>
          </w:p>
        </w:tc>
        <w:tc>
          <w:tcPr>
            <w:tcW w:w="176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w:t>
            </w:r>
          </w:p>
        </w:tc>
        <w:tc>
          <w:tcPr>
            <w:tcW w:w="1417"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5.17</w:t>
            </w:r>
          </w:p>
        </w:tc>
        <w:tc>
          <w:tcPr>
            <w:tcW w:w="170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3.22</w:t>
            </w:r>
          </w:p>
        </w:tc>
      </w:tr>
    </w:tbl>
    <w:p>
      <w:pPr>
        <w:spacing w:before="156" w:beforeLines="50" w:after="156" w:afterLines="50" w:line="360" w:lineRule="auto"/>
        <w:ind w:firstLine="422" w:firstLineChars="200"/>
        <w:jc w:val="center"/>
        <w:rPr>
          <w:rFonts w:ascii="楷体" w:hAnsi="楷体" w:eastAsia="楷体" w:cs="楷体"/>
          <w:b/>
          <w:bCs/>
          <w:szCs w:val="21"/>
        </w:rPr>
      </w:pPr>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表五  2019-2020年在编专任教师“双师型”结构表</w:t>
      </w:r>
    </w:p>
    <w:tbl>
      <w:tblPr>
        <w:tblStyle w:val="16"/>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1097"/>
        <w:gridCol w:w="137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20"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年份</w:t>
            </w:r>
          </w:p>
        </w:tc>
        <w:tc>
          <w:tcPr>
            <w:tcW w:w="1097"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137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c>
          <w:tcPr>
            <w:tcW w:w="255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2020年比2019年增量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0"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双师型教师数量（人）</w:t>
            </w:r>
          </w:p>
        </w:tc>
        <w:tc>
          <w:tcPr>
            <w:tcW w:w="1097"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59</w:t>
            </w:r>
          </w:p>
        </w:tc>
        <w:tc>
          <w:tcPr>
            <w:tcW w:w="137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63</w:t>
            </w:r>
          </w:p>
        </w:tc>
        <w:tc>
          <w:tcPr>
            <w:tcW w:w="255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0"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双师型教师占专业课教师比例（%）</w:t>
            </w:r>
          </w:p>
        </w:tc>
        <w:tc>
          <w:tcPr>
            <w:tcW w:w="1097"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83.10</w:t>
            </w:r>
          </w:p>
        </w:tc>
        <w:tc>
          <w:tcPr>
            <w:tcW w:w="137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75.9</w:t>
            </w:r>
          </w:p>
        </w:tc>
        <w:tc>
          <w:tcPr>
            <w:tcW w:w="255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0"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双师型教师占专任教师比例（%）</w:t>
            </w:r>
          </w:p>
        </w:tc>
        <w:tc>
          <w:tcPr>
            <w:tcW w:w="1097"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38.31</w:t>
            </w:r>
          </w:p>
        </w:tc>
        <w:tc>
          <w:tcPr>
            <w:tcW w:w="137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36.21</w:t>
            </w:r>
          </w:p>
        </w:tc>
        <w:tc>
          <w:tcPr>
            <w:tcW w:w="2550"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-2.1</w:t>
            </w:r>
          </w:p>
        </w:tc>
      </w:tr>
    </w:tbl>
    <w:p>
      <w:pPr>
        <w:spacing w:before="156" w:beforeLines="50" w:after="156" w:afterLines="50"/>
      </w:pPr>
    </w:p>
    <w:p>
      <w:pPr>
        <w:pStyle w:val="3"/>
        <w:spacing w:before="156" w:beforeLines="50" w:after="156" w:afterLines="50"/>
        <w:ind w:firstLine="602"/>
        <w:rPr>
          <w:rFonts w:ascii="黑体" w:hAnsi="黑体" w:eastAsia="黑体" w:cs="黑体"/>
        </w:rPr>
      </w:pPr>
      <w:bookmarkStart w:id="6" w:name="_Toc30428"/>
      <w:r>
        <w:rPr>
          <w:rFonts w:hint="eastAsia" w:ascii="黑体" w:hAnsi="黑体" w:eastAsia="黑体" w:cs="黑体"/>
        </w:rPr>
        <w:t>1.4设施设备</w:t>
      </w:r>
      <w:bookmarkEnd w:id="6"/>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2020年学校有仪器设备总值3752万元，2019年学校有仪器设备总值 3628 万元，比2019年增124万。生均仪器设备值1.8万元，比2019年增加0.047万元，（数据截止到2020年12月固定资产账），具体见表六：</w:t>
      </w:r>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表六   2018-2019年萧山四职生均各项指标情况</w:t>
      </w:r>
    </w:p>
    <w:tbl>
      <w:tblPr>
        <w:tblStyle w:val="16"/>
        <w:tblW w:w="912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66"/>
        <w:gridCol w:w="1432"/>
        <w:gridCol w:w="1328"/>
        <w:gridCol w:w="1139"/>
        <w:gridCol w:w="1141"/>
        <w:gridCol w:w="99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l2br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 xml:space="preserve">  项目</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年份</w:t>
            </w:r>
          </w:p>
        </w:tc>
        <w:tc>
          <w:tcPr>
            <w:tcW w:w="966"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在校生数</w:t>
            </w:r>
          </w:p>
        </w:tc>
        <w:tc>
          <w:tcPr>
            <w:tcW w:w="1432"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生均占地面积</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（平方米）</w:t>
            </w:r>
          </w:p>
        </w:tc>
        <w:tc>
          <w:tcPr>
            <w:tcW w:w="1328"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生均建筑面积</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（平方米）</w:t>
            </w:r>
          </w:p>
        </w:tc>
        <w:tc>
          <w:tcPr>
            <w:tcW w:w="1139"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生均固定资产值（万元）</w:t>
            </w:r>
          </w:p>
        </w:tc>
        <w:tc>
          <w:tcPr>
            <w:tcW w:w="1141"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生均仪器设备值（万元）</w:t>
            </w:r>
          </w:p>
        </w:tc>
        <w:tc>
          <w:tcPr>
            <w:tcW w:w="992"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生均图书（册）</w:t>
            </w:r>
          </w:p>
        </w:tc>
        <w:tc>
          <w:tcPr>
            <w:tcW w:w="1119" w:type="dxa"/>
            <w:tcMar>
              <w:left w:w="0" w:type="dxa"/>
              <w:right w:w="0"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生均计算机（台）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966"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2073</w:t>
            </w:r>
          </w:p>
        </w:tc>
        <w:tc>
          <w:tcPr>
            <w:tcW w:w="143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38.22</w:t>
            </w:r>
          </w:p>
        </w:tc>
        <w:tc>
          <w:tcPr>
            <w:tcW w:w="1328"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25.66</w:t>
            </w:r>
          </w:p>
        </w:tc>
        <w:tc>
          <w:tcPr>
            <w:tcW w:w="113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4.314</w:t>
            </w:r>
          </w:p>
        </w:tc>
        <w:tc>
          <w:tcPr>
            <w:tcW w:w="114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1.753</w:t>
            </w:r>
          </w:p>
        </w:tc>
        <w:tc>
          <w:tcPr>
            <w:tcW w:w="99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31.10</w:t>
            </w:r>
          </w:p>
        </w:tc>
        <w:tc>
          <w:tcPr>
            <w:tcW w:w="111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c>
          <w:tcPr>
            <w:tcW w:w="966"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2046</w:t>
            </w:r>
          </w:p>
        </w:tc>
        <w:tc>
          <w:tcPr>
            <w:tcW w:w="143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38</w:t>
            </w:r>
          </w:p>
        </w:tc>
        <w:tc>
          <w:tcPr>
            <w:tcW w:w="1328"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25.51</w:t>
            </w:r>
          </w:p>
        </w:tc>
        <w:tc>
          <w:tcPr>
            <w:tcW w:w="113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5.07</w:t>
            </w:r>
          </w:p>
        </w:tc>
        <w:tc>
          <w:tcPr>
            <w:tcW w:w="114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1.8</w:t>
            </w:r>
          </w:p>
        </w:tc>
        <w:tc>
          <w:tcPr>
            <w:tcW w:w="99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3.12</w:t>
            </w:r>
          </w:p>
        </w:tc>
        <w:tc>
          <w:tcPr>
            <w:tcW w:w="1119"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0.54</w:t>
            </w:r>
          </w:p>
        </w:tc>
      </w:tr>
    </w:tbl>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六个专业各类实训设施设备总值2508万元，比2019年增加56.6万元；全校工位数2082个，比2019年增加33个，需要来年持续增加。具体见表七：</w:t>
      </w:r>
    </w:p>
    <w:p>
      <w:pPr>
        <w:spacing w:before="156" w:beforeLines="50" w:after="156" w:afterLines="50" w:line="360" w:lineRule="auto"/>
        <w:ind w:firstLine="480"/>
        <w:jc w:val="center"/>
        <w:rPr>
          <w:rFonts w:ascii="楷体" w:hAnsi="楷体" w:eastAsia="楷体" w:cs="楷体"/>
          <w:szCs w:val="21"/>
        </w:rPr>
      </w:pPr>
      <w:r>
        <w:rPr>
          <w:rFonts w:hint="eastAsia" w:ascii="楷体" w:hAnsi="楷体" w:eastAsia="楷体" w:cs="楷体"/>
          <w:b/>
          <w:bCs/>
          <w:szCs w:val="21"/>
        </w:rPr>
        <w:t>表七   2018-2019年校内各实训基地概况</w:t>
      </w:r>
    </w:p>
    <w:tbl>
      <w:tblPr>
        <w:tblStyle w:val="16"/>
        <w:tblW w:w="7704" w:type="dxa"/>
        <w:jc w:val="center"/>
        <w:tblLayout w:type="fixed"/>
        <w:tblCellMar>
          <w:top w:w="0" w:type="dxa"/>
          <w:left w:w="0" w:type="dxa"/>
          <w:bottom w:w="0" w:type="dxa"/>
          <w:right w:w="0" w:type="dxa"/>
        </w:tblCellMar>
      </w:tblPr>
      <w:tblGrid>
        <w:gridCol w:w="1910"/>
        <w:gridCol w:w="1845"/>
        <w:gridCol w:w="1204"/>
        <w:gridCol w:w="840"/>
        <w:gridCol w:w="945"/>
        <w:gridCol w:w="960"/>
      </w:tblGrid>
      <w:tr>
        <w:tblPrEx>
          <w:tblCellMar>
            <w:top w:w="0" w:type="dxa"/>
            <w:left w:w="0" w:type="dxa"/>
            <w:bottom w:w="0" w:type="dxa"/>
            <w:right w:w="0" w:type="dxa"/>
          </w:tblCellMar>
        </w:tblPrEx>
        <w:trPr>
          <w:trHeight w:val="285" w:hRule="atLeast"/>
          <w:jc w:val="center"/>
        </w:trPr>
        <w:tc>
          <w:tcPr>
            <w:tcW w:w="191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专业名称</w:t>
            </w:r>
          </w:p>
        </w:tc>
        <w:tc>
          <w:tcPr>
            <w:tcW w:w="1845" w:type="dxa"/>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2020年实训面积（平方米）</w:t>
            </w:r>
          </w:p>
        </w:tc>
        <w:tc>
          <w:tcPr>
            <w:tcW w:w="2044"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设备总值（万元）</w:t>
            </w:r>
          </w:p>
        </w:tc>
        <w:tc>
          <w:tcPr>
            <w:tcW w:w="1905"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实训工位数（个）</w:t>
            </w:r>
          </w:p>
        </w:tc>
      </w:tr>
      <w:tr>
        <w:tblPrEx>
          <w:tblCellMar>
            <w:top w:w="0" w:type="dxa"/>
            <w:left w:w="0" w:type="dxa"/>
            <w:bottom w:w="0" w:type="dxa"/>
            <w:right w:w="0" w:type="dxa"/>
          </w:tblCellMar>
        </w:tblPrEx>
        <w:trPr>
          <w:trHeight w:val="285" w:hRule="atLeast"/>
          <w:jc w:val="center"/>
        </w:trPr>
        <w:tc>
          <w:tcPr>
            <w:tcW w:w="191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p>
        </w:tc>
        <w:tc>
          <w:tcPr>
            <w:tcW w:w="1845" w:type="dxa"/>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p>
        </w:tc>
        <w:tc>
          <w:tcPr>
            <w:tcW w:w="1204"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c>
          <w:tcPr>
            <w:tcW w:w="84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94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c>
          <w:tcPr>
            <w:tcW w:w="9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r>
      <w:tr>
        <w:tblPrEx>
          <w:tblCellMar>
            <w:top w:w="0" w:type="dxa"/>
            <w:left w:w="0" w:type="dxa"/>
            <w:bottom w:w="0" w:type="dxa"/>
            <w:right w:w="0" w:type="dxa"/>
          </w:tblCellMar>
        </w:tblPrEx>
        <w:trPr>
          <w:trHeight w:val="567" w:hRule="atLeast"/>
          <w:jc w:val="center"/>
        </w:trPr>
        <w:tc>
          <w:tcPr>
            <w:tcW w:w="19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护理专业</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1605</w:t>
            </w:r>
          </w:p>
        </w:tc>
        <w:tc>
          <w:tcPr>
            <w:tcW w:w="1204"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472.5</w:t>
            </w:r>
          </w:p>
        </w:tc>
        <w:tc>
          <w:tcPr>
            <w:tcW w:w="84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442</w:t>
            </w:r>
          </w:p>
        </w:tc>
        <w:tc>
          <w:tcPr>
            <w:tcW w:w="9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757</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740</w:t>
            </w:r>
          </w:p>
        </w:tc>
      </w:tr>
      <w:tr>
        <w:tblPrEx>
          <w:tblCellMar>
            <w:top w:w="0" w:type="dxa"/>
            <w:left w:w="0" w:type="dxa"/>
            <w:bottom w:w="0" w:type="dxa"/>
            <w:right w:w="0" w:type="dxa"/>
          </w:tblCellMar>
        </w:tblPrEx>
        <w:trPr>
          <w:trHeight w:val="567" w:hRule="atLeast"/>
          <w:jc w:val="center"/>
        </w:trPr>
        <w:tc>
          <w:tcPr>
            <w:tcW w:w="19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药剂专业</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w:t>
            </w:r>
          </w:p>
        </w:tc>
        <w:tc>
          <w:tcPr>
            <w:tcW w:w="1204"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w:t>
            </w:r>
          </w:p>
        </w:tc>
        <w:tc>
          <w:tcPr>
            <w:tcW w:w="84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w:t>
            </w:r>
          </w:p>
        </w:tc>
        <w:tc>
          <w:tcPr>
            <w:tcW w:w="9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w:t>
            </w:r>
          </w:p>
        </w:tc>
      </w:tr>
      <w:tr>
        <w:tblPrEx>
          <w:tblCellMar>
            <w:top w:w="0" w:type="dxa"/>
            <w:left w:w="0" w:type="dxa"/>
            <w:bottom w:w="0" w:type="dxa"/>
            <w:right w:w="0" w:type="dxa"/>
          </w:tblCellMar>
        </w:tblPrEx>
        <w:trPr>
          <w:trHeight w:val="567" w:hRule="atLeast"/>
          <w:jc w:val="center"/>
        </w:trPr>
        <w:tc>
          <w:tcPr>
            <w:tcW w:w="19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机械专业</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1513</w:t>
            </w:r>
          </w:p>
        </w:tc>
        <w:tc>
          <w:tcPr>
            <w:tcW w:w="1204"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631.2</w:t>
            </w:r>
          </w:p>
        </w:tc>
        <w:tc>
          <w:tcPr>
            <w:tcW w:w="84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620.7</w:t>
            </w:r>
          </w:p>
        </w:tc>
        <w:tc>
          <w:tcPr>
            <w:tcW w:w="9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351</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351</w:t>
            </w:r>
          </w:p>
        </w:tc>
      </w:tr>
      <w:tr>
        <w:tblPrEx>
          <w:tblCellMar>
            <w:top w:w="0" w:type="dxa"/>
            <w:left w:w="0" w:type="dxa"/>
            <w:bottom w:w="0" w:type="dxa"/>
            <w:right w:w="0" w:type="dxa"/>
          </w:tblCellMar>
        </w:tblPrEx>
        <w:trPr>
          <w:trHeight w:val="567" w:hRule="atLeast"/>
          <w:jc w:val="center"/>
        </w:trPr>
        <w:tc>
          <w:tcPr>
            <w:tcW w:w="19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建筑专业</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994</w:t>
            </w:r>
          </w:p>
        </w:tc>
        <w:tc>
          <w:tcPr>
            <w:tcW w:w="1204"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898.2</w:t>
            </w:r>
          </w:p>
        </w:tc>
        <w:tc>
          <w:tcPr>
            <w:tcW w:w="84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893.1</w:t>
            </w:r>
          </w:p>
        </w:tc>
        <w:tc>
          <w:tcPr>
            <w:tcW w:w="9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690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682</w:t>
            </w:r>
          </w:p>
        </w:tc>
      </w:tr>
      <w:tr>
        <w:tblPrEx>
          <w:tblCellMar>
            <w:top w:w="0" w:type="dxa"/>
            <w:left w:w="0" w:type="dxa"/>
            <w:bottom w:w="0" w:type="dxa"/>
            <w:right w:w="0" w:type="dxa"/>
          </w:tblCellMar>
        </w:tblPrEx>
        <w:trPr>
          <w:trHeight w:val="567" w:hRule="atLeast"/>
          <w:jc w:val="center"/>
        </w:trPr>
        <w:tc>
          <w:tcPr>
            <w:tcW w:w="19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化工专业</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950</w:t>
            </w:r>
          </w:p>
        </w:tc>
        <w:tc>
          <w:tcPr>
            <w:tcW w:w="1204"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433.6</w:t>
            </w:r>
          </w:p>
        </w:tc>
        <w:tc>
          <w:tcPr>
            <w:tcW w:w="84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423.1</w:t>
            </w:r>
          </w:p>
        </w:tc>
        <w:tc>
          <w:tcPr>
            <w:tcW w:w="9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139</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131</w:t>
            </w:r>
          </w:p>
        </w:tc>
      </w:tr>
      <w:tr>
        <w:tblPrEx>
          <w:tblCellMar>
            <w:top w:w="0" w:type="dxa"/>
            <w:left w:w="0" w:type="dxa"/>
            <w:bottom w:w="0" w:type="dxa"/>
            <w:right w:w="0" w:type="dxa"/>
          </w:tblCellMar>
        </w:tblPrEx>
        <w:trPr>
          <w:trHeight w:val="567" w:hRule="atLeast"/>
          <w:jc w:val="center"/>
        </w:trPr>
        <w:tc>
          <w:tcPr>
            <w:tcW w:w="19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外贸专业</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216</w:t>
            </w:r>
          </w:p>
        </w:tc>
        <w:tc>
          <w:tcPr>
            <w:tcW w:w="1204"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52.5</w:t>
            </w:r>
          </w:p>
        </w:tc>
        <w:tc>
          <w:tcPr>
            <w:tcW w:w="84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52.5</w:t>
            </w:r>
          </w:p>
        </w:tc>
        <w:tc>
          <w:tcPr>
            <w:tcW w:w="9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120</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120</w:t>
            </w:r>
          </w:p>
        </w:tc>
      </w:tr>
      <w:tr>
        <w:tblPrEx>
          <w:tblCellMar>
            <w:top w:w="0" w:type="dxa"/>
            <w:left w:w="0" w:type="dxa"/>
            <w:bottom w:w="0" w:type="dxa"/>
            <w:right w:w="0" w:type="dxa"/>
          </w:tblCellMar>
        </w:tblPrEx>
        <w:trPr>
          <w:trHeight w:val="567" w:hRule="atLeast"/>
          <w:jc w:val="center"/>
        </w:trPr>
        <w:tc>
          <w:tcPr>
            <w:tcW w:w="191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合计</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5374</w:t>
            </w:r>
          </w:p>
        </w:tc>
        <w:tc>
          <w:tcPr>
            <w:tcW w:w="1204"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2508</w:t>
            </w:r>
          </w:p>
        </w:tc>
        <w:tc>
          <w:tcPr>
            <w:tcW w:w="84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2451.4</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2082</w:t>
            </w:r>
          </w:p>
        </w:tc>
        <w:tc>
          <w:tcPr>
            <w:tcW w:w="960" w:type="dxa"/>
            <w:tcBorders>
              <w:top w:val="nil"/>
              <w:left w:val="nil"/>
              <w:bottom w:val="single" w:color="000000" w:sz="8" w:space="0"/>
              <w:right w:val="single" w:color="000000" w:sz="8" w:space="0"/>
            </w:tcBorders>
            <w:tcMar>
              <w:top w:w="15" w:type="dxa"/>
              <w:left w:w="15" w:type="dxa"/>
              <w:right w:w="15"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2049</w:t>
            </w:r>
          </w:p>
        </w:tc>
      </w:tr>
    </w:tbl>
    <w:p>
      <w:pPr>
        <w:pStyle w:val="2"/>
        <w:spacing w:before="156" w:beforeLines="50" w:after="156" w:afterLines="50"/>
        <w:ind w:firstLine="440" w:firstLineChars="100"/>
        <w:rPr>
          <w:rFonts w:ascii="华文中宋" w:hAnsi="华文中宋" w:eastAsia="华文中宋" w:cs="华文中宋"/>
          <w:sz w:val="44"/>
          <w:szCs w:val="44"/>
        </w:rPr>
      </w:pPr>
      <w:bookmarkStart w:id="7" w:name="_Toc16447"/>
      <w:r>
        <w:rPr>
          <w:rFonts w:hint="eastAsia" w:ascii="华文中宋" w:hAnsi="华文中宋" w:eastAsia="华文中宋" w:cs="华文中宋"/>
          <w:sz w:val="44"/>
          <w:szCs w:val="44"/>
        </w:rPr>
        <w:t>2.学生发展</w:t>
      </w:r>
      <w:bookmarkEnd w:id="7"/>
    </w:p>
    <w:p>
      <w:pPr>
        <w:pStyle w:val="3"/>
        <w:spacing w:before="156" w:beforeLines="50" w:after="156" w:afterLines="50"/>
        <w:ind w:firstLine="602"/>
        <w:rPr>
          <w:rFonts w:ascii="黑体" w:hAnsi="黑体" w:eastAsia="黑体" w:cs="黑体"/>
        </w:rPr>
      </w:pPr>
      <w:bookmarkStart w:id="8" w:name="_Toc21557"/>
      <w:r>
        <w:rPr>
          <w:rFonts w:hint="eastAsia" w:ascii="黑体" w:hAnsi="黑体" w:eastAsia="黑体" w:cs="黑体"/>
        </w:rPr>
        <w:t>2.1学生素质</w:t>
      </w:r>
      <w:bookmarkEnd w:id="8"/>
    </w:p>
    <w:p>
      <w:pPr>
        <w:pStyle w:val="4"/>
        <w:spacing w:before="156" w:beforeLines="50" w:after="156" w:afterLines="50"/>
        <w:ind w:firstLine="422"/>
        <w:rPr>
          <w:rStyle w:val="38"/>
          <w:rFonts w:ascii="宋体" w:hAnsi="宋体" w:eastAsia="宋体" w:cs="宋体"/>
          <w:b/>
          <w:bCs/>
          <w:sz w:val="21"/>
          <w:szCs w:val="21"/>
        </w:rPr>
      </w:pPr>
      <w:r>
        <w:rPr>
          <w:rStyle w:val="38"/>
          <w:rFonts w:hint="eastAsia" w:ascii="宋体" w:hAnsi="宋体" w:eastAsia="宋体" w:cs="宋体"/>
          <w:b/>
          <w:bCs/>
          <w:sz w:val="21"/>
          <w:szCs w:val="21"/>
        </w:rPr>
        <w:t>2.1.1学生思想政治状况</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以阳光德育为内核，以阳光德育校本体系构建为抓手，精心打造“阳光”品牌，让每一位学子像阳光一样闪亮。全校学生能自觉践行社会主义核心价值观；有较强的法制观念、公德意识；有较强的自管自育能力；有较高的核心素养。具有“自信、自主、自立、自强”的阳光心态、“爱自然、爱社会、爱人民、爱生活”的阳光品质、“会学习、会表达、会合作、会负责”的阳光能力。</w:t>
      </w:r>
    </w:p>
    <w:p>
      <w:pPr>
        <w:spacing w:before="156" w:beforeLines="50" w:after="156" w:afterLines="50" w:line="360" w:lineRule="auto"/>
        <w:ind w:firstLine="422" w:firstLineChars="200"/>
        <w:rPr>
          <w:rFonts w:ascii="宋体" w:hAnsi="宋体" w:cs="宋体"/>
          <w:szCs w:val="21"/>
        </w:rPr>
      </w:pPr>
      <w:r>
        <w:rPr>
          <w:rFonts w:hint="eastAsia" w:ascii="宋体" w:hAnsi="宋体" w:cs="宋体"/>
          <w:b/>
          <w:bCs/>
          <w:szCs w:val="21"/>
        </w:rPr>
        <w:t>2.1.2文化课合格率、专业技能合格率、体质测评合格率、毕业率等有关数据：</w:t>
      </w:r>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表八  2019、2020年杭州市、区学生抽测情况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935"/>
        <w:gridCol w:w="957"/>
        <w:gridCol w:w="846"/>
        <w:gridCol w:w="846"/>
        <w:gridCol w:w="846"/>
        <w:gridCol w:w="74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589"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学科</w:t>
            </w:r>
          </w:p>
        </w:tc>
        <w:tc>
          <w:tcPr>
            <w:tcW w:w="615"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年份</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参加人数</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A</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B</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C</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D</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589" w:type="pct"/>
            <w:vMerge w:val="restar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高一语文</w:t>
            </w:r>
          </w:p>
        </w:tc>
        <w:tc>
          <w:tcPr>
            <w:tcW w:w="615"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622</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9.45%</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47.15%</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41.17%</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2.23%</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589" w:type="pct"/>
            <w:vMerge w:val="continue"/>
            <w:vAlign w:val="center"/>
          </w:tcPr>
          <w:p>
            <w:pPr>
              <w:spacing w:before="156" w:beforeLines="50" w:after="156" w:afterLines="50" w:line="360" w:lineRule="auto"/>
              <w:jc w:val="center"/>
              <w:rPr>
                <w:rFonts w:ascii="楷体" w:hAnsi="楷体" w:eastAsia="楷体" w:cs="楷体"/>
                <w:kern w:val="0"/>
                <w:szCs w:val="21"/>
              </w:rPr>
            </w:pPr>
          </w:p>
        </w:tc>
        <w:tc>
          <w:tcPr>
            <w:tcW w:w="615"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664</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8.97%</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45.26%</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44.13%</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1.64%</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589" w:type="pct"/>
            <w:vMerge w:val="restar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高一数学</w:t>
            </w:r>
          </w:p>
        </w:tc>
        <w:tc>
          <w:tcPr>
            <w:tcW w:w="615"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622</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8.74%</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43.1%</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44.8%</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3.36%</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589" w:type="pct"/>
            <w:vMerge w:val="continue"/>
            <w:vAlign w:val="center"/>
          </w:tcPr>
          <w:p>
            <w:pPr>
              <w:spacing w:before="156" w:beforeLines="50" w:after="156" w:afterLines="50" w:line="360" w:lineRule="auto"/>
              <w:jc w:val="center"/>
              <w:rPr>
                <w:rFonts w:ascii="楷体" w:hAnsi="楷体" w:eastAsia="楷体" w:cs="楷体"/>
                <w:kern w:val="0"/>
                <w:szCs w:val="21"/>
              </w:rPr>
            </w:pPr>
          </w:p>
        </w:tc>
        <w:tc>
          <w:tcPr>
            <w:tcW w:w="615"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664</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9.14%</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43.75%</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45.8%</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1.31%</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89" w:type="pct"/>
            <w:vMerge w:val="restar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建筑识图</w:t>
            </w:r>
          </w:p>
        </w:tc>
        <w:tc>
          <w:tcPr>
            <w:tcW w:w="615"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171</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13.5%</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46.8%</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38.4%</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1.3%</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89" w:type="pct"/>
            <w:vMerge w:val="continue"/>
            <w:vAlign w:val="center"/>
          </w:tcPr>
          <w:p>
            <w:pPr>
              <w:spacing w:before="156" w:beforeLines="50" w:after="156" w:afterLines="50" w:line="360" w:lineRule="auto"/>
              <w:jc w:val="center"/>
              <w:rPr>
                <w:rFonts w:ascii="楷体" w:hAnsi="楷体" w:eastAsia="楷体" w:cs="楷体"/>
                <w:kern w:val="0"/>
                <w:szCs w:val="21"/>
              </w:rPr>
            </w:pPr>
          </w:p>
        </w:tc>
        <w:tc>
          <w:tcPr>
            <w:tcW w:w="615" w:type="pct"/>
            <w:vAlign w:val="center"/>
          </w:tcPr>
          <w:p>
            <w:pPr>
              <w:spacing w:before="156" w:beforeLines="50" w:after="156" w:afterLines="50" w:line="360" w:lineRule="auto"/>
              <w:rPr>
                <w:rFonts w:ascii="楷体" w:hAnsi="楷体" w:eastAsia="楷体" w:cs="楷体"/>
                <w:kern w:val="0"/>
                <w:szCs w:val="21"/>
              </w:rPr>
            </w:pPr>
            <w:r>
              <w:rPr>
                <w:rFonts w:hint="eastAsia" w:ascii="楷体" w:hAnsi="楷体" w:eastAsia="楷体" w:cs="楷体"/>
                <w:kern w:val="0"/>
                <w:szCs w:val="21"/>
              </w:rPr>
              <w:t>2020</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186</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11.14%</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42.6%</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44.18%</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2.08%</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89" w:type="pct"/>
            <w:vMerge w:val="restar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机械识图</w:t>
            </w:r>
          </w:p>
        </w:tc>
        <w:tc>
          <w:tcPr>
            <w:tcW w:w="615"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81</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6.3%</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20.42%</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70.14%</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3.14%</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89" w:type="pct"/>
            <w:vMerge w:val="continue"/>
            <w:vAlign w:val="center"/>
          </w:tcPr>
          <w:p>
            <w:pPr>
              <w:spacing w:before="156" w:beforeLines="50" w:after="156" w:afterLines="50" w:line="360" w:lineRule="auto"/>
              <w:jc w:val="center"/>
              <w:rPr>
                <w:rFonts w:ascii="楷体" w:hAnsi="楷体" w:eastAsia="楷体" w:cs="楷体"/>
                <w:kern w:val="0"/>
                <w:szCs w:val="21"/>
              </w:rPr>
            </w:pPr>
          </w:p>
        </w:tc>
        <w:tc>
          <w:tcPr>
            <w:tcW w:w="615"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c>
          <w:tcPr>
            <w:tcW w:w="62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87</w:t>
            </w:r>
          </w:p>
        </w:tc>
        <w:tc>
          <w:tcPr>
            <w:tcW w:w="477"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5.1%</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14.94%</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75.16%</w:t>
            </w:r>
          </w:p>
        </w:tc>
        <w:tc>
          <w:tcPr>
            <w:tcW w:w="371"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4.80%</w:t>
            </w:r>
          </w:p>
        </w:tc>
        <w:tc>
          <w:tcPr>
            <w:tcW w:w="578" w:type="pct"/>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95.2%</w:t>
            </w:r>
          </w:p>
        </w:tc>
      </w:tr>
    </w:tbl>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在参加的4个技能等级工考核中，各项目均保持高通过率，为学生技能发展奠定了基础。</w:t>
      </w:r>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表九  2019-2020年参加职业技能考核情况</w:t>
      </w:r>
    </w:p>
    <w:tbl>
      <w:tblPr>
        <w:tblStyle w:val="16"/>
        <w:tblW w:w="7727" w:type="dxa"/>
        <w:jc w:val="center"/>
        <w:tblLayout w:type="autofit"/>
        <w:tblCellMar>
          <w:top w:w="0" w:type="dxa"/>
          <w:left w:w="108" w:type="dxa"/>
          <w:bottom w:w="0" w:type="dxa"/>
          <w:right w:w="108" w:type="dxa"/>
        </w:tblCellMar>
      </w:tblPr>
      <w:tblGrid>
        <w:gridCol w:w="1439"/>
        <w:gridCol w:w="1325"/>
        <w:gridCol w:w="795"/>
        <w:gridCol w:w="759"/>
        <w:gridCol w:w="696"/>
        <w:gridCol w:w="696"/>
        <w:gridCol w:w="1171"/>
        <w:gridCol w:w="846"/>
      </w:tblGrid>
      <w:tr>
        <w:tblPrEx>
          <w:tblCellMar>
            <w:top w:w="0" w:type="dxa"/>
            <w:left w:w="108" w:type="dxa"/>
            <w:bottom w:w="0" w:type="dxa"/>
            <w:right w:w="108" w:type="dxa"/>
          </w:tblCellMar>
        </w:tblPrEx>
        <w:trPr>
          <w:trHeight w:val="285" w:hRule="atLeast"/>
          <w:jc w:val="center"/>
        </w:trPr>
        <w:tc>
          <w:tcPr>
            <w:tcW w:w="1439" w:type="dxa"/>
            <w:vMerge w:val="restart"/>
            <w:tcBorders>
              <w:top w:val="single" w:color="auto" w:sz="4" w:space="0"/>
              <w:left w:val="single" w:color="auto" w:sz="4" w:space="0"/>
              <w:right w:val="single" w:color="auto" w:sz="4" w:space="0"/>
            </w:tcBorders>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技能工种</w:t>
            </w:r>
          </w:p>
        </w:tc>
        <w:tc>
          <w:tcPr>
            <w:tcW w:w="1325" w:type="dxa"/>
            <w:vMerge w:val="restart"/>
            <w:tcBorders>
              <w:top w:val="single" w:color="auto" w:sz="4" w:space="0"/>
              <w:left w:val="nil"/>
              <w:right w:val="single" w:color="auto" w:sz="4" w:space="0"/>
            </w:tcBorders>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等级</w:t>
            </w:r>
          </w:p>
        </w:tc>
        <w:tc>
          <w:tcPr>
            <w:tcW w:w="1554" w:type="dxa"/>
            <w:gridSpan w:val="2"/>
            <w:tcBorders>
              <w:top w:val="single" w:color="auto" w:sz="4" w:space="0"/>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参考人数</w:t>
            </w:r>
          </w:p>
        </w:tc>
        <w:tc>
          <w:tcPr>
            <w:tcW w:w="1392" w:type="dxa"/>
            <w:gridSpan w:val="2"/>
            <w:tcBorders>
              <w:top w:val="single" w:color="auto" w:sz="4" w:space="0"/>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不合格</w:t>
            </w:r>
          </w:p>
        </w:tc>
        <w:tc>
          <w:tcPr>
            <w:tcW w:w="2017" w:type="dxa"/>
            <w:gridSpan w:val="2"/>
            <w:tcBorders>
              <w:top w:val="single" w:color="auto" w:sz="4" w:space="0"/>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合格率</w:t>
            </w:r>
          </w:p>
        </w:tc>
      </w:tr>
      <w:tr>
        <w:tblPrEx>
          <w:tblCellMar>
            <w:top w:w="0" w:type="dxa"/>
            <w:left w:w="108" w:type="dxa"/>
            <w:bottom w:w="0" w:type="dxa"/>
            <w:right w:w="108" w:type="dxa"/>
          </w:tblCellMar>
        </w:tblPrEx>
        <w:trPr>
          <w:trHeight w:val="285" w:hRule="atLeast"/>
          <w:jc w:val="center"/>
        </w:trPr>
        <w:tc>
          <w:tcPr>
            <w:tcW w:w="1439" w:type="dxa"/>
            <w:vMerge w:val="continue"/>
            <w:tcBorders>
              <w:left w:val="single" w:color="auto" w:sz="4" w:space="0"/>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p>
        </w:tc>
        <w:tc>
          <w:tcPr>
            <w:tcW w:w="1325" w:type="dxa"/>
            <w:vMerge w:val="continue"/>
            <w:tcBorders>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p>
        </w:tc>
        <w:tc>
          <w:tcPr>
            <w:tcW w:w="79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759"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c>
          <w:tcPr>
            <w:tcW w:w="696"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696"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c>
          <w:tcPr>
            <w:tcW w:w="1171"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846"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r>
      <w:tr>
        <w:tblPrEx>
          <w:tblCellMar>
            <w:top w:w="0" w:type="dxa"/>
            <w:left w:w="108" w:type="dxa"/>
            <w:bottom w:w="0" w:type="dxa"/>
            <w:right w:w="108" w:type="dxa"/>
          </w:tblCellMar>
        </w:tblPrEx>
        <w:trPr>
          <w:trHeight w:val="285" w:hRule="atLeast"/>
          <w:jc w:val="center"/>
        </w:trPr>
        <w:tc>
          <w:tcPr>
            <w:tcW w:w="1439" w:type="dxa"/>
            <w:tcBorders>
              <w:top w:val="nil"/>
              <w:left w:val="single" w:color="auto" w:sz="4" w:space="0"/>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钳工</w:t>
            </w:r>
          </w:p>
        </w:tc>
        <w:tc>
          <w:tcPr>
            <w:tcW w:w="132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中级</w:t>
            </w:r>
          </w:p>
        </w:tc>
        <w:tc>
          <w:tcPr>
            <w:tcW w:w="79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52</w:t>
            </w:r>
          </w:p>
        </w:tc>
        <w:tc>
          <w:tcPr>
            <w:tcW w:w="759"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61</w:t>
            </w:r>
          </w:p>
        </w:tc>
        <w:tc>
          <w:tcPr>
            <w:tcW w:w="696"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w:t>
            </w:r>
          </w:p>
        </w:tc>
        <w:tc>
          <w:tcPr>
            <w:tcW w:w="696"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13</w:t>
            </w:r>
          </w:p>
        </w:tc>
        <w:tc>
          <w:tcPr>
            <w:tcW w:w="1171"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94.2%</w:t>
            </w:r>
          </w:p>
        </w:tc>
        <w:tc>
          <w:tcPr>
            <w:tcW w:w="846"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78.69%</w:t>
            </w:r>
          </w:p>
        </w:tc>
      </w:tr>
      <w:tr>
        <w:tblPrEx>
          <w:tblCellMar>
            <w:top w:w="0" w:type="dxa"/>
            <w:left w:w="108" w:type="dxa"/>
            <w:bottom w:w="0" w:type="dxa"/>
            <w:right w:w="108" w:type="dxa"/>
          </w:tblCellMar>
        </w:tblPrEx>
        <w:trPr>
          <w:trHeight w:val="285" w:hRule="atLeast"/>
          <w:jc w:val="center"/>
        </w:trPr>
        <w:tc>
          <w:tcPr>
            <w:tcW w:w="1439" w:type="dxa"/>
            <w:tcBorders>
              <w:top w:val="nil"/>
              <w:left w:val="single" w:color="auto" w:sz="4" w:space="0"/>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数控车工</w:t>
            </w:r>
          </w:p>
        </w:tc>
        <w:tc>
          <w:tcPr>
            <w:tcW w:w="132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中级</w:t>
            </w:r>
          </w:p>
        </w:tc>
        <w:tc>
          <w:tcPr>
            <w:tcW w:w="79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36</w:t>
            </w:r>
          </w:p>
        </w:tc>
        <w:tc>
          <w:tcPr>
            <w:tcW w:w="759"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22</w:t>
            </w:r>
          </w:p>
        </w:tc>
        <w:tc>
          <w:tcPr>
            <w:tcW w:w="696"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w:t>
            </w:r>
          </w:p>
        </w:tc>
        <w:tc>
          <w:tcPr>
            <w:tcW w:w="696"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w:t>
            </w:r>
          </w:p>
        </w:tc>
        <w:tc>
          <w:tcPr>
            <w:tcW w:w="1171"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72.2%</w:t>
            </w:r>
          </w:p>
        </w:tc>
        <w:tc>
          <w:tcPr>
            <w:tcW w:w="846"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72.73%</w:t>
            </w:r>
          </w:p>
        </w:tc>
      </w:tr>
      <w:tr>
        <w:tblPrEx>
          <w:tblCellMar>
            <w:top w:w="0" w:type="dxa"/>
            <w:left w:w="108" w:type="dxa"/>
            <w:bottom w:w="0" w:type="dxa"/>
            <w:right w:w="108" w:type="dxa"/>
          </w:tblCellMar>
        </w:tblPrEx>
        <w:trPr>
          <w:trHeight w:val="285" w:hRule="atLeast"/>
          <w:jc w:val="center"/>
        </w:trPr>
        <w:tc>
          <w:tcPr>
            <w:tcW w:w="1439" w:type="dxa"/>
            <w:tcBorders>
              <w:top w:val="nil"/>
              <w:left w:val="single" w:color="auto" w:sz="4" w:space="0"/>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商务单证员</w:t>
            </w:r>
          </w:p>
        </w:tc>
        <w:tc>
          <w:tcPr>
            <w:tcW w:w="132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中级</w:t>
            </w:r>
          </w:p>
        </w:tc>
        <w:tc>
          <w:tcPr>
            <w:tcW w:w="79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84</w:t>
            </w:r>
          </w:p>
        </w:tc>
        <w:tc>
          <w:tcPr>
            <w:tcW w:w="759"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79</w:t>
            </w:r>
          </w:p>
        </w:tc>
        <w:tc>
          <w:tcPr>
            <w:tcW w:w="696"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w:t>
            </w:r>
          </w:p>
        </w:tc>
        <w:tc>
          <w:tcPr>
            <w:tcW w:w="696"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w:t>
            </w:r>
          </w:p>
        </w:tc>
        <w:tc>
          <w:tcPr>
            <w:tcW w:w="1171"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91.67%</w:t>
            </w:r>
          </w:p>
        </w:tc>
        <w:tc>
          <w:tcPr>
            <w:tcW w:w="846" w:type="dxa"/>
            <w:tcBorders>
              <w:top w:val="nil"/>
              <w:left w:val="nil"/>
              <w:bottom w:val="single" w:color="auto" w:sz="4" w:space="0"/>
              <w:right w:val="single" w:color="auto" w:sz="4" w:space="0"/>
            </w:tcBorders>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92.4%</w:t>
            </w:r>
          </w:p>
        </w:tc>
      </w:tr>
      <w:tr>
        <w:tblPrEx>
          <w:tblCellMar>
            <w:top w:w="0" w:type="dxa"/>
            <w:left w:w="108" w:type="dxa"/>
            <w:bottom w:w="0" w:type="dxa"/>
            <w:right w:w="108" w:type="dxa"/>
          </w:tblCellMar>
        </w:tblPrEx>
        <w:trPr>
          <w:trHeight w:val="285" w:hRule="atLeast"/>
          <w:jc w:val="center"/>
        </w:trPr>
        <w:tc>
          <w:tcPr>
            <w:tcW w:w="1439" w:type="dxa"/>
            <w:tcBorders>
              <w:top w:val="nil"/>
              <w:left w:val="single" w:color="auto" w:sz="4" w:space="0"/>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化工分析工</w:t>
            </w:r>
          </w:p>
        </w:tc>
        <w:tc>
          <w:tcPr>
            <w:tcW w:w="132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中级</w:t>
            </w:r>
          </w:p>
        </w:tc>
        <w:tc>
          <w:tcPr>
            <w:tcW w:w="795"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41</w:t>
            </w:r>
          </w:p>
        </w:tc>
        <w:tc>
          <w:tcPr>
            <w:tcW w:w="759" w:type="dxa"/>
            <w:tcBorders>
              <w:top w:val="single" w:color="auto" w:sz="4" w:space="0"/>
              <w:left w:val="nil"/>
              <w:bottom w:val="single" w:color="auto" w:sz="4" w:space="0"/>
              <w:right w:val="single" w:color="auto" w:sz="4" w:space="0"/>
              <w:tr2bl w:val="single" w:color="auto" w:sz="4" w:space="0"/>
            </w:tcBorders>
            <w:vAlign w:val="bottom"/>
          </w:tcPr>
          <w:p>
            <w:pPr>
              <w:spacing w:before="156" w:beforeLines="50" w:after="156" w:afterLines="50" w:line="360" w:lineRule="auto"/>
              <w:jc w:val="center"/>
              <w:rPr>
                <w:rFonts w:ascii="楷体" w:hAnsi="楷体" w:eastAsia="楷体" w:cs="楷体"/>
                <w:kern w:val="0"/>
                <w:szCs w:val="21"/>
              </w:rPr>
            </w:pPr>
          </w:p>
        </w:tc>
        <w:tc>
          <w:tcPr>
            <w:tcW w:w="696"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696" w:type="dxa"/>
            <w:tcBorders>
              <w:top w:val="single" w:color="auto" w:sz="4" w:space="0"/>
              <w:left w:val="nil"/>
              <w:bottom w:val="single" w:color="auto" w:sz="4" w:space="0"/>
              <w:right w:val="single" w:color="auto" w:sz="4" w:space="0"/>
              <w:tr2bl w:val="single" w:color="auto" w:sz="4" w:space="0"/>
            </w:tcBorders>
            <w:vAlign w:val="bottom"/>
          </w:tcPr>
          <w:p>
            <w:pPr>
              <w:spacing w:before="156" w:beforeLines="50" w:after="156" w:afterLines="50" w:line="360" w:lineRule="auto"/>
              <w:jc w:val="center"/>
              <w:rPr>
                <w:rFonts w:ascii="楷体" w:hAnsi="楷体" w:eastAsia="楷体" w:cs="楷体"/>
                <w:kern w:val="0"/>
                <w:szCs w:val="21"/>
              </w:rPr>
            </w:pPr>
          </w:p>
        </w:tc>
        <w:tc>
          <w:tcPr>
            <w:tcW w:w="1171" w:type="dxa"/>
            <w:tcBorders>
              <w:top w:val="nil"/>
              <w:left w:val="nil"/>
              <w:bottom w:val="single" w:color="auto" w:sz="4" w:space="0"/>
              <w:right w:val="single" w:color="auto" w:sz="4" w:space="0"/>
            </w:tcBorders>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846" w:type="dxa"/>
            <w:tcBorders>
              <w:top w:val="single" w:color="auto" w:sz="4" w:space="0"/>
              <w:left w:val="nil"/>
              <w:bottom w:val="single" w:color="auto" w:sz="4" w:space="0"/>
              <w:right w:val="single" w:color="auto" w:sz="4" w:space="0"/>
              <w:tr2bl w:val="single" w:color="auto" w:sz="4" w:space="0"/>
            </w:tcBorders>
            <w:vAlign w:val="bottom"/>
          </w:tcPr>
          <w:p>
            <w:pPr>
              <w:spacing w:before="156" w:beforeLines="50" w:after="156" w:afterLines="50" w:line="360" w:lineRule="auto"/>
              <w:jc w:val="center"/>
              <w:rPr>
                <w:rFonts w:ascii="楷体" w:hAnsi="楷体" w:eastAsia="楷体" w:cs="楷体"/>
                <w:kern w:val="0"/>
                <w:szCs w:val="21"/>
              </w:rPr>
            </w:pP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ind w:firstLine="420"/>
        <w:textAlignment w:val="auto"/>
        <w:outlineLvl w:val="9"/>
        <w:rPr>
          <w:rFonts w:ascii="宋体" w:hAnsi="宋体" w:eastAsia="宋体" w:cs="黑体"/>
          <w:b w:val="0"/>
          <w:sz w:val="21"/>
          <w:szCs w:val="21"/>
        </w:rPr>
      </w:pPr>
      <w:r>
        <w:rPr>
          <w:rFonts w:hint="eastAsia" w:ascii="宋体" w:hAnsi="宋体" w:eastAsia="宋体" w:cs="黑体"/>
          <w:b w:val="0"/>
          <w:sz w:val="21"/>
          <w:szCs w:val="21"/>
        </w:rPr>
        <w:t>2020年全校体质测试合格率97.7%。毕业率100%。</w:t>
      </w:r>
    </w:p>
    <w:p>
      <w:pPr>
        <w:pStyle w:val="3"/>
        <w:spacing w:before="156" w:beforeLines="50" w:after="156" w:afterLines="50"/>
        <w:ind w:firstLine="602"/>
        <w:rPr>
          <w:rFonts w:ascii="黑体" w:hAnsi="黑体" w:eastAsia="黑体" w:cs="黑体"/>
        </w:rPr>
      </w:pPr>
      <w:bookmarkStart w:id="9" w:name="_Toc8359"/>
      <w:r>
        <w:rPr>
          <w:rFonts w:hint="eastAsia" w:ascii="黑体" w:hAnsi="黑体" w:eastAsia="黑体" w:cs="黑体"/>
        </w:rPr>
        <w:t>2.2在校体验</w:t>
      </w:r>
      <w:bookmarkEnd w:id="9"/>
    </w:p>
    <w:p>
      <w:pPr>
        <w:spacing w:before="156" w:beforeLines="50" w:after="156" w:afterLines="50" w:line="360" w:lineRule="auto"/>
        <w:ind w:firstLine="417" w:firstLineChars="198"/>
        <w:rPr>
          <w:rFonts w:ascii="宋体" w:hAnsi="宋体" w:cs="宋体"/>
          <w:b/>
          <w:bCs/>
          <w:szCs w:val="21"/>
        </w:rPr>
      </w:pPr>
      <w:r>
        <w:rPr>
          <w:rFonts w:hint="eastAsia" w:ascii="宋体" w:hAnsi="宋体" w:cs="宋体"/>
          <w:b/>
          <w:bCs/>
          <w:szCs w:val="21"/>
        </w:rPr>
        <w:t>为学生创建满意的校园学习生活</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2020年11月学校对2019级秋季入学的高二学生及部分2017级秋季入学的毕业学生共发放调查问卷460份，主要从理论学习满意度、专业学习满意度、实习实训满意度、校园文化与社团活动满意度、生活满意度、校园安全满意度、毕业生对学校满意度进行调查，回收了399份调查问卷，回收率达到87%。其中理论学习满意度调查问卷非常满意、比较满意和一般满意占总数的91.1 %；专业学习满意度调查问卷非常满意、比较满意和一般满意占总数的96.5%；实习实训满意度调查问卷非常满意、比较满意和一般满意占总数的90.3%；校园文化与社团活动满意度调查问卷非常满意、比较满意和一般满意占总数的90.4%；生活满意度调查问卷非常满意、比较满意和一般满意占总数的94.2%；校园安全满意度调查问卷非常满意、比较满意和一般满意占总数的96.3%。毕业生对学校满意度调查问卷非常满意、比较满意和一般满意占总数的87.1%。</w:t>
      </w:r>
    </w:p>
    <w:p>
      <w:pPr>
        <w:spacing w:before="156" w:beforeLines="50" w:after="156" w:afterLines="50" w:line="360" w:lineRule="auto"/>
        <w:ind w:firstLine="422" w:firstLineChars="200"/>
        <w:jc w:val="center"/>
        <w:rPr>
          <w:rFonts w:ascii="楷体" w:hAnsi="楷体" w:eastAsia="楷体" w:cs="楷体"/>
          <w:b/>
          <w:bCs/>
          <w:szCs w:val="21"/>
        </w:rPr>
      </w:pPr>
    </w:p>
    <w:p>
      <w:pPr>
        <w:spacing w:before="156" w:beforeLines="50" w:after="156" w:afterLines="50" w:line="360" w:lineRule="auto"/>
        <w:ind w:firstLine="422" w:firstLineChars="200"/>
        <w:jc w:val="center"/>
        <w:rPr>
          <w:rFonts w:ascii="楷体" w:hAnsi="楷体" w:eastAsia="楷体" w:cs="楷体"/>
          <w:b/>
          <w:bCs/>
          <w:szCs w:val="21"/>
        </w:rPr>
      </w:pPr>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表十  学生在校体验问卷调查统计表</w:t>
      </w:r>
    </w:p>
    <w:tbl>
      <w:tblPr>
        <w:tblStyle w:val="16"/>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3"/>
        <w:gridCol w:w="1002"/>
        <w:gridCol w:w="882"/>
        <w:gridCol w:w="89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vMerge w:val="restart"/>
          </w:tcPr>
          <w:p>
            <w:pPr>
              <w:spacing w:before="156" w:beforeLines="50" w:after="156" w:afterLines="50" w:line="360" w:lineRule="auto"/>
              <w:jc w:val="center"/>
              <w:rPr>
                <w:rFonts w:ascii="楷体" w:hAnsi="楷体" w:eastAsia="楷体" w:cs="楷体"/>
                <w:kern w:val="0"/>
                <w:szCs w:val="21"/>
              </w:rPr>
            </w:pP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项目</w:t>
            </w:r>
          </w:p>
        </w:tc>
        <w:tc>
          <w:tcPr>
            <w:tcW w:w="1884" w:type="dxa"/>
            <w:gridSpan w:val="2"/>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满意（%）</w:t>
            </w:r>
          </w:p>
        </w:tc>
        <w:tc>
          <w:tcPr>
            <w:tcW w:w="1953" w:type="dxa"/>
            <w:gridSpan w:val="2"/>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vMerge w:val="continue"/>
          </w:tcPr>
          <w:p>
            <w:pPr>
              <w:spacing w:before="156" w:beforeLines="50" w:after="156" w:afterLines="50" w:line="360" w:lineRule="auto"/>
              <w:jc w:val="center"/>
              <w:rPr>
                <w:rFonts w:ascii="楷体" w:hAnsi="楷体" w:eastAsia="楷体" w:cs="楷体"/>
                <w:kern w:val="0"/>
                <w:szCs w:val="21"/>
              </w:rPr>
            </w:pPr>
          </w:p>
        </w:tc>
        <w:tc>
          <w:tcPr>
            <w:tcW w:w="100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88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c>
          <w:tcPr>
            <w:tcW w:w="89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106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对理论学习满意度</w:t>
            </w:r>
          </w:p>
        </w:tc>
        <w:tc>
          <w:tcPr>
            <w:tcW w:w="100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90.9</w:t>
            </w:r>
          </w:p>
        </w:tc>
        <w:tc>
          <w:tcPr>
            <w:tcW w:w="88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91.1</w:t>
            </w:r>
          </w:p>
        </w:tc>
        <w:tc>
          <w:tcPr>
            <w:tcW w:w="89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9.1</w:t>
            </w:r>
          </w:p>
        </w:tc>
        <w:tc>
          <w:tcPr>
            <w:tcW w:w="106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对专业学习满意度</w:t>
            </w:r>
          </w:p>
        </w:tc>
        <w:tc>
          <w:tcPr>
            <w:tcW w:w="100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96.7</w:t>
            </w:r>
          </w:p>
        </w:tc>
        <w:tc>
          <w:tcPr>
            <w:tcW w:w="88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96.5</w:t>
            </w:r>
          </w:p>
        </w:tc>
        <w:tc>
          <w:tcPr>
            <w:tcW w:w="89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3.3</w:t>
            </w:r>
          </w:p>
        </w:tc>
        <w:tc>
          <w:tcPr>
            <w:tcW w:w="106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对实习实训满意度</w:t>
            </w:r>
          </w:p>
        </w:tc>
        <w:tc>
          <w:tcPr>
            <w:tcW w:w="100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90.2</w:t>
            </w:r>
          </w:p>
        </w:tc>
        <w:tc>
          <w:tcPr>
            <w:tcW w:w="88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90.3</w:t>
            </w:r>
          </w:p>
        </w:tc>
        <w:tc>
          <w:tcPr>
            <w:tcW w:w="89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9.8</w:t>
            </w:r>
          </w:p>
        </w:tc>
        <w:tc>
          <w:tcPr>
            <w:tcW w:w="106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对校园文化与社团活动满意度</w:t>
            </w:r>
          </w:p>
        </w:tc>
        <w:tc>
          <w:tcPr>
            <w:tcW w:w="100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83.1</w:t>
            </w:r>
          </w:p>
        </w:tc>
        <w:tc>
          <w:tcPr>
            <w:tcW w:w="88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90.4</w:t>
            </w:r>
          </w:p>
        </w:tc>
        <w:tc>
          <w:tcPr>
            <w:tcW w:w="89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16.9</w:t>
            </w:r>
          </w:p>
        </w:tc>
        <w:tc>
          <w:tcPr>
            <w:tcW w:w="106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对生活满意度</w:t>
            </w:r>
          </w:p>
        </w:tc>
        <w:tc>
          <w:tcPr>
            <w:tcW w:w="100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94.3</w:t>
            </w:r>
          </w:p>
        </w:tc>
        <w:tc>
          <w:tcPr>
            <w:tcW w:w="88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94.2</w:t>
            </w:r>
          </w:p>
        </w:tc>
        <w:tc>
          <w:tcPr>
            <w:tcW w:w="89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5.7</w:t>
            </w:r>
          </w:p>
        </w:tc>
        <w:tc>
          <w:tcPr>
            <w:tcW w:w="106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对校园安全满意度</w:t>
            </w:r>
          </w:p>
        </w:tc>
        <w:tc>
          <w:tcPr>
            <w:tcW w:w="100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96.1</w:t>
            </w:r>
          </w:p>
        </w:tc>
        <w:tc>
          <w:tcPr>
            <w:tcW w:w="88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96.3</w:t>
            </w:r>
          </w:p>
        </w:tc>
        <w:tc>
          <w:tcPr>
            <w:tcW w:w="89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3.9</w:t>
            </w:r>
          </w:p>
        </w:tc>
        <w:tc>
          <w:tcPr>
            <w:tcW w:w="106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毕业生对学校满意度</w:t>
            </w:r>
          </w:p>
        </w:tc>
        <w:tc>
          <w:tcPr>
            <w:tcW w:w="100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86.2</w:t>
            </w:r>
          </w:p>
        </w:tc>
        <w:tc>
          <w:tcPr>
            <w:tcW w:w="88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87.1</w:t>
            </w:r>
          </w:p>
        </w:tc>
        <w:tc>
          <w:tcPr>
            <w:tcW w:w="891"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13.8</w:t>
            </w:r>
          </w:p>
        </w:tc>
        <w:tc>
          <w:tcPr>
            <w:tcW w:w="1062" w:type="dxa"/>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12.9</w:t>
            </w:r>
          </w:p>
        </w:tc>
      </w:tr>
    </w:tbl>
    <w:p>
      <w:pPr>
        <w:pStyle w:val="3"/>
        <w:spacing w:before="156" w:beforeLines="50" w:after="156" w:afterLines="50"/>
        <w:ind w:firstLine="602"/>
        <w:rPr>
          <w:rFonts w:ascii="黑体" w:hAnsi="黑体" w:eastAsia="黑体" w:cs="黑体"/>
        </w:rPr>
      </w:pPr>
      <w:bookmarkStart w:id="10" w:name="_Toc22594"/>
      <w:r>
        <w:rPr>
          <w:rFonts w:hint="eastAsia" w:ascii="黑体" w:hAnsi="黑体" w:eastAsia="黑体" w:cs="黑体"/>
        </w:rPr>
        <w:t>2.3资助情况</w:t>
      </w:r>
      <w:bookmarkEnd w:id="10"/>
    </w:p>
    <w:p>
      <w:pPr>
        <w:spacing w:before="156" w:beforeLines="50" w:after="156" w:afterLines="50" w:line="360" w:lineRule="auto"/>
        <w:ind w:firstLine="417" w:firstLineChars="198"/>
        <w:rPr>
          <w:rFonts w:ascii="宋体" w:hAnsi="宋体" w:cs="宋体"/>
          <w:b/>
          <w:bCs/>
          <w:szCs w:val="21"/>
        </w:rPr>
      </w:pPr>
      <w:r>
        <w:rPr>
          <w:rFonts w:hint="eastAsia" w:ascii="宋体" w:hAnsi="宋体" w:cs="宋体"/>
          <w:b/>
          <w:bCs/>
          <w:szCs w:val="21"/>
        </w:rPr>
        <w:t>完善“多样+规范+精准”的资助体系</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多层次助学体系。为了帮助因家庭困难而放弃学业的学生，完善了中等职业教育学生资助政策。浙江省率先实行了职业教育免学费的政策，对家庭困难的学生实行2000元/学年的资助政策，对品学兼优的学生进行1000元/学年奖励政策。另外，学校也拿出部分资金，建立了针对家庭困难的学生进行1000元——3000元/学年不等的爱心助学资助、困难学生的餐费补助、住校生床上用品和全部校服的免费资助，针对优秀的学生进行500元/学年奖励的制度。今年通过全校评选，推荐优秀学生享受国家奖学金。</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创新而又规范管理。学校根据上级的政策结合学校情况制定了“二级三层”的管理办法和操作流程。“二级”指国家级、校级二个资助级别，“三层”指校资助领导小组、政教处、班主任三个认定审核层面。申请审核流程：由学生和家长提出申请、班主任通过家访等途径进行认定、政教处对材料进行核实、最终校资助领导小组进行审定。2020年，学校共有61人次同学享受国家困难家庭助学金，学校自行发放的奖、助学金多达18余万元。</w:t>
      </w:r>
    </w:p>
    <w:p>
      <w:pPr>
        <w:pStyle w:val="3"/>
        <w:spacing w:before="156" w:beforeLines="50" w:after="156" w:afterLines="50"/>
        <w:ind w:firstLine="602"/>
        <w:rPr>
          <w:rFonts w:ascii="黑体" w:hAnsi="黑体" w:eastAsia="黑体" w:cs="黑体"/>
        </w:rPr>
      </w:pPr>
      <w:bookmarkStart w:id="11" w:name="_Toc30923"/>
      <w:r>
        <w:rPr>
          <w:rFonts w:hint="eastAsia" w:ascii="黑体" w:hAnsi="黑体" w:eastAsia="黑体" w:cs="黑体"/>
        </w:rPr>
        <w:t>2.4就业质量</w:t>
      </w:r>
      <w:bookmarkEnd w:id="11"/>
    </w:p>
    <w:p>
      <w:pPr>
        <w:spacing w:before="156" w:beforeLines="50" w:after="156" w:afterLines="50" w:line="360" w:lineRule="auto"/>
        <w:ind w:firstLine="422" w:firstLineChars="200"/>
        <w:jc w:val="center"/>
        <w:rPr>
          <w:rFonts w:ascii="楷体" w:hAnsi="楷体" w:eastAsia="楷体" w:cs="楷体"/>
          <w:b/>
          <w:bCs/>
          <w:szCs w:val="21"/>
        </w:rPr>
      </w:pPr>
      <w:r>
        <w:rPr>
          <w:rFonts w:hint="eastAsia" w:ascii="楷体" w:hAnsi="楷体" w:eastAsia="楷体" w:cs="楷体"/>
          <w:b/>
          <w:bCs/>
          <w:szCs w:val="21"/>
        </w:rPr>
        <w:t>表十一 2019届、2020届毕业生就业情况表</w:t>
      </w:r>
    </w:p>
    <w:tbl>
      <w:tblPr>
        <w:tblStyle w:val="16"/>
        <w:tblpPr w:leftFromText="180" w:rightFromText="180" w:vertAnchor="text" w:horzAnchor="page" w:tblpX="2802" w:tblpY="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62"/>
        <w:gridCol w:w="1035"/>
        <w:gridCol w:w="1223"/>
        <w:gridCol w:w="1072"/>
        <w:gridCol w:w="11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2062"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项目</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2019年</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w:t>
            </w:r>
          </w:p>
        </w:tc>
        <w:tc>
          <w:tcPr>
            <w:tcW w:w="1072" w:type="dxa"/>
            <w:tcBorders>
              <w:top w:val="single" w:color="auto" w:sz="8" w:space="0"/>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增长数</w:t>
            </w:r>
          </w:p>
        </w:tc>
        <w:tc>
          <w:tcPr>
            <w:tcW w:w="11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增长率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trPr>
        <w:tc>
          <w:tcPr>
            <w:tcW w:w="206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毕业生数</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681</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733</w:t>
            </w:r>
          </w:p>
        </w:tc>
        <w:tc>
          <w:tcPr>
            <w:tcW w:w="1072"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52</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4" w:hRule="atLeast"/>
        </w:trPr>
        <w:tc>
          <w:tcPr>
            <w:tcW w:w="206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就业人数</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83</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95</w:t>
            </w:r>
          </w:p>
        </w:tc>
        <w:tc>
          <w:tcPr>
            <w:tcW w:w="1072"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12</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14.46%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9" w:hRule="atLeast"/>
        </w:trPr>
        <w:tc>
          <w:tcPr>
            <w:tcW w:w="206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就业率</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1072"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9" w:hRule="atLeast"/>
        </w:trPr>
        <w:tc>
          <w:tcPr>
            <w:tcW w:w="206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对口就业率</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w:t>
            </w:r>
          </w:p>
        </w:tc>
        <w:tc>
          <w:tcPr>
            <w:tcW w:w="1072"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9" w:hRule="atLeast"/>
        </w:trPr>
        <w:tc>
          <w:tcPr>
            <w:tcW w:w="206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雇主满意度</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97%</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97.5%</w:t>
            </w:r>
          </w:p>
        </w:tc>
        <w:tc>
          <w:tcPr>
            <w:tcW w:w="1072"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26</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9" w:hRule="atLeast"/>
        </w:trPr>
        <w:tc>
          <w:tcPr>
            <w:tcW w:w="206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创业率</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23%</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24%</w:t>
            </w:r>
          </w:p>
        </w:tc>
        <w:tc>
          <w:tcPr>
            <w:tcW w:w="1072"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9" w:hRule="atLeast"/>
        </w:trPr>
        <w:tc>
          <w:tcPr>
            <w:tcW w:w="206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直接就业人数</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64.</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70</w:t>
            </w:r>
          </w:p>
        </w:tc>
        <w:tc>
          <w:tcPr>
            <w:tcW w:w="1072"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1" w:hRule="atLeast"/>
        </w:trPr>
        <w:tc>
          <w:tcPr>
            <w:tcW w:w="2062"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毕业生平均月薪（元）</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3700</w:t>
            </w:r>
          </w:p>
        </w:tc>
        <w:tc>
          <w:tcPr>
            <w:tcW w:w="12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3850</w:t>
            </w:r>
          </w:p>
        </w:tc>
        <w:tc>
          <w:tcPr>
            <w:tcW w:w="1072"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150</w:t>
            </w:r>
          </w:p>
        </w:tc>
        <w:tc>
          <w:tcPr>
            <w:tcW w:w="114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4.1%</w:t>
            </w:r>
          </w:p>
        </w:tc>
      </w:tr>
    </w:tbl>
    <w:p>
      <w:pPr>
        <w:spacing w:before="156" w:beforeLines="50" w:after="156" w:afterLines="50"/>
      </w:pPr>
    </w:p>
    <w:p>
      <w:pPr>
        <w:pStyle w:val="3"/>
        <w:spacing w:before="156" w:beforeLines="50" w:after="156" w:afterLines="50"/>
        <w:ind w:firstLine="602"/>
        <w:rPr>
          <w:rFonts w:ascii="黑体" w:hAnsi="黑体" w:eastAsia="黑体" w:cs="黑体"/>
        </w:rPr>
      </w:pPr>
      <w:bookmarkStart w:id="12" w:name="_Toc9874"/>
      <w:r>
        <w:rPr>
          <w:rFonts w:hint="eastAsia" w:ascii="黑体" w:hAnsi="黑体" w:eastAsia="黑体" w:cs="黑体"/>
        </w:rPr>
        <w:t>2.5职业发展</w:t>
      </w:r>
      <w:bookmarkEnd w:id="12"/>
    </w:p>
    <w:p>
      <w:pPr>
        <w:spacing w:before="156" w:beforeLines="50" w:after="156" w:afterLines="50" w:line="360" w:lineRule="auto"/>
        <w:ind w:firstLine="422" w:firstLineChars="200"/>
        <w:outlineLvl w:val="2"/>
        <w:rPr>
          <w:rFonts w:ascii="宋体" w:hAnsi="宋体" w:cs="宋体"/>
          <w:b/>
          <w:bCs/>
          <w:szCs w:val="21"/>
        </w:rPr>
      </w:pPr>
      <w:r>
        <w:rPr>
          <w:rFonts w:hint="eastAsia" w:ascii="宋体" w:hAnsi="宋体" w:cs="宋体"/>
          <w:b/>
          <w:bCs/>
          <w:szCs w:val="21"/>
        </w:rPr>
        <w:t xml:space="preserve">2.5.1学习能力的多维度培养 </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教学质量是中职学校发展的生命线。培养学生职业能力和创新能力是中职学校教学工作的重中之重。我校教学工作立足于培养学生专业技术变化发展适应能力，特别是掌握完善的职业能力。</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以市场需求为导向，培养学生职业素养</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生就是学校的产品，而培养出的学生要能够满足市场的需求，在学校专业开设和课程设置以及学生的实习工作中都不能脱离了市场，我校在培养学生的过程中注意密切与市场的联系，了解市场的需求变化情况，及时调整专业培养人才目标方案。学校积极安排学生进行社会实践，通过社会实践培养学生在真实工作环境下的职业能力与素质，做到与企业零距离对接。</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以智慧课堂为平台，提升学生技能水平</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通过优化专业教学内容，精准搭建资源平台等方式，进行理虚实一体化教学。通过课堂实录、网络共享等手段，促进教师搭建“智慧课堂”，创设以学生学习能力为核心的理虚实一体化教学情境，利用MRC等虚拟实践平台提升学生技能学习能力。教师充分利用学校现有的希沃白板、网络平台、录播教室等数字媒体设备，参加各类信息化教学比赛，开发各学科及专业的教学课件，反哺课堂，启发学生，培养学生利用信息化手段自主学习和反思的能力，基于学生学习能力水平等因素，积极开展创新性研究。</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以互动课程为载体，增强学生协作能力</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为学生积极创造自主合作探究的平台，利用社团、技能竞赛、选择性课程、社会实践和实习等多维活动，增进学生协作学习能力。学校积极开设创新创业和职业规划课程，帮助学生进行职业规划设计，分析自身的主客观条件和社会角色，同时根据成长需求，制定科学、合理的职业规划，为学生树立不断提升自身学习能力的目标，为中职阶段的学习指明方向。教师积极引导学生尝试以自主学习和团队合作为核心的学习方式，努力将教学内容和流程融入到具体情境之中，提升自我管理能力和人际沟通能力，引起学生的职业体验和情感体验，激发学生的学习兴趣。</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以多元评价为依托，拓展学生可持续发展能力</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为有效促进学生职业能力的全面发展，学校积极开展多元评价，综合教师评价、学生自评互评，并利用教学诊改相关数据，建立主观与客观相结合、过程与结果相结合的综合评价体系，快速、准确、全面形成对学生学习能力、操作能力和协作能力的综合性评价，牢固树立职业教育教学为学生服务，为学生的长远发展服务的理念，充分挖掘学生的各种学习和职业潜能，适应经济社会发展。</w:t>
      </w:r>
    </w:p>
    <w:p>
      <w:pPr>
        <w:spacing w:before="156" w:beforeLines="50" w:after="156" w:afterLines="50" w:line="360" w:lineRule="auto"/>
        <w:ind w:firstLine="422" w:firstLineChars="200"/>
        <w:outlineLvl w:val="2"/>
        <w:rPr>
          <w:rFonts w:ascii="宋体" w:hAnsi="宋体" w:cs="宋体"/>
          <w:b/>
          <w:bCs/>
          <w:szCs w:val="21"/>
        </w:rPr>
      </w:pPr>
      <w:r>
        <w:rPr>
          <w:rFonts w:hint="eastAsia" w:ascii="宋体" w:hAnsi="宋体" w:cs="宋体"/>
          <w:b/>
          <w:bCs/>
          <w:szCs w:val="21"/>
        </w:rPr>
        <w:t>2.5.2岗位适应能力和岗位迁移能力</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学校以“尚德、精技、强能”为校训，以 “服务于学生的全面发展，服务于社会的经济发展”为办学方针，坚持“校企合作、工学结合”办学模式。2020年，学校注重对学生在疫情下职业生涯教育。高一是基本职业技能训练，通过企业体验学习，如高一药剂专业的学生参观胡庆余堂中药博物馆，进一步加深对江南药王——胡庆余堂发展历史和源远流长、博大精深的中医药文化的了解，深刻地领悟了胡庆余堂历经一百多年依然兴旺不衰的奥秘，精细化工专业学生参观传化智联展示大厅，感受专业精细化工产品的魅力，帮助学生了解本专业的职业特点，培养其岗位适应能力；高二是专业职业技能训练，提高职业技能和素养，带领学生深入杭萧钢构生产线、萧山开元医院开元之心颐养园，以优秀毕业生的成长经历、成功案例引导学生，为学生融入企业和社会做好准；高三是职业综合能力训练，就业顶岗实习，培养综合能力。实现就业扎实、首岗胜任，突出岗位适应能力和良好的可持续发展能力。</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护理专业毕业生以“基础实、技能强、素质高、潜力大”的特点而备受医疗卫生单位青睐，经过调查，用人单位普遍认为，我校护理专业毕业生优势突出、特点鲜明，在实践动手能力和人际沟通能力等方面体现优势，能充分适应现代社会对专业护理技能工作者的要求，对我校毕业生的总体满意度达到99%，对我校就业服务工作的满意度为100%。</w:t>
      </w:r>
    </w:p>
    <w:p>
      <w:pPr>
        <w:spacing w:before="156" w:beforeLines="50" w:after="156" w:afterLines="50" w:line="360" w:lineRule="auto"/>
        <w:ind w:firstLine="422" w:firstLineChars="200"/>
        <w:outlineLvl w:val="2"/>
        <w:rPr>
          <w:rFonts w:ascii="宋体" w:hAnsi="宋体" w:cs="宋体"/>
          <w:b/>
          <w:bCs/>
          <w:szCs w:val="21"/>
        </w:rPr>
      </w:pPr>
      <w:r>
        <w:rPr>
          <w:rFonts w:hint="eastAsia" w:ascii="宋体" w:hAnsi="宋体" w:cs="宋体"/>
          <w:b/>
          <w:bCs/>
          <w:szCs w:val="21"/>
        </w:rPr>
        <w:t>2.5.3创新能力</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学校开设创业之星选修课，让学生全面模拟真实企业的创业运营管理过程，在虚拟商业社会中完成企业从注册、创建、运营、管理等所有决策。</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以“造就文化素质与技术水平双修的创业型人才”为培养目标，打造创业教育校园文化，提高学生的创业意识，激活学生的创新思维和创业激情，使学生树立正确的择业、创业及就业观。每年5月份为分创新创业教育月，开展“创意无限 创业有我”主题系列活动，开展职业体验活动，通过实际生产劳动，体验职业角色，将品德教育、劳动教育等融入实践体验活动中，让学生从中体会到了，只有合理分工、团结协作，才能使效率最大化。也明白了看似简单的工作，其中需要高度的专注力和细致耐心的职业态度。</w:t>
      </w:r>
    </w:p>
    <w:p>
      <w:pPr>
        <w:pStyle w:val="2"/>
        <w:spacing w:before="156" w:beforeLines="50" w:after="156" w:afterLines="50"/>
        <w:ind w:firstLine="440" w:firstLineChars="100"/>
        <w:rPr>
          <w:rFonts w:ascii="华文中宋" w:hAnsi="华文中宋" w:eastAsia="华文中宋" w:cs="华文中宋"/>
          <w:sz w:val="44"/>
          <w:szCs w:val="44"/>
        </w:rPr>
      </w:pPr>
      <w:bookmarkStart w:id="13" w:name="_Toc32458"/>
      <w:r>
        <w:rPr>
          <w:rFonts w:hint="eastAsia" w:ascii="华文中宋" w:hAnsi="华文中宋" w:eastAsia="华文中宋" w:cs="华文中宋"/>
          <w:sz w:val="44"/>
          <w:szCs w:val="44"/>
        </w:rPr>
        <w:t>3.质量保障措施</w:t>
      </w:r>
      <w:bookmarkEnd w:id="13"/>
    </w:p>
    <w:p>
      <w:pPr>
        <w:pStyle w:val="3"/>
        <w:spacing w:before="156" w:beforeLines="50" w:after="156" w:afterLines="50"/>
        <w:ind w:firstLine="602"/>
        <w:rPr>
          <w:rFonts w:ascii="黑体" w:hAnsi="黑体" w:eastAsia="黑体" w:cs="黑体"/>
        </w:rPr>
      </w:pPr>
      <w:bookmarkStart w:id="14" w:name="_Toc25188"/>
      <w:r>
        <w:rPr>
          <w:rFonts w:hint="eastAsia" w:ascii="黑体" w:hAnsi="黑体" w:eastAsia="黑体" w:cs="黑体"/>
        </w:rPr>
        <w:t>3.1紧跟区域经济新形势，统筹专业调整新态势。</w:t>
      </w:r>
      <w:bookmarkEnd w:id="14"/>
    </w:p>
    <w:p>
      <w:pPr>
        <w:pStyle w:val="15"/>
        <w:shd w:val="clear" w:color="auto" w:fill="FFFFFF"/>
        <w:spacing w:before="156" w:beforeLines="50" w:beforeAutospacing="0" w:after="156" w:afterLines="50" w:afterAutospacing="0" w:line="360" w:lineRule="auto"/>
        <w:ind w:firstLine="441" w:firstLineChars="210"/>
        <w:rPr>
          <w:kern w:val="2"/>
          <w:sz w:val="21"/>
          <w:szCs w:val="21"/>
        </w:rPr>
      </w:pPr>
      <w:r>
        <w:rPr>
          <w:rFonts w:hint="eastAsia"/>
          <w:kern w:val="2"/>
          <w:sz w:val="21"/>
          <w:szCs w:val="21"/>
        </w:rPr>
        <w:t>为进一步满足萧山区产业对高素质技能性人才的需求，2020年学校开展企业和市场调研，了解产业结构调整、职业岗位能力需求等信息，建立人才需求预测、专业协作发展机制。以现有专业形态为基础，进一步加强与区域产业对接，初步形成与区域产业结构调整相适应、专业之间相互支撑的专业群体结构，大力加强“品牌专业”建设，积极支持“培育专业”特色建设。自2018年开始，依托于萧山医药产业发展现状和人才需求，与产业接轨，学校新增药剂专业。为满足社会人才需求，招生人数递增至八十余人次以上；与浙江医药高等专科学校开展中高职一体化合作，借由高校平台和专业托举，打造和培育双师素质的专兼职结合的高水平教学团队，积极完善药剂专业人才培养方案，努力开发对标行业准入的专业核心课程体系；同时，以“兰芷坊”为依托，建立外贸和药剂的跨平台合作，探寻药剂专业的应用途径和发展方向。</w:t>
      </w:r>
    </w:p>
    <w:p>
      <w:pPr>
        <w:spacing w:before="156" w:beforeLines="50" w:after="156" w:afterLines="50" w:line="360" w:lineRule="auto"/>
        <w:ind w:firstLine="422" w:firstLineChars="200"/>
        <w:rPr>
          <w:rFonts w:ascii="宋体" w:hAnsi="宋体" w:cs="宋体"/>
          <w:szCs w:val="21"/>
        </w:rPr>
      </w:pPr>
      <w:r>
        <w:rPr>
          <w:rFonts w:hint="eastAsia" w:ascii="宋体" w:hAnsi="宋体" w:cs="宋体"/>
          <w:b/>
          <w:bCs/>
          <w:szCs w:val="21"/>
        </w:rPr>
        <w:t>建筑专业品牌引领，核心素养培育理念凸显。</w:t>
      </w:r>
      <w:r>
        <w:rPr>
          <w:rFonts w:hint="eastAsia" w:ascii="宋体" w:hAnsi="宋体" w:cs="宋体"/>
          <w:szCs w:val="21"/>
        </w:rPr>
        <w:t xml:space="preserve">萧山是“中国建筑之乡”、“中国钢结构产业基地”,一直以来对建筑人才需求的潜力很大，这就为学校建筑专业的发展提供了有利的外部环境。同时，也对建筑专业的发展与建设提出了更高层次要求。2020年，学校利用质量提升工程中期建设推进为动力，挖掘建筑专业品牌建设内涵，继续完善建筑VR实训室、装配式建筑教学场地和建筑文化长廊，为专业的新一轮发展提升办学条件。在专业发展上形成核心专业技能提升、基本技能夯实的“一核多辐射”的立体专业群发展网络。学校于2020年11月成功承办杭州市建筑专业建筑工程赛项技能大赛。同时，根据职教20条的重要改革部署，学校把学历证书与职业技能等级证书结合起来，在建筑专业启动建筑识图和BIM“1+X”证书制度试点工作，成功审批试点，顺利通过考点审核。 </w:t>
      </w:r>
    </w:p>
    <w:p>
      <w:pPr>
        <w:widowControl/>
        <w:spacing w:before="156" w:beforeLines="50" w:after="156" w:afterLines="50" w:line="360" w:lineRule="auto"/>
        <w:ind w:firstLine="441" w:firstLineChars="209"/>
        <w:jc w:val="left"/>
        <w:rPr>
          <w:rFonts w:ascii="宋体" w:hAnsi="宋体" w:cs="宋体"/>
          <w:szCs w:val="21"/>
        </w:rPr>
      </w:pPr>
      <w:r>
        <w:rPr>
          <w:rFonts w:hint="eastAsia" w:ascii="宋体" w:hAnsi="宋体" w:cs="宋体"/>
          <w:b/>
          <w:bCs/>
          <w:szCs w:val="21"/>
        </w:rPr>
        <w:t>精准对标行业标准，护理专业拓展办学思路。</w:t>
      </w:r>
      <w:r>
        <w:rPr>
          <w:rFonts w:hint="eastAsia" w:ascii="宋体" w:hAnsi="宋体" w:cs="宋体"/>
          <w:szCs w:val="21"/>
        </w:rPr>
        <w:t>护理专业紧跟时代发展步伐，创新育人方法，教育教学质量逐年稳步提升。学校实行护理专业“三选三通”课改，把理论学习与教学实践紧密结合起来；专业教师运用现代信息化教学手段，践行理实一体化教学课堂模式。以自由选修课为依托发展的教学模式，以点带面，典型引路，培养学生“一专多能”，为实施新一轮人才培养规划打下扎实基础。学校护理专业也同时承担着萧山区卫生系统医护人员的进修学习任务，在继续做大做强护理专业的同时，升学与就业并举，对标行业和专业准入机制，逐步开设老年护理、家政服务、婴孕护理等新兴专业方向，拓深护理专业的未来发展和就业空间。2020年，护理专业在老年照护分枝方向上积极开展1+X证书制度试点工作，为学生开辟新的就业通道创设条件。</w:t>
      </w:r>
    </w:p>
    <w:p>
      <w:pPr>
        <w:spacing w:before="156" w:beforeLines="50" w:after="156" w:afterLines="50" w:line="360" w:lineRule="auto"/>
        <w:ind w:firstLine="422" w:firstLineChars="200"/>
        <w:rPr>
          <w:rFonts w:ascii="宋体" w:hAnsi="宋体" w:cs="宋体"/>
          <w:szCs w:val="21"/>
        </w:rPr>
      </w:pPr>
      <w:r>
        <w:rPr>
          <w:rFonts w:hint="eastAsia" w:ascii="宋体" w:hAnsi="宋体" w:cs="宋体"/>
          <w:b/>
          <w:bCs/>
          <w:szCs w:val="21"/>
        </w:rPr>
        <w:t>顺应地区经济转型，骨干专业方向稳步调整。</w:t>
      </w:r>
      <w:r>
        <w:rPr>
          <w:rFonts w:hint="eastAsia" w:ascii="宋体" w:hAnsi="宋体" w:cs="宋体"/>
          <w:szCs w:val="21"/>
        </w:rPr>
        <w:t>机械专业为我校的一大骨干专业，在专业发展建设中，曾获得了省示范专业、省实训基地、市示范实训基地、省产学研联合等多项荣誉。面对萧山区经济的转型升级，学校立足于学生专业成长发展的需求，对机械专业进行重新定位。数控技术方向成为我校机械专业主攻方向，尤其在数控机床编程与操作，数控机床维护和检修方面。</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为更好的服务企业、服务社会，为我区外向型企业输送人才，配合国家和地区“一带一路”战略，学校外贸专业努力加强专业建设，专业方向拓展到涉外财会方向，注重学生外贸实战技能的操作培养。面对国际电商的兴起和国际形势的变化，学校也为外贸专业学生提供了与专业相关的创新创业的学习机会和实操机会，为学生的长期发展提供更多的选择。专业配有外贸综合实训室、外贸情景模拟实训室、外贸试听实验室，软硬件设施先进。同时，在课程开设中，注重电商课程渗透和选修，力求培养新时期的优秀外贸人才。我校外贸专业师资力量雄厚，现有专任教师7人，全为大学本科毕业，都具有商贸专业中高级技能资格，其中英语八级1人，高级口译1人。</w:t>
      </w:r>
    </w:p>
    <w:p>
      <w:pPr>
        <w:widowControl/>
        <w:spacing w:before="156" w:beforeLines="50" w:after="156" w:afterLines="50" w:line="360" w:lineRule="auto"/>
        <w:ind w:firstLine="441" w:firstLineChars="209"/>
        <w:jc w:val="left"/>
        <w:rPr>
          <w:rFonts w:ascii="宋体" w:hAnsi="宋体" w:cs="宋体"/>
          <w:szCs w:val="21"/>
        </w:rPr>
      </w:pPr>
      <w:r>
        <w:rPr>
          <w:rFonts w:hint="eastAsia" w:ascii="宋体" w:hAnsi="宋体" w:cs="宋体"/>
          <w:b/>
          <w:bCs/>
          <w:szCs w:val="21"/>
        </w:rPr>
        <w:t>化工专业努力突破，药剂同行拓宽方向。</w:t>
      </w:r>
      <w:r>
        <w:rPr>
          <w:rFonts w:hint="eastAsia" w:ascii="宋体" w:hAnsi="宋体" w:cs="宋体"/>
          <w:szCs w:val="21"/>
        </w:rPr>
        <w:t>与化学息息相关的化工专业和药剂专业，迎合了新时代市场中人们对“活得更好”的消费要求。为了做精做活化工专业，探索发展药剂专业的多方向应用，加强化工、药剂专业就业前景宣传势在必行。国家相继出台《国务院关于加快培育和发展战略性新兴产业的决定》和《石油和化工产业振兴支撑技术指导意见》来支撑化工产业，中国化工新材料产业迎来了强劲发展的阶段；全面推行课程改革，接轨现代工艺，拓宽药剂、化工理论基础，顺应产业需求，提高人才培养规格和要求；三是调整专业方向，顺应新时代市场对各类化工日用品、环保空气处理和食品安全的需求，缓解大健康产业的用工紧张，培养精细化工、药剂方面人才，为学生升学就业提供基础技能的培训。2020年，学校化工专业积极探索做深专业领域，培养化工、药剂人才，利用理虚实一体教学手段，夯实学生的基础理论知识和基本技能，适应化学检验员、外业采样员、水处理工、室内空气处理工、药师、药剂实验员等职业岗位要求，解决生产中的实际问题，帮助学生掌握本专业的技术基础知识、基本技能，具备较强的实际工作能力，成为高素质劳动者和技能型人才。</w:t>
      </w:r>
    </w:p>
    <w:p>
      <w:pPr>
        <w:spacing w:before="156" w:beforeLines="50" w:after="156" w:afterLines="50" w:line="360" w:lineRule="auto"/>
        <w:ind w:firstLine="422" w:firstLineChars="200"/>
        <w:rPr>
          <w:rFonts w:ascii="宋体" w:hAnsi="宋体" w:cs="宋体"/>
          <w:szCs w:val="21"/>
        </w:rPr>
      </w:pPr>
      <w:r>
        <w:rPr>
          <w:rFonts w:hint="eastAsia" w:ascii="宋体" w:hAnsi="宋体" w:cs="宋体"/>
          <w:b/>
          <w:bCs/>
          <w:szCs w:val="21"/>
        </w:rPr>
        <w:t>专业统筹发展，人才培养方案合理调整。</w:t>
      </w:r>
      <w:r>
        <w:rPr>
          <w:rFonts w:hint="eastAsia" w:ascii="宋体" w:hAnsi="宋体" w:cs="宋体"/>
          <w:szCs w:val="21"/>
        </w:rPr>
        <w:t>2019年，为适应时代发展，各大专业人才培养方案经过前期调研，在广泛征求专家、行业、用人单位意见的基础上，形成和完善新一轮人才方案的制定，并于2020年正式投入使用。在专业课程建设上，建筑、护理专业以行业认可的“专业教学基本要求”为指导，建立与区域性特点相结合的专业标准；机械专业强化专业对接区域产业链为切入点，深入推进课程内容与职业标准、教学过程与工作过程相对接，深化工学结合人才培养模式改革；外贸专业以公共课、专业群平台课、专业核心课为重点，积极开展以项目课程、学习情境课程为重点的课程建设。化工药剂专业围绕社会需求，结合健康养生的产业背景，升级更新课程内容。</w:t>
      </w:r>
    </w:p>
    <w:p>
      <w:pPr>
        <w:pStyle w:val="3"/>
        <w:spacing w:before="156" w:beforeLines="50" w:after="156" w:afterLines="50"/>
        <w:ind w:firstLine="602"/>
        <w:rPr>
          <w:rFonts w:ascii="黑体" w:hAnsi="黑体" w:eastAsia="黑体" w:cs="黑体"/>
        </w:rPr>
      </w:pPr>
      <w:bookmarkStart w:id="15" w:name="_Toc4"/>
      <w:r>
        <w:rPr>
          <w:rFonts w:hint="eastAsia" w:ascii="黑体" w:hAnsi="黑体" w:eastAsia="黑体" w:cs="黑体"/>
        </w:rPr>
        <w:t>3.2教育教学改革</w:t>
      </w:r>
      <w:bookmarkEnd w:id="15"/>
    </w:p>
    <w:p>
      <w:pPr>
        <w:widowControl/>
        <w:spacing w:before="156" w:beforeLines="50" w:after="156" w:afterLines="50" w:line="360" w:lineRule="auto"/>
        <w:ind w:firstLine="441" w:firstLineChars="209"/>
        <w:jc w:val="left"/>
        <w:outlineLvl w:val="2"/>
        <w:rPr>
          <w:rFonts w:ascii="宋体" w:hAnsi="宋体" w:cs="宋体"/>
          <w:b/>
          <w:bCs/>
          <w:szCs w:val="21"/>
        </w:rPr>
      </w:pPr>
      <w:r>
        <w:rPr>
          <w:rFonts w:hint="eastAsia" w:ascii="宋体" w:hAnsi="宋体" w:cs="宋体"/>
          <w:b/>
          <w:bCs/>
          <w:szCs w:val="21"/>
        </w:rPr>
        <w:t>3.2.1深化中职课改，推行网络选修课程</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2020年，学校积极应对疫情的影响，认真贯彻上级教育行政部门文件，落实网络选修课程。在“选择性”课程的开设和推进上，严谨部署，实践完善创新。做好网络“选择性”课程改革实践过程中的监控与管理：新课程模块教学实施、选修课开设、学生选择帮助、选课走班教务管理等,鼓励教师以课程建设为纽带组建多元合作的课程团队，合作开发工学结合课程，打造精品课程。</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 xml:space="preserve">    为了响应“停课不停学”的号召，杭州教育局推出了“杭州共享课堂”，助力全市中职线上教学顺利开展。我校多名教师积极参与其中，结合学科特点制作微课，为顺利开展线上教学添砖加瓦。其中，周嫣妮老师《建筑轴测图》、吕美娟老师《老人与海’的N个未解之谜》赵静《疫情期间宅家身心健康管理方式》吴怡娜《同心战疫--白衣天使的素养》徐佳丹《传染病之防艾小课堂》等五位老师精心设计录制的微课堂入选共享课堂，登上了电视荧幕；还有汪洁《同心战“疫”--七步洗手法、佩戴口罩》、帅玉珍《同心战“疫”--传染病预防与护理》等多位老师的防疫课程被杭州教育技术中心进行全市推广学习，为全市中职学生奉上了“美味”的知识大餐。</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在专业选择性课程的推进中，已完善了建筑、护理等六大专业的选择性课程体系。继续深入开展“做中学”校本教材编写与应用，在实践基础上开展专题研讨，建设学校特色的校本教材，多部作品在市、区获奖。选择性课程各具特色，将理论知识融于实践教学；药剂专业结合自身特色，开设了香囊制作特色课程，充分调动和激发了学生的学习热情，让学生成为课堂的主人，全方位展示了课改的实际成效。</w:t>
      </w:r>
    </w:p>
    <w:p>
      <w:pPr>
        <w:widowControl/>
        <w:spacing w:before="156" w:beforeLines="50" w:after="156" w:afterLines="50" w:line="360" w:lineRule="auto"/>
        <w:ind w:firstLine="441" w:firstLineChars="209"/>
        <w:jc w:val="left"/>
        <w:outlineLvl w:val="2"/>
        <w:rPr>
          <w:rFonts w:ascii="宋体" w:hAnsi="宋体" w:cs="宋体"/>
          <w:b/>
          <w:bCs/>
          <w:szCs w:val="21"/>
        </w:rPr>
      </w:pPr>
      <w:r>
        <w:rPr>
          <w:rFonts w:hint="eastAsia" w:ascii="宋体" w:hAnsi="宋体" w:cs="宋体"/>
          <w:b/>
          <w:bCs/>
          <w:szCs w:val="21"/>
        </w:rPr>
        <w:t>3.2.2加强公共课建设，聚焦核心素养培育</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加强公共课建设，改进课程管理。学校根据公共课新一轮课程标准，优化基于职业发展的文化课，重视公共课在职业素养培养中的作用，以做好全校性公共课课程体系建设为基础，按要求开设思想政治教育、职业规划指导等公共课程，储备教师，切实保障公共课教学条件，有效组织素质课程的实践教学活动。开设人文课程、思想政治教育、职业规划指导、创新创业等公共课程，切实保障公共课教学条件，有效组织公共通识素质课程的实践教学活动，努力培育学校精品课程。</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 xml:space="preserve">以全面实施校际、校企和行业等联合课程培养，汇聚机械、建筑、护理等专业的人才培养规格，切实提高人才智能结构和职业素养为目标，同步推进人才培养模式创新实践与教学改革拓展深化。通过组织实施校级“教学改革项目”、“课堂教学改革项目”，组织年青教师积极参与市区级课堂教学改革项目如杭派教法，大幅提高教学水平与人才培养质量。2020年11月，我校裘丽芳、金国红、潘晓科、帅玉珍、施佳丽老师代表四职青年教师参加杭州市中职杭派教法课堂文化节暨教师培训。 </w:t>
      </w:r>
    </w:p>
    <w:p>
      <w:pPr>
        <w:widowControl/>
        <w:spacing w:before="156" w:beforeLines="50" w:after="156" w:afterLines="50" w:line="360" w:lineRule="auto"/>
        <w:ind w:firstLine="441" w:firstLineChars="209"/>
        <w:jc w:val="left"/>
        <w:outlineLvl w:val="2"/>
        <w:rPr>
          <w:rFonts w:ascii="宋体" w:hAnsi="宋体" w:cs="宋体"/>
          <w:b/>
          <w:bCs/>
          <w:szCs w:val="21"/>
        </w:rPr>
      </w:pPr>
      <w:r>
        <w:rPr>
          <w:rFonts w:hint="eastAsia" w:ascii="宋体" w:hAnsi="宋体" w:cs="宋体"/>
          <w:b/>
          <w:bCs/>
          <w:szCs w:val="21"/>
        </w:rPr>
        <w:t>3.2.3创设教师成长平台，促进名优教师培育</w:t>
      </w:r>
    </w:p>
    <w:p>
      <w:pPr>
        <w:spacing w:before="156" w:beforeLines="50" w:after="156" w:afterLines="50" w:line="360" w:lineRule="auto"/>
        <w:ind w:firstLine="422" w:firstLineChars="200"/>
        <w:rPr>
          <w:rFonts w:ascii="宋体" w:hAnsi="宋体" w:cs="宋体"/>
          <w:szCs w:val="21"/>
        </w:rPr>
      </w:pPr>
      <w:r>
        <w:rPr>
          <w:rFonts w:hint="eastAsia" w:ascii="宋体" w:hAnsi="宋体" w:cs="宋体"/>
          <w:b/>
          <w:bCs/>
          <w:szCs w:val="21"/>
        </w:rPr>
        <w:t>教师队伍建设是学校可持续发展的核心竞争力，教师的综合素质、</w:t>
      </w:r>
      <w:r>
        <w:rPr>
          <w:rFonts w:hint="eastAsia" w:ascii="宋体" w:hAnsi="宋体" w:cs="宋体"/>
          <w:szCs w:val="21"/>
        </w:rPr>
        <w:t>业务水平直接关系到学校的生存和发展。结合学校教师队伍建设实际，为教师个体成长与发展搭建平台，学校通过积极的顶层设计，实施萧山四职名优教师培养战略，搭建平台，成立“青禾团”“高层次人才发展共同体”“校内名师团队”等引导中青年教师结合工作实践，合理规划发展路径，强化教研水平，抱团发展，实现自身最优成长。2020学年，在青禾团工作的基础上，青蓝工程项目正式启动。9月10日，新入职教师和优秀骨干教师共同出席并参与了萧山四职2020学年“青蓝工程”之教师师徒结对活动；以青蓝工程为平台，围绕以骨干教师为中心的骄阳计划，我校高层次人才与一职、二职联合开展骨干教师校际交流研讨活动，意在指引教师发展道路；薪火相传，在骨干教师的指导下，在青蓝工程众多活动的引导下，我校青年教师汇聚一堂，开展了“卫校好课堂”的活动——骨干教师各展风采，助力新教师教学技能成长；新进教师青苗课堂现风姿，未来可期。</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通过对教师专业发展的引领、考核，有目的、有计划、有步骤地提升教师队伍的整体素质，促进教师具有完备的专业知识结构和过硬的教学基本功，激发教师的工作热情和潜力，增强教师的荣誉感、责任感，形成“比、学、赶、帮、超”的良好工作氛围，为教师指明专业成长努力的方向。围绕教师成长，今年开展多次围绕教师专业、科研、教学多方面发展的校级讲座和校本培训。6月4日，西湖职高教科室主任梁甘冷做了课题结题方面的指导。6月8日，建筑名师工作室领衔人、企业高级工程师夏玲涛教授为建筑师生介绍了安全管理的概述、新发展和新技术。2020年下半年，萧山四职邀请张金英主任就高质量发展职业教育的若干思考开展讲座，为教师梳理职业发展脉络，树立职业发展信心；来自浙江师范大学的杨志强教授从教学设计的视角入手，就教学能力大赛的实战策略主题建议教师落地教学，关注教学目标的达成，与会老师都表示收获颇丰。</w:t>
      </w:r>
    </w:p>
    <w:p>
      <w:pPr>
        <w:spacing w:before="156" w:beforeLines="50" w:after="156" w:afterLines="50" w:line="360" w:lineRule="auto"/>
        <w:ind w:firstLine="422" w:firstLineChars="200"/>
        <w:rPr>
          <w:rFonts w:ascii="宋体" w:hAnsi="宋体" w:cs="宋体"/>
          <w:szCs w:val="21"/>
        </w:rPr>
      </w:pPr>
      <w:r>
        <w:rPr>
          <w:rFonts w:hint="eastAsia" w:ascii="宋体" w:hAnsi="宋体" w:cs="宋体"/>
          <w:b/>
          <w:bCs/>
          <w:szCs w:val="21"/>
        </w:rPr>
        <w:t>为提升教师的职业成就感，表彰教学、科研、专业方面突出的教师。</w:t>
      </w:r>
      <w:r>
        <w:rPr>
          <w:rFonts w:hint="eastAsia" w:ascii="宋体" w:hAnsi="宋体" w:cs="宋体"/>
          <w:szCs w:val="21"/>
        </w:rPr>
        <w:t>6月，学校开展首届名师评选活动。经过综合评价、随班上课、教学设计和微论坛展评的环节，钱利萍、周嫣妮、任晓芳、陈燕英、王春桥、李宏、方仪娟、赵静、潘晓科、吴怡娜、冯军、涂丽锋、魏佳当选为校首届名师，激发了中年教师积极性。</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在校名师评选的基础上，下半年学校举办校青年教师专业技能比赛、校教师教学技能选拔比赛两项赛事。50余名教师积极参加两项比赛，各展风采，从比赛中汲取经验、博采众长，助推青年教师更好地走出去，走得好、走得快。</w:t>
      </w:r>
    </w:p>
    <w:p>
      <w:pPr>
        <w:widowControl/>
        <w:spacing w:before="156" w:beforeLines="50" w:after="156" w:afterLines="50" w:line="360" w:lineRule="auto"/>
        <w:ind w:firstLine="441" w:firstLineChars="209"/>
        <w:jc w:val="left"/>
        <w:outlineLvl w:val="2"/>
        <w:rPr>
          <w:rFonts w:ascii="宋体" w:hAnsi="宋体" w:cs="宋体"/>
          <w:b/>
          <w:bCs/>
          <w:szCs w:val="21"/>
        </w:rPr>
      </w:pPr>
      <w:r>
        <w:rPr>
          <w:rFonts w:hint="eastAsia" w:ascii="宋体" w:hAnsi="宋体" w:cs="宋体"/>
          <w:b/>
          <w:bCs/>
          <w:szCs w:val="21"/>
        </w:rPr>
        <w:t>3.2.4深化现代学徒制试点，推动校企合作共同体建设</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根据《教育部关于开展现代学徒制试点工作的意见》和《萧山区教育局关于现代学徒制试点工作实施方案》有关要求，学校进一步拓展校企合作模式，将顶岗实习、见习、职工培训和校企合作课程开发等模式达成有机的统一。2019年1月，萧山四职成功入选浙江省第二批现代学徒制试点单位。</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萧山四职建筑专业积极探索校企合作、工学结合的新培养模式，发展与本土建筑企业的紧密合作关系，更多地开展面向施工现场的见习实训，激发学生的学习热情，提高学生学习的“附加值”。2020年，学校进一步深化与东南网架、杭萧钢构等企业的校企合作共同体建设，并与杭萧钢构、浙江建设职业技术学院、亚厦控股集团一起洽谈了关于“职校+职院+企业+产教联盟”共育绿建人才的初步设想。在此背景下，10月上旬，建筑专业学生代表到浙江亚厦装饰股份有限公司，参加了由杭州市建筑装饰产教联盟发起的研学之旅，体验了装配式建筑的技术；组织药剂专业学生参观杭州胡庆余堂中药博物馆，高二建筑专业学生参观学习杭萧钢构股份有限公司。萧山四职护理专业积极推进现代学徒制试点工作，深化与区内各大医院的合作。6月10日，萧山四职举行护理专业现代学徒制第五届拜师仪式。来自全区7家直属医院的24位护理专家，校级领导和即将步入实习岗位的护理18级学生参加了本次活动，师徒签订《师徒结对协议书》，正式结为师徒关系。</w:t>
      </w:r>
    </w:p>
    <w:p>
      <w:pPr>
        <w:widowControl/>
        <w:spacing w:before="156" w:beforeLines="50" w:after="156" w:afterLines="50" w:line="360" w:lineRule="auto"/>
        <w:ind w:firstLine="441" w:firstLineChars="209"/>
        <w:jc w:val="left"/>
        <w:outlineLvl w:val="2"/>
        <w:rPr>
          <w:rFonts w:ascii="宋体" w:hAnsi="宋体" w:cs="宋体"/>
          <w:b/>
          <w:bCs/>
          <w:szCs w:val="21"/>
        </w:rPr>
      </w:pPr>
      <w:r>
        <w:rPr>
          <w:rFonts w:hint="eastAsia" w:ascii="宋体" w:hAnsi="宋体" w:cs="宋体"/>
          <w:b/>
          <w:bCs/>
          <w:szCs w:val="21"/>
        </w:rPr>
        <w:t>3.2.5加强实践基地建设，有效保障培养模式改革</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推进校内实训基地建设，强化基地运行管理。按照“整体规划、系统设计、分步到位”的原则，统筹规划、优化设计专业群校内基地，建设具有完整实验实训项目和功能的校内实训基地，提升校内基地建设的整体性与系统性；强化基地运行管理，提高基地建设水平和使用效率，提升教学服务功能。2020年学校积极打造建筑VR实训室和木艺工坊、装配式建筑实训场所，利用信息化和网络手段，改进教学条件；同时，投入资金建设建筑文化长廊，为建筑专业学生树立专业自信和专业归属感，开展专业文化建设；建成机器人创新实验室，尝试开展机器人创新实验课程和社团课程，结合时代需求，开发计算机python语言课程，为学生拓宽专业发展道路，激发学生学习兴趣和思路，提升综合素质。</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加强与校外基地的全方位合作，鼓励将课堂建到生产一线，增强校外实践基地的教学功能；加强实践基地管理，形成在实践教学方案设计、指导教师配备、实习效果考核和安全保障等方面的合作机制，切实增强实践教学效果。根据各专业对实训基地建设的要求，对原有的实训室进行优化调整。学校改建机械实训场室，调整实训室布局、加强实训设备投入，添置数车等实训设备，不断提高教学实验设备的现代化标准和技术水平，以保证设备的先进性和使用率；完善并提升化工实验室管理流程，加强化工专业学生安全管理意识，提升职业综合素养；6月上旬，萧山四职（萧山卫校）护理专业示范性教学实训中心授牌仪式在浙江萧山医院临床技能中心举行，为今后进一步加强“产教融合、校企合作”打下了基础，对于推动我校护理专业实习实训教学工作迈向新台阶起到积极的作用。</w:t>
      </w:r>
    </w:p>
    <w:p>
      <w:pPr>
        <w:spacing w:before="156" w:beforeLines="50" w:after="156" w:afterLines="50" w:line="360" w:lineRule="auto"/>
        <w:outlineLvl w:val="2"/>
        <w:rPr>
          <w:rFonts w:ascii="宋体" w:hAnsi="宋体" w:cs="宋体"/>
          <w:b/>
          <w:bCs/>
          <w:szCs w:val="21"/>
        </w:rPr>
      </w:pPr>
      <w:r>
        <w:rPr>
          <w:rFonts w:hint="eastAsia" w:ascii="仿宋" w:hAnsi="仿宋" w:eastAsia="仿宋" w:cs="仿宋"/>
          <w:color w:val="000000"/>
          <w:sz w:val="30"/>
          <w:szCs w:val="30"/>
        </w:rPr>
        <w:t xml:space="preserve">   </w:t>
      </w:r>
      <w:r>
        <w:rPr>
          <w:rFonts w:hint="eastAsia" w:ascii="宋体" w:hAnsi="宋体" w:cs="宋体"/>
          <w:b/>
          <w:bCs/>
          <w:szCs w:val="21"/>
        </w:rPr>
        <w:t>3.2.6加强教学资源库建设，努力实现教学信息化</w:t>
      </w:r>
    </w:p>
    <w:p>
      <w:pPr>
        <w:pStyle w:val="15"/>
        <w:shd w:val="clear" w:color="auto" w:fill="FFFFFF"/>
        <w:spacing w:before="156" w:beforeLines="50" w:beforeAutospacing="0" w:after="156" w:afterLines="50" w:afterAutospacing="0" w:line="360" w:lineRule="auto"/>
        <w:ind w:firstLine="420" w:firstLineChars="200"/>
        <w:rPr>
          <w:rFonts w:ascii="仿宋" w:hAnsi="仿宋" w:eastAsia="仿宋" w:cs="仿宋"/>
          <w:color w:val="000000"/>
          <w:sz w:val="30"/>
          <w:szCs w:val="30"/>
        </w:rPr>
      </w:pPr>
      <w:r>
        <w:rPr>
          <w:rFonts w:hint="eastAsia"/>
          <w:kern w:val="2"/>
          <w:sz w:val="21"/>
          <w:szCs w:val="21"/>
        </w:rPr>
        <w:t>我校专业教学资源库建设不断推进，资源内容丰富，形式多样。包含教学设计、教学课件、实训指导、知识评价、拓展资料等资源上网入库，具有文本、图片、动画、音频、视频等多种媒体和应用方式，配以希沃白板、智慧教室等教学设备全面支持教学活动中的资源内容需要。资源库建设涉及机械、建筑、护理专业核心课程。疫情期间，学校停课不停学，运用信息化手段积极开设在线阳光课堂。通过给学生邮寄教材，文化科、专业科、音体美、心理等老师精心筹备，群策群力，给学生呈现了众多丰富又高质量的在线课程。厚积薄发，教师们的信息化也收获颇丰。</w:t>
      </w:r>
    </w:p>
    <w:p>
      <w:pPr>
        <w:spacing w:before="156" w:beforeLines="50" w:after="156" w:afterLines="50" w:line="360" w:lineRule="auto"/>
        <w:ind w:firstLine="480"/>
        <w:jc w:val="center"/>
        <w:rPr>
          <w:rFonts w:ascii="楷体" w:hAnsi="楷体" w:eastAsia="楷体" w:cs="楷体"/>
          <w:b/>
          <w:szCs w:val="21"/>
        </w:rPr>
      </w:pPr>
    </w:p>
    <w:p>
      <w:pPr>
        <w:spacing w:before="156" w:beforeLines="50" w:after="156" w:afterLines="50" w:line="360" w:lineRule="auto"/>
        <w:ind w:firstLine="480"/>
        <w:jc w:val="center"/>
        <w:rPr>
          <w:rFonts w:ascii="楷体" w:hAnsi="楷体" w:eastAsia="楷体" w:cs="楷体"/>
          <w:b/>
          <w:szCs w:val="21"/>
        </w:rPr>
      </w:pPr>
    </w:p>
    <w:p>
      <w:pPr>
        <w:spacing w:before="156" w:beforeLines="50" w:after="156" w:afterLines="50" w:line="360" w:lineRule="auto"/>
        <w:ind w:firstLine="480"/>
        <w:jc w:val="center"/>
        <w:rPr>
          <w:rFonts w:ascii="楷体" w:hAnsi="楷体" w:eastAsia="楷体" w:cs="楷体"/>
          <w:b/>
          <w:szCs w:val="21"/>
        </w:rPr>
      </w:pPr>
    </w:p>
    <w:p>
      <w:pPr>
        <w:spacing w:before="156" w:beforeLines="50" w:after="156" w:afterLines="50" w:line="360" w:lineRule="auto"/>
        <w:ind w:firstLine="480"/>
        <w:jc w:val="center"/>
        <w:rPr>
          <w:rFonts w:ascii="楷体" w:hAnsi="楷体" w:eastAsia="楷体" w:cs="楷体"/>
          <w:b/>
          <w:szCs w:val="21"/>
        </w:rPr>
      </w:pPr>
      <w:r>
        <w:rPr>
          <w:rFonts w:hint="eastAsia" w:ascii="楷体" w:hAnsi="楷体" w:eastAsia="楷体" w:cs="楷体"/>
          <w:b/>
          <w:szCs w:val="21"/>
        </w:rPr>
        <w:t>表十二 2020年教师教育教学能力获奖</w:t>
      </w:r>
    </w:p>
    <w:tbl>
      <w:tblPr>
        <w:tblStyle w:val="16"/>
        <w:tblW w:w="8615" w:type="dxa"/>
        <w:tblInd w:w="93" w:type="dxa"/>
        <w:tblLayout w:type="autofit"/>
        <w:tblCellMar>
          <w:top w:w="0" w:type="dxa"/>
          <w:left w:w="108" w:type="dxa"/>
          <w:bottom w:w="0" w:type="dxa"/>
          <w:right w:w="108" w:type="dxa"/>
        </w:tblCellMar>
      </w:tblPr>
      <w:tblGrid>
        <w:gridCol w:w="1642"/>
        <w:gridCol w:w="3772"/>
        <w:gridCol w:w="2091"/>
        <w:gridCol w:w="1110"/>
      </w:tblGrid>
      <w:tr>
        <w:tblPrEx>
          <w:tblCellMar>
            <w:top w:w="0" w:type="dxa"/>
            <w:left w:w="108" w:type="dxa"/>
            <w:bottom w:w="0" w:type="dxa"/>
            <w:right w:w="108" w:type="dxa"/>
          </w:tblCellMar>
        </w:tblPrEx>
        <w:trPr>
          <w:trHeight w:val="281"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b/>
                <w:bCs/>
                <w:kern w:val="0"/>
                <w:szCs w:val="21"/>
              </w:rPr>
              <w:t>2020年浙江省中等职业学校教师信息化说课大赛</w:t>
            </w:r>
          </w:p>
        </w:tc>
      </w:tr>
      <w:tr>
        <w:tblPrEx>
          <w:tblCellMar>
            <w:top w:w="0" w:type="dxa"/>
            <w:left w:w="108" w:type="dxa"/>
            <w:bottom w:w="0" w:type="dxa"/>
            <w:right w:w="108" w:type="dxa"/>
          </w:tblCellMar>
        </w:tblPrEx>
        <w:trPr>
          <w:trHeight w:val="281" w:hRule="atLeast"/>
        </w:trPr>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项目</w:t>
            </w:r>
          </w:p>
        </w:tc>
        <w:tc>
          <w:tcPr>
            <w:tcW w:w="37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作品名称</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参赛教师</w:t>
            </w: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奖项</w:t>
            </w:r>
          </w:p>
        </w:tc>
      </w:tr>
      <w:tr>
        <w:tblPrEx>
          <w:tblCellMar>
            <w:top w:w="0" w:type="dxa"/>
            <w:left w:w="108" w:type="dxa"/>
            <w:bottom w:w="0" w:type="dxa"/>
            <w:right w:w="108" w:type="dxa"/>
          </w:tblCellMar>
        </w:tblPrEx>
        <w:trPr>
          <w:trHeight w:val="290" w:hRule="atLeast"/>
        </w:trPr>
        <w:tc>
          <w:tcPr>
            <w:tcW w:w="16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信息化教学说课</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Different People, Different Answers</w:t>
            </w:r>
          </w:p>
        </w:tc>
        <w:tc>
          <w:tcPr>
            <w:tcW w:w="20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陈燕英</w:t>
            </w:r>
          </w:p>
        </w:tc>
        <w:tc>
          <w:tcPr>
            <w:tcW w:w="10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CellMar>
            <w:top w:w="0" w:type="dxa"/>
            <w:left w:w="108" w:type="dxa"/>
            <w:bottom w:w="0" w:type="dxa"/>
            <w:right w:w="108" w:type="dxa"/>
          </w:tblCellMar>
        </w:tblPrEx>
        <w:trPr>
          <w:trHeight w:val="281"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2020年全国高校教师教学创新大赛—第六届外语微课大赛</w:t>
            </w:r>
          </w:p>
        </w:tc>
      </w:tr>
      <w:tr>
        <w:tblPrEx>
          <w:tblCellMar>
            <w:top w:w="0" w:type="dxa"/>
            <w:left w:w="108" w:type="dxa"/>
            <w:bottom w:w="0" w:type="dxa"/>
            <w:right w:w="108" w:type="dxa"/>
          </w:tblCellMar>
        </w:tblPrEx>
        <w:trPr>
          <w:trHeight w:val="281" w:hRule="atLeast"/>
        </w:trPr>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项目</w:t>
            </w:r>
          </w:p>
        </w:tc>
        <w:tc>
          <w:tcPr>
            <w:tcW w:w="37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作品名称</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参赛教师</w:t>
            </w: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奖项</w:t>
            </w:r>
          </w:p>
        </w:tc>
      </w:tr>
      <w:tr>
        <w:tblPrEx>
          <w:tblCellMar>
            <w:top w:w="0" w:type="dxa"/>
            <w:left w:w="108" w:type="dxa"/>
            <w:bottom w:w="0" w:type="dxa"/>
            <w:right w:w="108" w:type="dxa"/>
          </w:tblCellMar>
        </w:tblPrEx>
        <w:trPr>
          <w:trHeight w:val="290" w:hRule="atLeast"/>
        </w:trPr>
        <w:tc>
          <w:tcPr>
            <w:tcW w:w="16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省级</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Oh-ooh, my cell phone is broken!</w:t>
            </w:r>
          </w:p>
        </w:tc>
        <w:tc>
          <w:tcPr>
            <w:tcW w:w="20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黄莉捷、裘丽芳</w:t>
            </w:r>
          </w:p>
        </w:tc>
        <w:tc>
          <w:tcPr>
            <w:tcW w:w="10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CellMar>
            <w:top w:w="0" w:type="dxa"/>
            <w:left w:w="108" w:type="dxa"/>
            <w:bottom w:w="0" w:type="dxa"/>
            <w:right w:w="108" w:type="dxa"/>
          </w:tblCellMar>
        </w:tblPrEx>
        <w:trPr>
          <w:trHeight w:val="281"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2020年杭州市中职学校多彩课堂评比</w:t>
            </w:r>
          </w:p>
        </w:tc>
      </w:tr>
      <w:tr>
        <w:tblPrEx>
          <w:tblCellMar>
            <w:top w:w="0" w:type="dxa"/>
            <w:left w:w="108" w:type="dxa"/>
            <w:bottom w:w="0" w:type="dxa"/>
            <w:right w:w="108" w:type="dxa"/>
          </w:tblCellMar>
        </w:tblPrEx>
        <w:trPr>
          <w:trHeight w:val="281" w:hRule="atLeast"/>
        </w:trPr>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项目</w:t>
            </w:r>
          </w:p>
        </w:tc>
        <w:tc>
          <w:tcPr>
            <w:tcW w:w="373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作品名称</w:t>
            </w:r>
          </w:p>
        </w:tc>
        <w:tc>
          <w:tcPr>
            <w:tcW w:w="20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参赛教师</w:t>
            </w:r>
          </w:p>
        </w:tc>
        <w:tc>
          <w:tcPr>
            <w:tcW w:w="10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奖项</w:t>
            </w:r>
          </w:p>
        </w:tc>
      </w:tr>
      <w:tr>
        <w:tblPrEx>
          <w:tblCellMar>
            <w:top w:w="0" w:type="dxa"/>
            <w:left w:w="108" w:type="dxa"/>
            <w:bottom w:w="0" w:type="dxa"/>
            <w:right w:w="108" w:type="dxa"/>
          </w:tblCellMar>
        </w:tblPrEx>
        <w:trPr>
          <w:trHeight w:val="290" w:hRule="atLeast"/>
        </w:trPr>
        <w:tc>
          <w:tcPr>
            <w:tcW w:w="16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英语</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Different People, Different Answers</w:t>
            </w:r>
          </w:p>
        </w:tc>
        <w:tc>
          <w:tcPr>
            <w:tcW w:w="20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陈燕英</w:t>
            </w:r>
          </w:p>
        </w:tc>
        <w:tc>
          <w:tcPr>
            <w:tcW w:w="10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CellMar>
            <w:top w:w="0" w:type="dxa"/>
            <w:left w:w="108" w:type="dxa"/>
            <w:bottom w:w="0" w:type="dxa"/>
            <w:right w:w="108" w:type="dxa"/>
          </w:tblCellMar>
        </w:tblPrEx>
        <w:trPr>
          <w:trHeight w:val="290" w:hRule="atLeast"/>
        </w:trPr>
        <w:tc>
          <w:tcPr>
            <w:tcW w:w="16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护理</w:t>
            </w:r>
          </w:p>
        </w:tc>
        <w:tc>
          <w:tcPr>
            <w:tcW w:w="3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《手背静脉输液法》----基于智慧课堂的“三活五练”教学策略实践</w:t>
            </w:r>
          </w:p>
        </w:tc>
        <w:tc>
          <w:tcPr>
            <w:tcW w:w="20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朱丹莉、王婷、陈建</w:t>
            </w:r>
          </w:p>
        </w:tc>
        <w:tc>
          <w:tcPr>
            <w:tcW w:w="10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bl>
    <w:tbl>
      <w:tblPr>
        <w:tblStyle w:val="17"/>
        <w:tblW w:w="851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4059"/>
        <w:gridCol w:w="169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4" w:type="dxa"/>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b/>
                <w:bCs/>
                <w:kern w:val="0"/>
                <w:szCs w:val="21"/>
              </w:rPr>
              <w:t>2020年度萧山区第一届智慧教育优质教学资源征集与评选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项目</w:t>
            </w:r>
          </w:p>
        </w:tc>
        <w:tc>
          <w:tcPr>
            <w:tcW w:w="4059"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作品名称</w:t>
            </w:r>
          </w:p>
        </w:tc>
        <w:tc>
          <w:tcPr>
            <w:tcW w:w="1695"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参赛教师</w:t>
            </w:r>
          </w:p>
        </w:tc>
        <w:tc>
          <w:tcPr>
            <w:tcW w:w="1602"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微课</w:t>
            </w: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不好好说的话——诗歌的变形技巧</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黄舒洁</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《老人与海》的N个未解之谜</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吕美娟</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眼睛——做回诗人又何妨</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缪平</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鼓励奖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《等差数列》微课</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屠咪咪</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直线与圆的位置关系</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李晓虹</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Shopping in a Store</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裘丽芳</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Oh-ooh, my cell phone is broken!</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黄莉捷</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院内床边心电图的操作</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施佳丽</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移液管的使用</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李佳</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心电监护的操作</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萧建</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皮内注射一针成丘</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方仪娟</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建筑识图——正等轴测图</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8字包扎法</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徐李青</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复方硫磺洗剂的制备</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金国红</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体温的测量</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吴怡娜</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心肺复苏术</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王婷</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鼓励奖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放飞沟通的纸飞机——如何与家长交流</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赵静</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鼓励奖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落实信用证——催证、审证、改证</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金小燕</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鼓励奖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怒放的生命</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周丹</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鼓励奖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课例</w:t>
            </w: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如意金箍棒——直线的方程</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魏佳</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Different People Different Answers</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陈燕英</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静脉输液法---一针见血</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朱丹莉</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建筑施工安全体验</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8字包扎法</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徐李青</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楷体" w:hAnsi="楷体" w:eastAsia="楷体" w:cs="楷体"/>
                <w:kern w:val="0"/>
                <w:szCs w:val="21"/>
              </w:rPr>
            </w:pPr>
          </w:p>
        </w:tc>
        <w:tc>
          <w:tcPr>
            <w:tcW w:w="405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放飞沟通的纸飞机</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赵静</w:t>
            </w:r>
          </w:p>
        </w:tc>
        <w:tc>
          <w:tcPr>
            <w:tcW w:w="16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鼓励奖</w:t>
            </w:r>
          </w:p>
        </w:tc>
      </w:tr>
    </w:tbl>
    <w:tbl>
      <w:tblPr>
        <w:tblStyle w:val="17"/>
        <w:tblpPr w:leftFromText="180" w:rightFromText="180" w:vertAnchor="text" w:horzAnchor="page" w:tblpX="1989" w:tblpY="45"/>
        <w:tblOverlap w:val="never"/>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3584"/>
        <w:gridCol w:w="1677"/>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gridSpan w:val="4"/>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ab/>
            </w:r>
            <w:r>
              <w:rPr>
                <w:rFonts w:hint="eastAsia" w:ascii="楷体" w:hAnsi="楷体" w:eastAsia="楷体" w:cs="楷体"/>
                <w:b/>
                <w:bCs/>
                <w:kern w:val="0"/>
                <w:szCs w:val="21"/>
              </w:rPr>
              <w:t>2020年度萧山区第二十三届教师教学软件评选活动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项目</w:t>
            </w:r>
          </w:p>
        </w:tc>
        <w:tc>
          <w:tcPr>
            <w:tcW w:w="3584"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作品名称</w:t>
            </w:r>
          </w:p>
        </w:tc>
        <w:tc>
          <w:tcPr>
            <w:tcW w:w="1677"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参赛教师</w:t>
            </w:r>
          </w:p>
        </w:tc>
        <w:tc>
          <w:tcPr>
            <w:tcW w:w="1719"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微课</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血压测量法</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汪洁</w:t>
            </w:r>
          </w:p>
        </w:tc>
        <w:tc>
          <w:tcPr>
            <w:tcW w:w="17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信息化课例</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建筑施工安全体验</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c>
          <w:tcPr>
            <w:tcW w:w="17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微课</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oh-ooh,my cell phone is broken</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黄莉捷、裘丽芳</w:t>
            </w:r>
          </w:p>
        </w:tc>
        <w:tc>
          <w:tcPr>
            <w:tcW w:w="17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微课</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移液管的使用</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李佳</w:t>
            </w:r>
          </w:p>
        </w:tc>
        <w:tc>
          <w:tcPr>
            <w:tcW w:w="17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信息化课例</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皮内注射</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方仪娟、钱利萍、施佳丽</w:t>
            </w:r>
          </w:p>
        </w:tc>
        <w:tc>
          <w:tcPr>
            <w:tcW w:w="17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微课</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落实信用证催证审证改证</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金小燕</w:t>
            </w:r>
          </w:p>
        </w:tc>
        <w:tc>
          <w:tcPr>
            <w:tcW w:w="17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微课</w:t>
            </w:r>
          </w:p>
        </w:tc>
        <w:tc>
          <w:tcPr>
            <w:tcW w:w="35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pets-2口试问题策略</w:t>
            </w:r>
          </w:p>
        </w:tc>
        <w:tc>
          <w:tcPr>
            <w:tcW w:w="16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郭梦霓、周莲芝、徐燕飞</w:t>
            </w:r>
          </w:p>
        </w:tc>
        <w:tc>
          <w:tcPr>
            <w:tcW w:w="17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bl>
    <w:p>
      <w:pPr>
        <w:widowControl/>
        <w:spacing w:before="156" w:beforeLines="50" w:after="156" w:afterLines="50" w:line="360" w:lineRule="auto"/>
        <w:ind w:firstLine="441" w:firstLineChars="209"/>
        <w:jc w:val="left"/>
        <w:outlineLvl w:val="2"/>
        <w:rPr>
          <w:rFonts w:ascii="宋体" w:hAnsi="宋体" w:cs="宋体"/>
          <w:b/>
          <w:bCs/>
          <w:szCs w:val="21"/>
        </w:rPr>
      </w:pPr>
      <w:r>
        <w:rPr>
          <w:rFonts w:hint="eastAsia" w:ascii="宋体" w:hAnsi="宋体" w:cs="宋体"/>
          <w:b/>
          <w:bCs/>
          <w:szCs w:val="21"/>
        </w:rPr>
        <w:t>3.2.7开发校本教材，提升专业与学科建设内涵</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学校积极倡导课程资源与行动导向教学相适应，优质资源日益丰富。以全校公共课、专业核心课、专业实务课程为重点，推动“理实一体、工学结合”课程建设；加大校本教材和课程网络资源建设力度，加快营造方法灵活、形式多样的学习环境建设。以校企合作开发课程为基础，开展由行业、企业参与的校本教材建设，以“教学项目” 开发为重点，更新教材结构和内容，创新教材呈现形式，完善校本教材建设、出版扶持政策，改进教材建设管理办法，评选优秀校本教材和“工作活页”等指导用书，鼓励教师积极参与校本教材建设。教师根据自己经验进行教学，课改的深入也推动了校本教材和校本课程的开发，迄今为止已开发十余本校本教材，涌现了大量优秀的校本课程，例如《Classic meets English——爱经典玩英语》、《护士礼仪与形象管理》、《养老护理基础》等密切结合专业发展，拓宽学生发展方向的选修课程。顺应信息化教学发展趋势，教师也在积极地筹备开发活页式教材、教学视频资源，在完善现有选修课程的基础上，不断开发专业拓展课程。</w:t>
      </w:r>
    </w:p>
    <w:p>
      <w:pPr>
        <w:widowControl/>
        <w:spacing w:before="156" w:beforeLines="50" w:after="156" w:afterLines="50" w:line="360" w:lineRule="auto"/>
        <w:ind w:firstLine="441" w:firstLineChars="209"/>
        <w:jc w:val="left"/>
        <w:outlineLvl w:val="2"/>
        <w:rPr>
          <w:rFonts w:ascii="宋体" w:hAnsi="宋体" w:cs="宋体"/>
          <w:b/>
          <w:bCs/>
          <w:szCs w:val="21"/>
        </w:rPr>
      </w:pPr>
      <w:r>
        <w:rPr>
          <w:rFonts w:hint="eastAsia" w:ascii="宋体" w:hAnsi="宋体" w:cs="宋体"/>
          <w:b/>
          <w:bCs/>
          <w:szCs w:val="21"/>
        </w:rPr>
        <w:t>3.2.8应对疫情影响，国际化办学不停步</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 xml:space="preserve">国际化已是职业教育发展的必然趋势，教育是“一带一路”倡议中经济建设的重要支撑，推进“一带一路”沿线地区产教协同，成为职业教育发展的重要追求。为了提高学校办学的国际化，培养学生国际沟通和合作能力，学校深入参与到全球化职业教育项目合作中。 </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自2018年开始，学校进一步拓展合作方式，探索国际办学合作，与AICC澳洲国际职业教育中心联合办学，为学生打造一条前往澳洲的国际生涯通道。学校沈同学以较高的雅思成绩，到澳洲入学。2019年6月，在开展中澳合作的基础上，学校为学生提供了韩国、泰国等其他留学途径，在秋季招生中，共有14位同学选择国际化方向，被我校录取。2019年12月，萧山四职、加拿大北极光学院、澳洲国际职业教育中心三方签约，开展学生国际化教育合作，逐步引入国际课程标准，拓宽职业教育发展的国际化视域,为学生提供更多发展机会。2020年，学校继续聘请外教进行全英文教学，开设选择性课程、社团、足球教学，从中提升学生英语口语表达能力，并于2020年下半年，组织相关学生开展韩语口语教学，为学生赴澳、韩、加拿大三国进修学习提供帮助。</w:t>
      </w:r>
    </w:p>
    <w:p>
      <w:pPr>
        <w:pStyle w:val="3"/>
        <w:spacing w:before="156" w:beforeLines="50" w:after="156" w:afterLines="50"/>
        <w:ind w:firstLine="602"/>
        <w:rPr>
          <w:rFonts w:ascii="黑体" w:hAnsi="黑体" w:eastAsia="黑体" w:cs="黑体"/>
        </w:rPr>
      </w:pPr>
      <w:bookmarkStart w:id="16" w:name="_Toc26193"/>
      <w:r>
        <w:rPr>
          <w:rFonts w:hint="eastAsia" w:ascii="黑体" w:hAnsi="黑体" w:eastAsia="黑体" w:cs="黑体"/>
        </w:rPr>
        <w:t>3.3教师培养培训</w:t>
      </w:r>
      <w:bookmarkEnd w:id="16"/>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2020年度我校师资培训进展顺利，采用线上和线下结合的方式，成效良好，教师业务能力得到进一步提升。其中省平台自主选课171人次，参加省级培训11人次，区级培训3人次，校本培训1272人次。省级培训为：语文专业2020年浙江省单独考试招生文化考试评卷—语文，德育专业思政课改三期，建筑专业建筑工程识图职业技能等级证书师资培训中级班和1+X建筑信息模型(BIM)职业技能等级证书培训。外贸专业财经商贸类（电子商务、国际商务）职业院校优秀青年教师跟岗访学。区级培训为：萧山区教育系统2020年度财务人员培训和“创新实验室应用与研究”课题负责人培训班。65人次参加90学时以上的集中培训，56人次参加短学时培训。每位教师根据自己的专业、学分管理等要求合理选课，不断充电，提高自己的教育教学水平。2020年我校开展中职教师教育教学质量提升与教师成长专题培训，邀请专家讲座，老师们认真学习，获益匪浅，取得了较好的培训效果。</w:t>
      </w:r>
    </w:p>
    <w:p>
      <w:pPr>
        <w:pStyle w:val="3"/>
        <w:spacing w:before="156" w:beforeLines="50" w:after="156" w:afterLines="50"/>
        <w:ind w:firstLine="602"/>
        <w:rPr>
          <w:rFonts w:ascii="黑体" w:hAnsi="黑体" w:eastAsia="黑体" w:cs="黑体"/>
        </w:rPr>
      </w:pPr>
      <w:bookmarkStart w:id="17" w:name="_Toc27792"/>
      <w:r>
        <w:rPr>
          <w:rFonts w:hint="eastAsia" w:ascii="黑体" w:hAnsi="黑体" w:eastAsia="黑体" w:cs="黑体"/>
        </w:rPr>
        <w:t>3.4 规范管理情况</w:t>
      </w:r>
      <w:bookmarkEnd w:id="17"/>
    </w:p>
    <w:p>
      <w:pPr>
        <w:spacing w:before="156" w:beforeLines="50" w:after="156" w:afterLines="50" w:line="360" w:lineRule="auto"/>
        <w:ind w:firstLine="422" w:firstLineChars="200"/>
        <w:outlineLvl w:val="2"/>
        <w:rPr>
          <w:rFonts w:ascii="宋体" w:hAnsi="宋体" w:cs="宋体"/>
          <w:b/>
          <w:bCs/>
          <w:color w:val="000000"/>
          <w:szCs w:val="21"/>
        </w:rPr>
      </w:pPr>
      <w:r>
        <w:rPr>
          <w:rFonts w:hint="eastAsia" w:ascii="宋体" w:hAnsi="宋体" w:cs="宋体"/>
          <w:b/>
          <w:bCs/>
          <w:color w:val="000000"/>
          <w:szCs w:val="21"/>
        </w:rPr>
        <w:t>3.4.1  教学管理</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落实教学常规，抓好教研组建设</w:t>
      </w:r>
    </w:p>
    <w:p>
      <w:pPr>
        <w:spacing w:before="156" w:beforeLines="50" w:after="156" w:afterLines="50" w:line="360" w:lineRule="auto"/>
        <w:ind w:firstLine="420" w:firstLineChars="200"/>
        <w:rPr>
          <w:rFonts w:ascii="宋体" w:hAnsi="宋体" w:cs="宋体"/>
          <w:color w:val="000000"/>
          <w:szCs w:val="21"/>
        </w:rPr>
      </w:pPr>
      <w:r>
        <w:rPr>
          <w:rFonts w:hint="eastAsia" w:ascii="宋体" w:hAnsi="宋体" w:cs="宋体"/>
          <w:szCs w:val="21"/>
        </w:rPr>
        <w:t>学校推行教师早、晚自修，下班辅导记录与管理、常规检查、推门听课、优秀备课本学习等措施，</w:t>
      </w:r>
      <w:r>
        <w:rPr>
          <w:rFonts w:hint="eastAsia" w:ascii="宋体" w:hAnsi="宋体" w:cs="宋体"/>
          <w:color w:val="000000"/>
          <w:szCs w:val="21"/>
        </w:rPr>
        <w:t>完善备课本检查机制和公开课制度，</w:t>
      </w:r>
      <w:r>
        <w:rPr>
          <w:rFonts w:hint="eastAsia" w:ascii="宋体" w:hAnsi="宋体" w:cs="宋体"/>
          <w:szCs w:val="21"/>
        </w:rPr>
        <w:t>在常规中引入创新，改进细节，以保证教学秩序的稳定和课堂教学的常态落实。</w:t>
      </w:r>
      <w:r>
        <w:rPr>
          <w:rFonts w:hint="eastAsia" w:ascii="宋体" w:hAnsi="宋体" w:cs="宋体"/>
          <w:color w:val="000000"/>
          <w:szCs w:val="21"/>
        </w:rPr>
        <w:t>教学管理人员加强管理理念的学习，努力提高自身管理水平和业务水平，力求用先进的理论指导教学管理，规范教育秩序，提高教学管理的科学性。</w:t>
      </w:r>
    </w:p>
    <w:p>
      <w:pPr>
        <w:spacing w:before="156" w:beforeLines="50" w:after="156" w:afterLines="50" w:line="360" w:lineRule="auto"/>
        <w:ind w:firstLine="420" w:firstLineChars="200"/>
        <w:rPr>
          <w:rFonts w:ascii="宋体" w:hAnsi="宋体" w:cs="宋体"/>
          <w:color w:val="000000"/>
          <w:szCs w:val="21"/>
        </w:rPr>
      </w:pPr>
      <w:r>
        <w:rPr>
          <w:rFonts w:hint="eastAsia" w:ascii="宋体" w:hAnsi="宋体" w:cs="宋体"/>
          <w:color w:val="000000"/>
          <w:szCs w:val="21"/>
        </w:rPr>
        <w:t xml:space="preserve">强化教研组工作的“过程”管理，是学科组建设的重中之重。学校教学线坚持每月一次的教研组长会议，检查各教研组计划的落实情况，并对各教研组工作过程和工作状态，以及各任课教师的工作常规进行检查；利用信息技术平台，如QQ群等方式讨论研究带有普遍性或倾向性的教学问题，交流和探讨各教研组教学经验或问题，以达到各教研组互相交流、相互促进，共同提高之目的。 </w:t>
      </w:r>
    </w:p>
    <w:p>
      <w:pPr>
        <w:spacing w:before="156" w:beforeLines="50" w:after="156" w:afterLines="50" w:line="360" w:lineRule="auto"/>
        <w:ind w:firstLine="480"/>
        <w:jc w:val="center"/>
        <w:rPr>
          <w:rFonts w:ascii="宋体" w:hAnsi="宋体" w:cs="宋体"/>
          <w:color w:val="000000"/>
          <w:szCs w:val="21"/>
        </w:rPr>
      </w:pPr>
      <w:r>
        <w:rPr>
          <w:rFonts w:hint="eastAsia" w:ascii="楷体" w:hAnsi="楷体" w:eastAsia="楷体" w:cs="楷体"/>
          <w:b/>
          <w:szCs w:val="21"/>
        </w:rPr>
        <w:t>表十三 2020年教师竞赛获奖</w:t>
      </w:r>
    </w:p>
    <w:tbl>
      <w:tblPr>
        <w:tblStyle w:val="17"/>
        <w:tblpPr w:leftFromText="180" w:rightFromText="180" w:vertAnchor="text" w:horzAnchor="page" w:tblpXSpec="center" w:tblpY="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2020杭州市中职数学学科优秀高职模拟试卷评比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李晓虹</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b/>
                <w:bCs/>
                <w:kern w:val="0"/>
                <w:szCs w:val="21"/>
              </w:rPr>
              <w:t>2020年杭州市中职师生职业能力大赛（教师部分）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Python“程序设计”</w:t>
            </w:r>
          </w:p>
        </w:tc>
        <w:tc>
          <w:tcPr>
            <w:tcW w:w="213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邬锦锦</w:t>
            </w:r>
          </w:p>
        </w:tc>
        <w:tc>
          <w:tcPr>
            <w:tcW w:w="426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CPR、论文、微课</w:t>
            </w:r>
          </w:p>
        </w:tc>
        <w:tc>
          <w:tcPr>
            <w:tcW w:w="213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方仪娟</w:t>
            </w:r>
          </w:p>
        </w:tc>
        <w:tc>
          <w:tcPr>
            <w:tcW w:w="426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吴怡娜</w:t>
            </w:r>
          </w:p>
        </w:tc>
        <w:tc>
          <w:tcPr>
            <w:tcW w:w="426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徐佳丹</w:t>
            </w:r>
          </w:p>
        </w:tc>
        <w:tc>
          <w:tcPr>
            <w:tcW w:w="426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化工分析</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田佳晨</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许吕江</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英语技能</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裘丽芳</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BIM</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周飞飞</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戚丹鸿</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丛艳红</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b/>
                <w:bCs/>
                <w:kern w:val="0"/>
                <w:szCs w:val="21"/>
              </w:rPr>
              <w:t>2020年萧山计算机学科（专业）课教师课堂教学比赛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邬锦锦</w:t>
            </w:r>
          </w:p>
        </w:tc>
        <w:tc>
          <w:tcPr>
            <w:tcW w:w="426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b/>
                <w:bCs/>
                <w:kern w:val="0"/>
                <w:szCs w:val="21"/>
              </w:rPr>
              <w:t>2020年萧山区建筑专业课教师课堂教学比赛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c>
          <w:tcPr>
            <w:tcW w:w="426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 xml:space="preserve">俞蕾   </w:t>
            </w:r>
          </w:p>
        </w:tc>
        <w:tc>
          <w:tcPr>
            <w:tcW w:w="4261" w:type="dxa"/>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周飞飞</w:t>
            </w:r>
          </w:p>
        </w:tc>
        <w:tc>
          <w:tcPr>
            <w:tcW w:w="42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gridSpan w:val="2"/>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宋体" w:hAnsi="宋体" w:cs="宋体"/>
                <w:kern w:val="0"/>
                <w:szCs w:val="21"/>
              </w:rPr>
            </w:pPr>
            <w:r>
              <w:rPr>
                <w:rFonts w:hint="eastAsia" w:ascii="楷体" w:hAnsi="楷体" w:eastAsia="楷体" w:cs="楷体"/>
                <w:kern w:val="0"/>
                <w:szCs w:val="21"/>
              </w:rPr>
              <w:t>丁一</w:t>
            </w:r>
          </w:p>
        </w:tc>
        <w:tc>
          <w:tcPr>
            <w:tcW w:w="4261" w:type="dxa"/>
            <w:vMerge w:val="continue"/>
            <w:tcBorders>
              <w:top w:val="single" w:color="auto" w:sz="4" w:space="0"/>
              <w:left w:val="single" w:color="auto" w:sz="4" w:space="0"/>
              <w:bottom w:val="single" w:color="auto" w:sz="4" w:space="0"/>
              <w:right w:val="single" w:color="auto" w:sz="4" w:space="0"/>
            </w:tcBorders>
            <w:shd w:val="clear" w:color="auto" w:fill="FFFFFF"/>
          </w:tcPr>
          <w:p>
            <w:pPr>
              <w:spacing w:before="156" w:beforeLines="50" w:after="156" w:afterLines="50" w:line="360" w:lineRule="auto"/>
              <w:jc w:val="center"/>
              <w:rPr>
                <w:rFonts w:ascii="宋体" w:hAnsi="宋体" w:cs="宋体"/>
                <w:kern w:val="0"/>
                <w:szCs w:val="21"/>
              </w:rPr>
            </w:pPr>
          </w:p>
        </w:tc>
      </w:tr>
    </w:tbl>
    <w:p>
      <w:pPr>
        <w:spacing w:before="156" w:beforeLines="50" w:after="156" w:afterLines="50" w:line="360" w:lineRule="auto"/>
        <w:ind w:firstLine="420" w:firstLineChars="200"/>
        <w:rPr>
          <w:rFonts w:ascii="宋体" w:hAnsi="宋体" w:cs="宋体"/>
          <w:color w:val="000000"/>
          <w:szCs w:val="21"/>
        </w:rPr>
      </w:pPr>
      <w:r>
        <w:rPr>
          <w:rFonts w:hint="eastAsia" w:ascii="宋体" w:hAnsi="宋体" w:cs="宋体"/>
          <w:color w:val="000000"/>
          <w:szCs w:val="21"/>
        </w:rPr>
        <w:t>继续推出校级公开课，进一步提高公开课及评课的质量。本年度继续推出校级公开课，加强集体备课、说课等工作。11月份，学校开展了青禾团青年骨干教师观摩课的活动。12名青年教师以有效教学为主题，常态课为形式，探究日常课堂中的教学流程，提升教学效率，做到言之有物；教学线积极组织教师进行教学交流，开展教研共同体的活动。6月17日下午，萧山四职青禾团开展了《公开课的那些事儿》聊课活动。活动中，青禾团成员围绕“公开课我最害怕的情况和我最欣赏的优秀公开课元素”展开沙龙对话，并在导师的指导下解析公开课的优秀要素。学校鼓励有意向的、有能力的教师积极参加萧山区杭州市职教中心组织的各类教研活动、教师的竞赛等活动，成绩不菲。详见表十三。</w:t>
      </w:r>
    </w:p>
    <w:p>
      <w:pPr>
        <w:spacing w:before="156" w:beforeLines="50" w:after="156" w:afterLines="50" w:line="360" w:lineRule="auto"/>
        <w:ind w:firstLine="422" w:firstLineChars="200"/>
        <w:rPr>
          <w:rFonts w:ascii="宋体" w:hAnsi="宋体" w:cs="宋体"/>
          <w:b/>
          <w:bCs/>
          <w:color w:val="000000"/>
          <w:szCs w:val="21"/>
        </w:rPr>
      </w:pPr>
      <w:r>
        <w:rPr>
          <w:rFonts w:hint="eastAsia" w:ascii="宋体" w:hAnsi="宋体" w:cs="宋体"/>
          <w:b/>
          <w:bCs/>
          <w:color w:val="000000"/>
          <w:szCs w:val="21"/>
        </w:rPr>
        <w:t>推行证书试点，促进人才培养</w:t>
      </w:r>
    </w:p>
    <w:p>
      <w:pPr>
        <w:numPr>
          <w:ilvl w:val="255"/>
          <w:numId w:val="0"/>
        </w:numPr>
        <w:spacing w:before="156" w:beforeLines="50" w:after="156" w:afterLines="50" w:line="360" w:lineRule="auto"/>
        <w:ind w:firstLine="420"/>
        <w:rPr>
          <w:rFonts w:ascii="宋体" w:hAnsi="宋体" w:cs="宋体"/>
          <w:szCs w:val="21"/>
        </w:rPr>
      </w:pPr>
      <w:r>
        <w:rPr>
          <w:rFonts w:hint="eastAsia" w:ascii="宋体" w:hAnsi="宋体" w:cs="宋体"/>
          <w:color w:val="000000"/>
          <w:szCs w:val="21"/>
        </w:rPr>
        <w:t>推动学业成绩与职业资格考试、职业技能鉴定、职业技能竞赛等有机挂钩，引入1+X证书制度试点工作，鼓励学生积极参加职业技能鉴定和职业技能竞赛。2020年，</w:t>
      </w:r>
      <w:r>
        <w:rPr>
          <w:rFonts w:hint="eastAsia" w:ascii="宋体" w:hAnsi="宋体" w:cs="宋体"/>
          <w:color w:val="000000"/>
          <w:kern w:val="0"/>
          <w:szCs w:val="21"/>
        </w:rPr>
        <w:t>护理专业养老护理方向实施“1+X证书制度”试点工作。</w:t>
      </w:r>
      <w:r>
        <w:rPr>
          <w:rFonts w:hint="eastAsia" w:ascii="宋体" w:hAnsi="宋体" w:cs="宋体"/>
          <w:szCs w:val="21"/>
        </w:rPr>
        <w:t>在建筑专业启动建筑识图和BIM“1+X”证书制度试点工作。</w:t>
      </w:r>
      <w:r>
        <w:rPr>
          <w:rFonts w:hint="eastAsia" w:ascii="宋体" w:hAnsi="宋体" w:cs="宋体"/>
          <w:color w:val="000000"/>
          <w:szCs w:val="21"/>
        </w:rPr>
        <w:t>教学项目实施评价等内容的教学评价体系，为教师教学能力的提升提供数据支撑，同时，学校还认真听取校企合作单位、企业院校等机构的意见和建议，共拟人才培养方案，改进质量评价制度，将毕业生就业率、企业满意度、就业创业成效等作为衡量学生人才培养的重要指</w:t>
      </w:r>
      <w:r>
        <w:rPr>
          <w:rFonts w:hint="eastAsia" w:ascii="宋体" w:hAnsi="宋体" w:cs="宋体"/>
          <w:szCs w:val="21"/>
        </w:rPr>
        <w:t>标。5月28日，学校与浙江东南网架股份有限公司开展2019年校企合作总结会暨2020年工作推进研讨会。双方就基地共建、人才培养、校企研发项目合作等合作事宜进行了深入交流并达成共识。6月，在杭州市职成教研究室洪彬彬副主任和林海燕教研员的带领下，萧山四职与协会会长徐佳增先生、协会副会长兼常务副秘书长周微女士等人员进行了关于养老护理人才培养的校企合作深入的探讨和交流，为下一步共建校企交流等系列合作育人计划奠定了基础。10月，萧山四职参加1+X证书制度改革论坛暨护理专业群建设工作研讨会，本次会议集教育行政、行业、学校、企业等多元共同参与，从不同的角度就推进1+X证书制度改革和护理专业群建设进行深入探讨。</w:t>
      </w:r>
    </w:p>
    <w:p>
      <w:pPr>
        <w:widowControl/>
        <w:spacing w:before="156" w:beforeLines="50" w:after="156" w:afterLines="50"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重视过程管理，提升升学质量</w:t>
      </w:r>
    </w:p>
    <w:p>
      <w:pPr>
        <w:pStyle w:val="8"/>
        <w:spacing w:before="156" w:beforeLines="50" w:after="156" w:afterLines="50" w:line="360" w:lineRule="auto"/>
        <w:ind w:firstLine="373" w:firstLineChars="178"/>
        <w:rPr>
          <w:rFonts w:hAnsi="宋体" w:cs="宋体"/>
          <w:color w:val="000000"/>
        </w:rPr>
      </w:pPr>
      <w:r>
        <w:rPr>
          <w:rFonts w:hint="eastAsia" w:hAnsi="宋体" w:cs="宋体"/>
          <w:color w:val="000000"/>
        </w:rPr>
        <w:t>高三教学是学校工作重心。针对高职考的改革加强研究，聚焦课堂，关注细节，注重基础，完善各阶段性质量监测数据的精细分析，及时反馈和查漏补缺；开展以班级为单位的跨学科高三教师研讨活动，加强高职考试课堂教学常规研究，加强专业的技能高考实施策略的研究，提升教学实效，提高教学效率；学校通过百日誓师、高考动员大会等形式提升学生士气和斗志。12月份，2021届考生和班主任共同出席了萧山四职高考师生动员大会，解决迎考困惑，直击学习难点痛点，为考出好成绩、考上理想大学努力；学校还积极邀请区教研员开展高三教学调研，在萧山区教研室的调研指导下，学校两次开展“研以促教”日常教学诊断调研活动，通过听课、评课等方式，促进高三课堂教学，助推二十余名教师提升教学实效，推进教学质量改革。</w:t>
      </w:r>
    </w:p>
    <w:p>
      <w:pPr>
        <w:spacing w:before="156" w:beforeLines="50" w:after="156" w:afterLines="50" w:line="360" w:lineRule="auto"/>
        <w:ind w:firstLine="420"/>
        <w:rPr>
          <w:rFonts w:ascii="宋体" w:hAnsi="宋体" w:cs="宋体"/>
          <w:color w:val="000000"/>
          <w:szCs w:val="21"/>
        </w:rPr>
      </w:pPr>
      <w:r>
        <w:rPr>
          <w:rFonts w:hint="eastAsia" w:ascii="宋体" w:hAnsi="宋体" w:cs="宋体"/>
          <w:color w:val="000000"/>
          <w:szCs w:val="21"/>
        </w:rPr>
        <w:t>2020高考再创佳绩：参加高考477人，上线464人，上线率97.3%。本科上线41人，其中护理34人，建筑5人，体育2人。以上同学被杭州医学院、浙江海洋大学、温州医科大学、浙江中医药大学、绍兴文理学院、浙江理工大学、浙江科技学院、洛阳师范学院等本科院校录取。</w:t>
      </w:r>
    </w:p>
    <w:p>
      <w:pPr>
        <w:pStyle w:val="15"/>
        <w:shd w:val="clear" w:color="auto" w:fill="FFFFFF"/>
        <w:spacing w:before="156" w:beforeLines="50" w:beforeAutospacing="0" w:after="156" w:afterLines="50" w:afterAutospacing="0" w:line="360" w:lineRule="auto"/>
        <w:ind w:firstLine="422" w:firstLineChars="200"/>
        <w:rPr>
          <w:b/>
          <w:bCs/>
          <w:color w:val="C00000"/>
          <w:sz w:val="21"/>
          <w:szCs w:val="21"/>
          <w:shd w:val="clear" w:color="auto" w:fill="FFFFFF"/>
        </w:rPr>
      </w:pPr>
      <w:r>
        <w:rPr>
          <w:rFonts w:hint="eastAsia"/>
          <w:b/>
          <w:bCs/>
          <w:color w:val="111111"/>
          <w:sz w:val="21"/>
          <w:szCs w:val="21"/>
          <w:shd w:val="clear" w:color="auto" w:fill="FFFFFF"/>
        </w:rPr>
        <w:t>改进过程管理，确保技能竞赛成绩</w:t>
      </w:r>
    </w:p>
    <w:p>
      <w:pPr>
        <w:pStyle w:val="15"/>
        <w:shd w:val="clear" w:color="auto" w:fill="FFFFFF"/>
        <w:spacing w:before="156" w:beforeLines="50" w:beforeAutospacing="0" w:after="156" w:afterLines="50" w:afterAutospacing="0" w:line="360" w:lineRule="auto"/>
        <w:ind w:firstLine="420" w:firstLineChars="200"/>
        <w:rPr>
          <w:color w:val="000000"/>
          <w:sz w:val="21"/>
          <w:szCs w:val="21"/>
        </w:rPr>
      </w:pPr>
      <w:r>
        <w:rPr>
          <w:rFonts w:hint="eastAsia"/>
          <w:color w:val="000000"/>
          <w:sz w:val="21"/>
          <w:szCs w:val="21"/>
        </w:rPr>
        <w:t>学校积极探索技能竞赛指导团队文化建设，优化特长生、竞赛生选拔机制。专业教师积极通过宣传、动员、选拔，做好特长生组队工作，促进培养机制建设，提高日常训练管理实效。2020年，学校继续落实职业宣传周活动，开展英语配音、数学、语文演讲等校级公共课技能比赛，书画、建模、足球队等文体素养比赛、CAD、测量、药剂等多种专业比赛，学生反响热烈。落实校级比赛，落实日常训练，2020年的区、市技能学生竞赛也取得了不错的成绩。</w:t>
      </w:r>
    </w:p>
    <w:p>
      <w:pPr>
        <w:spacing w:before="156" w:beforeLines="50" w:after="156" w:afterLines="50" w:line="360" w:lineRule="auto"/>
        <w:jc w:val="center"/>
        <w:rPr>
          <w:rFonts w:ascii="楷体" w:hAnsi="楷体" w:eastAsia="楷体" w:cs="楷体"/>
          <w:b/>
          <w:bCs/>
          <w:szCs w:val="21"/>
        </w:rPr>
      </w:pPr>
      <w:r>
        <w:rPr>
          <w:rFonts w:hint="eastAsia" w:ascii="楷体" w:hAnsi="楷体" w:eastAsia="楷体" w:cs="楷体"/>
          <w:b/>
          <w:bCs/>
          <w:szCs w:val="21"/>
        </w:rPr>
        <w:t>表十四 2019、2020年学生参加区级以上技能竞赛获奖情况一览</w:t>
      </w:r>
    </w:p>
    <w:tbl>
      <w:tblPr>
        <w:tblStyle w:val="16"/>
        <w:tblpPr w:leftFromText="180" w:rightFromText="180" w:vertAnchor="text" w:horzAnchor="margin" w:tblpXSpec="center" w:tblpY="193"/>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247"/>
        <w:gridCol w:w="1251"/>
        <w:gridCol w:w="1247"/>
        <w:gridCol w:w="1251"/>
        <w:gridCol w:w="124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级别</w:t>
            </w:r>
          </w:p>
        </w:tc>
        <w:tc>
          <w:tcPr>
            <w:tcW w:w="24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24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23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2019</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全国</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w:t>
            </w:r>
          </w:p>
        </w:tc>
        <w:tc>
          <w:tcPr>
            <w:tcW w:w="1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省级</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w:t>
            </w:r>
          </w:p>
        </w:tc>
        <w:tc>
          <w:tcPr>
            <w:tcW w:w="1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0</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hint="eastAsia" w:ascii="楷体" w:hAnsi="楷体" w:eastAsia="楷体" w:cs="楷体"/>
                <w:kern w:val="0"/>
                <w:szCs w:val="21"/>
                <w:lang w:eastAsia="zh-CN"/>
              </w:rPr>
            </w:pPr>
            <w:r>
              <w:rPr>
                <w:rFonts w:hint="eastAsia" w:ascii="楷体" w:hAnsi="楷体" w:eastAsia="楷体" w:cs="楷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市级</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w:t>
            </w:r>
          </w:p>
        </w:tc>
        <w:tc>
          <w:tcPr>
            <w:tcW w:w="1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14</w:t>
            </w:r>
          </w:p>
        </w:tc>
        <w:tc>
          <w:tcPr>
            <w:tcW w:w="1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12</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区级</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w:t>
            </w:r>
          </w:p>
        </w:tc>
        <w:tc>
          <w:tcPr>
            <w:tcW w:w="1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w:t>
            </w:r>
          </w:p>
        </w:tc>
        <w:tc>
          <w:tcPr>
            <w:tcW w:w="1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w:t>
            </w:r>
          </w:p>
        </w:tc>
        <w:tc>
          <w:tcPr>
            <w:tcW w:w="12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w:t>
            </w:r>
          </w:p>
        </w:tc>
        <w:tc>
          <w:tcPr>
            <w:tcW w:w="114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23</w:t>
            </w:r>
          </w:p>
        </w:tc>
      </w:tr>
    </w:tbl>
    <w:p>
      <w:pPr>
        <w:spacing w:before="156" w:beforeLines="50" w:after="156" w:afterLines="50" w:line="360" w:lineRule="auto"/>
        <w:jc w:val="center"/>
        <w:rPr>
          <w:rFonts w:ascii="楷体" w:hAnsi="楷体" w:eastAsia="楷体" w:cs="楷体"/>
          <w:b/>
          <w:bCs/>
          <w:szCs w:val="21"/>
        </w:rPr>
      </w:pPr>
    </w:p>
    <w:p>
      <w:pPr>
        <w:spacing w:before="156" w:beforeLines="50" w:after="156" w:afterLines="50" w:line="360" w:lineRule="auto"/>
        <w:jc w:val="center"/>
        <w:rPr>
          <w:rFonts w:ascii="楷体" w:hAnsi="楷体" w:eastAsia="楷体" w:cs="楷体"/>
          <w:b/>
          <w:bCs/>
          <w:szCs w:val="21"/>
        </w:rPr>
      </w:pPr>
    </w:p>
    <w:tbl>
      <w:tblPr>
        <w:tblStyle w:val="17"/>
        <w:tblpPr w:leftFromText="180" w:rightFromText="180" w:vertAnchor="text" w:horzAnchor="page" w:tblpX="1795" w:tblpY="739"/>
        <w:tblOverlap w:val="never"/>
        <w:tblW w:w="8525"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108"/>
        <w:gridCol w:w="1910"/>
        <w:gridCol w:w="170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b/>
                <w:bCs/>
                <w:kern w:val="0"/>
                <w:szCs w:val="21"/>
              </w:rPr>
              <w:t>2020学年杭州市中等职业学校师生职业能力大赛（学生）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专业</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竞赛项目</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参赛人员</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奖次</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机械</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3D打印</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寿怡宽</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建筑</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测量</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周游、陈涛、董可楠、缪杨锋</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俞成龙、王继旭、高沈阳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吕嘉浩、施振楠、李鑫一、李泽远</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CAD</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吴易帆、龚孙凯</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周嫣妮、丛艳红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徐佳凯、许新涛</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丛艳红、周柏妹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化工生产技术</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徐毅杰，钱华娟，王翰林</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宋秀娟、张峰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化工分析与检验</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王鑫奕</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孔文华、张峰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郭熠卓</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来晨彬</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外贸</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国际贸易综合能力</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姜可儿、徐伊俐、王梦想</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蔡月娅、金小燕、高莹莹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陈婷婷、王铱乐、柏新雨</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before="156" w:beforeLines="50" w:beforeAutospacing="0" w:after="156" w:afterLines="50" w:afterAutospacing="0" w:line="360" w:lineRule="auto"/>
              <w:jc w:val="center"/>
              <w:rPr>
                <w:rFonts w:ascii="楷体" w:hAnsi="楷体" w:eastAsia="楷体" w:cs="楷体"/>
                <w:color w:val="FFFFFF"/>
                <w:sz w:val="21"/>
                <w:szCs w:val="21"/>
              </w:rPr>
            </w:pPr>
            <w:r>
              <w:rPr>
                <w:rFonts w:hint="eastAsia" w:ascii="楷体" w:hAnsi="楷体" w:eastAsia="楷体" w:cs="楷体"/>
                <w:b/>
                <w:bCs/>
                <w:kern w:val="2"/>
                <w:sz w:val="21"/>
                <w:szCs w:val="21"/>
              </w:rPr>
              <w:t>2020学年萧山区中等职业学校师生职业能力大赛（学生）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专业</w:t>
            </w:r>
          </w:p>
        </w:tc>
        <w:tc>
          <w:tcPr>
            <w:tcW w:w="21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竞赛项目</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参赛人员</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奖次</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56" w:beforeLines="50" w:after="156" w:afterLines="50" w:line="360" w:lineRule="auto"/>
              <w:jc w:val="center"/>
              <w:textAlignment w:val="center"/>
              <w:rPr>
                <w:rFonts w:ascii="楷体" w:hAnsi="楷体" w:eastAsia="楷体" w:cs="楷体"/>
                <w:b/>
                <w:bCs/>
                <w:color w:val="000000"/>
                <w:szCs w:val="21"/>
              </w:rPr>
            </w:pPr>
            <w:r>
              <w:rPr>
                <w:rFonts w:hint="eastAsia" w:ascii="楷体" w:hAnsi="楷体" w:eastAsia="楷体" w:cs="楷体"/>
                <w:b/>
                <w:bCs/>
                <w:color w:val="000000"/>
                <w:kern w:val="0"/>
                <w:szCs w:val="21"/>
                <w:lang w:bidi="ar"/>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公共学科</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职业英语技能</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施鸥纳、许欣悦</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郜旭颖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洪圳楠、项佳怡</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李红、陈燕英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高升艺、龚嘉祺</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俞丽萍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数学应用</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柯龙羽</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宓益峰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高胜娜</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孙健、蒋红萍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王梦姿</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倪福来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创新</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网络虚拟创业</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朱明威  徐梓棋  凌成达</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潘晓科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杨雷、丁琪琪</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外贸</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国际贸易职业能力</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姜可儿、徐伊俐、王梦想</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蔡月娅、金小燕、高莹莹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陈婷婷、王铱乐、柏新雨</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建筑</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工程测量（24）</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周游、陈涛、董可楠、缪杨锋</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王继旭、俞成龙、高沈阳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吕嘉浩、施振楠、李鑫一、李泽远</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倪鹏飞、张城涛、孙泽铖、沈锦阳</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王慧斌、朱博伟、周瑜翔、戚鑫杰</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建筑CAD（5）</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吴易帆</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丛艳红，周飞飞，周嫣妮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沈杭</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王子博</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冯海森</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化工分析（10）</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王鑫奕</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孔文华、张峰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台运莱</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田如意</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郭熠卓</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李宪珂</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来晨彬</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化工生产（18）</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钱华娟、王翰林、徐毅杰</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宋秀娟、张峰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陈志垄、朱建涛、夏华健</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楼嘉耀、许晴、陈涛</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护理</w:t>
            </w: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心肺复苏术</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蒲宏</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朱丹莉、王婷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朱颖婕</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凌梦丽</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孙心如</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裘明芳</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窦苏杨</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静脉输液</w:t>
            </w: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蒲宏</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朱颖婕</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凌梦丽</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赖晨艺</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吴欣雨</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21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唐敏菲</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before="156" w:beforeLines="50" w:after="156" w:afterLines="50" w:line="360" w:lineRule="auto"/>
              <w:jc w:val="center"/>
              <w:rPr>
                <w:rFonts w:ascii="楷体" w:hAnsi="楷体" w:eastAsia="楷体" w:cs="楷体"/>
                <w:color w:val="000000"/>
                <w:szCs w:val="21"/>
              </w:rPr>
            </w:pPr>
          </w:p>
        </w:tc>
      </w:tr>
    </w:tbl>
    <w:p>
      <w:pPr>
        <w:spacing w:before="156" w:beforeLines="50" w:after="156" w:afterLines="5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2020年，萧山四职成功承办萧山区中职学校学生职业能力大赛（外贸类、化工类、建筑工程类）三项，建筑、护理两项杭州市师生职业能力大赛，取得圆满成功。值得庆贺的是，在杭州市护理专业师生职业能力大赛中，萧山四职师生竞赛团队喜获三金二银一铜，全部获奖。教师竞赛中，</w:t>
      </w:r>
      <w:r>
        <w:rPr>
          <w:rFonts w:hint="eastAsia" w:ascii="宋体" w:hAnsi="宋体" w:cs="宋体"/>
          <w:color w:val="000000"/>
          <w:szCs w:val="21"/>
        </w:rPr>
        <w:t>方仪娟，吴仪娜，徐佳丹二金一银。</w:t>
      </w:r>
      <w:r>
        <w:rPr>
          <w:rFonts w:hint="eastAsia" w:ascii="宋体" w:hAnsi="宋体" w:cs="宋体"/>
          <w:color w:val="000000"/>
          <w:kern w:val="0"/>
          <w:szCs w:val="21"/>
        </w:rPr>
        <w:t>建筑市赛团队也表现不菲。在教师组（BIM）比赛项目中，周嫣妮、周飞飞、戚丹鸿、丛艳红分别喜获金、银、铜牌；在周嫣妮、丛艳红、周柏妹老师的指导下，学生组CAD项目喜获一金一铜；王继旭，高沈阳，俞成龙老师的汗水没有白费，测量竞赛荣获二银；在杭州市外贸专业师生职业能力大赛中，蔡月娅、高莹莹、金小燕带领的市赛学生团体组分别喜获银牌、铜牌各一枚；化工专业市赛成绩优异，离不开张峰、孔文华、宋秀娟老师的辛勤付出。一金一银二铜的好成绩，化工生产技术一等奖，化工分析与检验一个二等，是学生和教师日日夜夜的辛苦付出带来的。</w:t>
      </w:r>
    </w:p>
    <w:p>
      <w:pPr>
        <w:spacing w:before="156" w:beforeLines="50" w:after="156" w:afterLines="50" w:line="360" w:lineRule="auto"/>
        <w:ind w:firstLine="420"/>
        <w:rPr>
          <w:rFonts w:ascii="宋体" w:hAnsi="宋体" w:cs="宋体"/>
          <w:color w:val="000000"/>
          <w:kern w:val="0"/>
          <w:szCs w:val="21"/>
        </w:rPr>
      </w:pPr>
      <w:r>
        <w:rPr>
          <w:rFonts w:hint="eastAsia" w:ascii="宋体" w:hAnsi="宋体" w:cs="宋体"/>
          <w:color w:val="000000"/>
          <w:kern w:val="0"/>
          <w:szCs w:val="21"/>
        </w:rPr>
        <w:t>体育的成绩更是硕果累累。在2020年浙江省青少年田径锦标赛（金华浦江）中，田径队的体育健儿们成绩突出：一名（陈海波）省第三，一名（杨婷）省第四，一名（王珏）省第七，四人达到五项二级运动员标准，两人打破三项校记录。2020浙江省中学生田径锦标赛暨省第十五届中学生运动会高中组田径比赛中，在赵寅老师的指导和体育组全体老师的帮助下，萧山四职田径队的运动健儿们取得了高中乙组团队第四名、女子团队第一名、男子团队第六名，个人比赛四金四银四铜以及若干前五的好成绩。其中，七名同学获国家二级运动员称号，刷新七项校纪录和两项区纪录。</w:t>
      </w:r>
    </w:p>
    <w:p>
      <w:pPr>
        <w:spacing w:before="156" w:beforeLines="50" w:after="156" w:afterLines="5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为加强与产业协作，提升教师的专业技能，服务社会，承担职业学校的社会职责。11月25日，萧山四职承办的萧山区护理操作技能比赛在卫校校区顺利开展。由萧山医院护理部专业人员担任评委，诸多高手云集，16名选手良好的操作水平和职业素养，赢得评委的一致好评，萧山四职护理专业教师包揽区技能比赛的一二三等奖。同年，萧山四职亦成功承办农商银行杯2020年度萧山区青年医护工作者、志愿者医疗技能比武。汪洁、毛奕婕两位青年教师双双获奖，喜获护理组第五名，志愿组第二名的佳绩。</w:t>
      </w:r>
    </w:p>
    <w:p>
      <w:pPr>
        <w:widowControl/>
        <w:spacing w:before="156" w:beforeLines="50" w:after="156" w:afterLines="50" w:line="360" w:lineRule="auto"/>
        <w:ind w:firstLine="422" w:firstLineChars="200"/>
        <w:jc w:val="left"/>
        <w:rPr>
          <w:rFonts w:ascii="宋体" w:hAnsi="宋体" w:cs="宋体"/>
          <w:b/>
          <w:bCs/>
          <w:color w:val="C00000"/>
          <w:kern w:val="0"/>
          <w:szCs w:val="21"/>
        </w:rPr>
      </w:pPr>
      <w:r>
        <w:rPr>
          <w:rFonts w:hint="eastAsia" w:ascii="宋体" w:hAnsi="宋体" w:cs="宋体"/>
          <w:b/>
          <w:bCs/>
          <w:color w:val="000000"/>
          <w:kern w:val="0"/>
          <w:szCs w:val="21"/>
        </w:rPr>
        <w:t>重视师资培养，加强成长管理</w:t>
      </w:r>
    </w:p>
    <w:p>
      <w:pPr>
        <w:pStyle w:val="15"/>
        <w:spacing w:before="156" w:beforeLines="50" w:beforeAutospacing="0" w:after="156" w:afterLines="50" w:afterAutospacing="0" w:line="360" w:lineRule="auto"/>
        <w:ind w:firstLine="420" w:firstLineChars="200"/>
        <w:jc w:val="both"/>
        <w:rPr>
          <w:color w:val="000000"/>
          <w:sz w:val="21"/>
          <w:szCs w:val="21"/>
        </w:rPr>
      </w:pPr>
      <w:r>
        <w:rPr>
          <w:rFonts w:hint="eastAsia"/>
          <w:color w:val="000000"/>
          <w:sz w:val="21"/>
          <w:szCs w:val="21"/>
        </w:rPr>
        <w:t>学校通过构建机制，搭设平台，创建青禾团，着力培养青年骨干教师，为青年教师成长创造条件。鼓励青年教师积极参与学校的课程建设、教学改革等工作，使青年教师的教研能力得到充分展现；通过教学技能竞赛，鼓励青年教师上公开课、说课比赛、技能大赛等活动，给他们展示自己教学能力的机会，并有针对性地给予帮助和指导；有意识地安排青年教师参加一些学术活动或各级各类比赛，让其有机会增长见识，开拓视野，提升自我，促进青年教师的健康成长。积极培养骨干教师和学科带头人。</w:t>
      </w:r>
    </w:p>
    <w:p>
      <w:pPr>
        <w:pStyle w:val="15"/>
        <w:spacing w:before="156" w:beforeLines="50" w:beforeAutospacing="0" w:after="156" w:afterLines="50" w:afterAutospacing="0" w:line="360" w:lineRule="auto"/>
        <w:ind w:firstLine="420" w:firstLineChars="200"/>
        <w:jc w:val="both"/>
        <w:rPr>
          <w:color w:val="000000"/>
          <w:sz w:val="21"/>
          <w:szCs w:val="21"/>
        </w:rPr>
      </w:pPr>
      <w:r>
        <w:rPr>
          <w:rFonts w:hint="eastAsia"/>
          <w:color w:val="000000"/>
          <w:sz w:val="21"/>
          <w:szCs w:val="21"/>
        </w:rPr>
        <w:t>通过校培与自培相结合、走出去与请进来相结合，研究性学习与课题成果建设相结合、公开展示课、与听课、评课相结合、系统观摩、评教与论坛相结合、教材建设、教法研究与选修课开设相结合等多种形式，充分发挥教师的主体作用，引导教师走自我发展自我成长，着力加强名师、专业带头人和骨干教师培养。</w:t>
      </w:r>
    </w:p>
    <w:p>
      <w:pPr>
        <w:spacing w:before="156" w:beforeLines="50" w:after="156" w:afterLines="5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月6日，来自杭州市职成教培训考核部的王炯主任，给青禾团老师和专业科老师讲解了模拟上课的事项。11月6日上午，我校区高层次人才、青禾团教师成员与萧山一职骨干教师联合举行了“筑牢教研之基·共探博学之路”教师校际交流研讨活动。6月17日下午，萧山四职青禾团在会议室开展了《公开课的那些事儿》聊课活动。11月，语文届大咖郭初阳老师给青禾团老师上了《愚公移山》的精彩两课，给老师们带来思维震撼。11月中下旬开展青禾团“关注常态课堂，聚焦有效教学”的观摩课活动。12月卫校校区开展“卫校好课堂”的活动，呈现新进教师的“新苗课堂”，实现“传帮带”的教研共同体建设。</w:t>
      </w:r>
    </w:p>
    <w:p>
      <w:pPr>
        <w:spacing w:before="156" w:beforeLines="50" w:after="156" w:afterLines="5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骨干教师们也用自己的行动诠释着“优秀”的定义。</w:t>
      </w:r>
      <w:r>
        <w:rPr>
          <w:rFonts w:hint="eastAsia" w:ascii="宋体" w:hAnsi="宋体" w:cs="宋体"/>
          <w:color w:val="000000"/>
          <w:szCs w:val="21"/>
        </w:rPr>
        <w:t>2020年顾海燕老师被评为浙江省春蚕奖；范向阳老师，支教贵州，不仅展示了优秀的教学技能，也与贵州的学校形成了友谊，被评为优秀支教老师；王婷老师，自工作以来，兢兢业业钻研教学技能，专精专业发展，被评为杭州市优秀教师；裴观祥老师，用行动代替言语，用陪伴表达对学生的拳拳爱生情，荣获萧山区园丁奖；大爱抗疫，教师不仅是以“言”教生，更是以“行”育人，被评为萧山区教育系统“战‘疫’先锋”的周莲芝老师的抗疫付出，既是公民的无私付出，也是教育者的以身作则，彰显了教育的本义；吕佳老师，歌声唱响新时代教育的赞歌，被评为2020年萧山区教育系统志愿服务先进个人；萧山四职10人入选萧山区高层次人才，15人入选杭州市高层次人才，其中华红霞、沈建军、顾海燕三人获评萧山区第三层次人才，华红霞获评杭州市D类人才；萧山四职首届校内名师：钱利萍、赵静、周嫣妮、陈燕英、任晓芳、李宏、冯军、潘晓科、王春桥、方仪娟、吴怡娜、涂丽锋、魏佳。</w:t>
      </w:r>
    </w:p>
    <w:p>
      <w:pPr>
        <w:spacing w:before="156" w:beforeLines="50" w:after="156" w:afterLines="50" w:line="360" w:lineRule="auto"/>
        <w:ind w:firstLine="422" w:firstLineChars="200"/>
        <w:outlineLvl w:val="2"/>
        <w:rPr>
          <w:rFonts w:ascii="宋体" w:hAnsi="宋体" w:cs="宋体"/>
          <w:b/>
          <w:bCs/>
          <w:color w:val="000000"/>
          <w:szCs w:val="21"/>
        </w:rPr>
      </w:pPr>
      <w:r>
        <w:rPr>
          <w:rFonts w:hint="eastAsia" w:ascii="宋体" w:hAnsi="宋体" w:cs="宋体"/>
          <w:b/>
          <w:bCs/>
          <w:color w:val="000000"/>
          <w:szCs w:val="21"/>
        </w:rPr>
        <w:t>3.4.2学生管理</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日常管理常态化</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学生是学校的主体，是接受教育的主要对象，学校在管理学生过程中，常规工作细致化，学生社团目标化，请假制度规范化，严格执行学校在疫情期间的学生管理模式，落实校园门卫制度，在常态化管理中确保校园安全。</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kern w:val="0"/>
          <w:szCs w:val="21"/>
        </w:rPr>
        <w:t>心育活动规范化</w:t>
      </w:r>
    </w:p>
    <w:p>
      <w:pPr>
        <w:spacing w:before="156" w:beforeLines="50" w:after="156" w:afterLines="50" w:line="360" w:lineRule="auto"/>
        <w:ind w:firstLine="420" w:firstLineChars="200"/>
        <w:rPr>
          <w:rFonts w:ascii="宋体" w:hAnsi="宋体" w:cs="宋体"/>
          <w:b/>
          <w:bCs/>
          <w:szCs w:val="21"/>
        </w:rPr>
      </w:pPr>
      <w:r>
        <w:rPr>
          <w:rFonts w:hint="eastAsia" w:ascii="宋体" w:hAnsi="宋体" w:cs="宋体"/>
          <w:kern w:val="0"/>
          <w:szCs w:val="21"/>
        </w:rPr>
        <w:t>德育线培训积极依托心理辅导平台，实效明显。学校政教处组织全体班主任积极参与"班主任心灵成长工作坊"活动，活动内容丰富，使班主任掌握人际沟通策略的过程中，真正体现了助人自助，提升了育人境界。</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德育问题课题化</w:t>
      </w:r>
    </w:p>
    <w:p>
      <w:pPr>
        <w:adjustRightInd w:val="0"/>
        <w:snapToGrid w:val="0"/>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引领班主任及相关老师将学生的德育问题课题化，把研究的重点放在如何遵循教育规律、学生心理发展和个性成长规律，培养其创新意识和实践能力，以及如何增强德育工作的针对性和实效性上。2020年，学校积极组织班主任等相关老师撰写德育教育类专题总结和论文，推动班主任努力摸索教育规律，不断将自己的感性认识上升为理性思考，逐渐形成自己富有个性的教育风格。李宏老师荣获萧山区第四届班主任基本功大赛二等奖。</w:t>
      </w:r>
    </w:p>
    <w:p>
      <w:pPr>
        <w:spacing w:before="156" w:beforeLines="50" w:after="156" w:afterLines="50" w:line="360" w:lineRule="auto"/>
        <w:ind w:firstLine="422" w:firstLineChars="200"/>
        <w:outlineLvl w:val="2"/>
        <w:rPr>
          <w:rFonts w:ascii="宋体" w:hAnsi="宋体" w:cs="宋体"/>
          <w:b/>
          <w:bCs/>
          <w:color w:val="000000"/>
          <w:szCs w:val="21"/>
        </w:rPr>
      </w:pPr>
      <w:r>
        <w:rPr>
          <w:rFonts w:hint="eastAsia" w:ascii="宋体" w:hAnsi="宋体" w:cs="宋体"/>
          <w:b/>
          <w:bCs/>
          <w:color w:val="000000"/>
          <w:szCs w:val="21"/>
        </w:rPr>
        <w:t>3.4.3财务管理</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紧跟政策、统筹安排</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加强组织领导，增强学校财务管理的透明度，学校成立了财务管理领导小组，下设财务公开与财务监管两个工作小组，制定了学校财务管理意见，校务公开实施方案。根据上级部门下发的政策文件及时完善财务管理。</w:t>
      </w:r>
    </w:p>
    <w:p>
      <w:pPr>
        <w:spacing w:before="156" w:beforeLines="50" w:after="156" w:afterLines="50" w:line="360" w:lineRule="auto"/>
        <w:rPr>
          <w:rFonts w:ascii="宋体" w:hAnsi="宋体" w:cs="宋体"/>
          <w:szCs w:val="21"/>
        </w:rPr>
      </w:pPr>
      <w:r>
        <w:rPr>
          <w:rFonts w:hint="eastAsia" w:ascii="宋体" w:hAnsi="宋体" w:cs="宋体"/>
          <w:szCs w:val="21"/>
        </w:rPr>
        <w:t>1、财务人员的管理</w:t>
      </w:r>
    </w:p>
    <w:p>
      <w:pPr>
        <w:spacing w:before="156" w:beforeLines="50" w:after="156" w:afterLines="50" w:line="360" w:lineRule="auto"/>
        <w:rPr>
          <w:rFonts w:ascii="宋体" w:hAnsi="宋体" w:cs="宋体"/>
          <w:szCs w:val="21"/>
        </w:rPr>
      </w:pPr>
      <w:r>
        <w:rPr>
          <w:rFonts w:hint="eastAsia" w:ascii="宋体" w:hAnsi="宋体" w:cs="宋体"/>
          <w:szCs w:val="21"/>
        </w:rPr>
        <w:t>进一步细化财务人员的岗位分工，明确岗位职责，加强财务人员的业务能力培养，目前三名专职财务人员有一名中级会计职称，二名初级会计职称。</w:t>
      </w:r>
    </w:p>
    <w:p>
      <w:pPr>
        <w:spacing w:before="156" w:beforeLines="50" w:after="156" w:afterLines="50" w:line="360" w:lineRule="auto"/>
        <w:rPr>
          <w:rFonts w:ascii="宋体" w:hAnsi="宋体" w:cs="宋体"/>
          <w:szCs w:val="21"/>
        </w:rPr>
      </w:pPr>
      <w:r>
        <w:rPr>
          <w:rFonts w:hint="eastAsia" w:ascii="宋体" w:hAnsi="宋体" w:cs="宋体"/>
          <w:szCs w:val="21"/>
        </w:rPr>
        <w:t>2、财务内控管理</w:t>
      </w:r>
    </w:p>
    <w:p>
      <w:pPr>
        <w:spacing w:before="156" w:beforeLines="50" w:after="156" w:afterLines="50" w:line="360" w:lineRule="auto"/>
        <w:rPr>
          <w:rFonts w:ascii="宋体" w:hAnsi="宋体" w:cs="宋体"/>
          <w:szCs w:val="21"/>
        </w:rPr>
      </w:pPr>
      <w:r>
        <w:rPr>
          <w:rFonts w:hint="eastAsia" w:ascii="宋体" w:hAnsi="宋体" w:cs="宋体"/>
          <w:szCs w:val="21"/>
        </w:rPr>
        <w:t>在原有内控管理制度基础上根据新政策变化进行调整，在资产管理上增加办公耗材、实训材料，易耗品的软件出入库管理；教职工公务卡办理，消费一律刷公务卡，不得使用其他银行卡或现金；学生奖学金、补助资金等不再使用现金发放，一律使用学生银行卡发放；学校超市不再使用现金改为卡机消费。</w:t>
      </w:r>
    </w:p>
    <w:p>
      <w:pPr>
        <w:spacing w:before="156" w:beforeLines="50" w:after="156" w:afterLines="50" w:line="360" w:lineRule="auto"/>
        <w:rPr>
          <w:rFonts w:ascii="宋体" w:hAnsi="宋体" w:cs="宋体"/>
          <w:szCs w:val="21"/>
        </w:rPr>
      </w:pPr>
      <w:r>
        <w:rPr>
          <w:rFonts w:hint="eastAsia" w:ascii="宋体" w:hAnsi="宋体" w:cs="宋体"/>
          <w:szCs w:val="21"/>
        </w:rPr>
        <w:t>3、加强预算管理，提高资金使用率</w:t>
      </w:r>
    </w:p>
    <w:p>
      <w:pPr>
        <w:spacing w:before="156" w:beforeLines="50" w:after="156" w:afterLines="50" w:line="360" w:lineRule="auto"/>
        <w:rPr>
          <w:rFonts w:ascii="宋体" w:hAnsi="宋体" w:cs="宋体"/>
          <w:szCs w:val="21"/>
        </w:rPr>
      </w:pPr>
      <w:r>
        <w:rPr>
          <w:rFonts w:hint="eastAsia" w:ascii="宋体" w:hAnsi="宋体" w:cs="宋体"/>
          <w:szCs w:val="21"/>
        </w:rPr>
        <w:t>根据区财政和教育局要求，我校预算编制遵循“量入为出、收支平衡、统筹兼顾、保证重点”的原则，同时也严格遵循收支两条线的要求。在预算编制前对上一年度预算执行情况进行分析，充分考虑下一年度各种可变因素，结合学校整体发展规划，对下一年度资金供给状况做好预测。在编制过程中将支出分为人员支出、个人和家庭补助支出、日常公共支出、项目专项支出。核算出科学、合理的学校开支，使资金的使用落到了实处，2020年圆满完成区财政下达的各项资金指标。</w:t>
      </w:r>
    </w:p>
    <w:p>
      <w:pPr>
        <w:spacing w:before="156" w:beforeLines="50" w:after="156" w:afterLines="50" w:line="360" w:lineRule="auto"/>
        <w:ind w:firstLine="422" w:firstLineChars="200"/>
        <w:outlineLvl w:val="2"/>
        <w:rPr>
          <w:rFonts w:ascii="宋体" w:hAnsi="宋体" w:cs="宋体"/>
          <w:b/>
          <w:bCs/>
          <w:color w:val="000000"/>
          <w:szCs w:val="21"/>
        </w:rPr>
      </w:pPr>
      <w:r>
        <w:rPr>
          <w:rFonts w:hint="eastAsia" w:ascii="宋体" w:hAnsi="宋体" w:cs="宋体"/>
          <w:b/>
          <w:bCs/>
          <w:color w:val="000000"/>
          <w:szCs w:val="21"/>
        </w:rPr>
        <w:t>3.4.4后勤管理</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服务至上、细化管理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在学校领导的支持与指导下，总务后勤坚持“后勤工作服务于教学工作中心”的原则，一切为师生服务，努力创造优美舒适的校园环境，为教育教学提供有力保障，尽心尽力做好后勤服务工作。同时制定了财务管理、校产管理，采购人员管理等一系列制度，使学校经费财务管理落到实处，做到一切有章可循，按制度办事，为学校工作的正常开展提供了有力保障。</w:t>
      </w:r>
    </w:p>
    <w:p>
      <w:pPr>
        <w:pStyle w:val="15"/>
        <w:widowControl w:val="0"/>
        <w:snapToGrid w:val="0"/>
        <w:spacing w:before="156" w:beforeLines="50" w:beforeAutospacing="0" w:after="156" w:afterLines="50" w:afterAutospacing="0" w:line="360" w:lineRule="auto"/>
        <w:ind w:firstLine="413" w:firstLineChars="196"/>
        <w:rPr>
          <w:b/>
          <w:bCs/>
          <w:kern w:val="2"/>
          <w:sz w:val="21"/>
          <w:szCs w:val="21"/>
        </w:rPr>
      </w:pPr>
      <w:r>
        <w:rPr>
          <w:rFonts w:hint="eastAsia"/>
          <w:b/>
          <w:bCs/>
          <w:kern w:val="2"/>
          <w:sz w:val="21"/>
          <w:szCs w:val="21"/>
        </w:rPr>
        <w:t>加强理论学习，增强服务意识</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根据学校总务后勤工作的特点，组织总务处工作人员认真学习党中央有关教育理论和重大会议思想，认真学习财务管理的规章制度，努力提高后勤职工的思想素质和职业道德素质，进一步端正服务态度，树立服务育人的思想。有计划、有步骤地学习业务知识，如参加市、区财政部门组织的财务人员各种培训，消防、食品安全培训,提高管理水平和业务水平，更好的完成自己的本职工作。</w:t>
      </w:r>
    </w:p>
    <w:p>
      <w:pPr>
        <w:pStyle w:val="15"/>
        <w:widowControl w:val="0"/>
        <w:snapToGrid w:val="0"/>
        <w:spacing w:before="156" w:beforeLines="50" w:beforeAutospacing="0" w:after="156" w:afterLines="50" w:afterAutospacing="0" w:line="360" w:lineRule="auto"/>
        <w:ind w:firstLine="413" w:firstLineChars="196"/>
        <w:rPr>
          <w:kern w:val="2"/>
          <w:sz w:val="21"/>
          <w:szCs w:val="21"/>
        </w:rPr>
      </w:pPr>
      <w:r>
        <w:rPr>
          <w:rFonts w:hint="eastAsia"/>
          <w:b/>
          <w:bCs/>
          <w:kern w:val="2"/>
          <w:sz w:val="21"/>
          <w:szCs w:val="21"/>
        </w:rPr>
        <w:t>严格财务管理，做到计划开支</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1、认真编制资金的使用计划，预算内、外资金的使用不盲目，做到计划开支。合理使用好各项资金，提高学校经费的使用效率，及时向学校领导汇报资金的使用情况和结存情况。</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2、加强了票据管理，使各种票据及时收回核清。</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3、严格执行了财务报销审批制度，规范财务报帐凭证。</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4、财务管理制度健全、规范、执行到位；实行收支两条线，无“小金库”、“账外账”；财务人员持证上岗，严控“三公”经费，严格按有关规定向学生收费。</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5、做好了本学年的各项收费工作，做好年终预、结算和事业报表。</w:t>
      </w:r>
    </w:p>
    <w:p>
      <w:pPr>
        <w:pStyle w:val="15"/>
        <w:widowControl w:val="0"/>
        <w:snapToGrid w:val="0"/>
        <w:spacing w:before="156" w:beforeLines="50" w:beforeAutospacing="0" w:after="156" w:afterLines="50" w:afterAutospacing="0" w:line="360" w:lineRule="auto"/>
        <w:ind w:firstLine="413" w:firstLineChars="196"/>
        <w:rPr>
          <w:b/>
          <w:bCs/>
          <w:kern w:val="2"/>
          <w:sz w:val="21"/>
          <w:szCs w:val="21"/>
        </w:rPr>
      </w:pPr>
      <w:r>
        <w:rPr>
          <w:rFonts w:hint="eastAsia"/>
          <w:b/>
          <w:bCs/>
          <w:kern w:val="2"/>
          <w:sz w:val="21"/>
          <w:szCs w:val="21"/>
        </w:rPr>
        <w:t>完成学校专项补助资金的使用</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根据财政局、教育局下发的补助资金使用计划文件，我校主要项目有：30个教室改造、建筑专业实训基地建设、体艺馆屋顶维修、长山校区校园广播系统建设、长山校区地面防滑处理、第二护理实训室改造工程、新街校区篮球场改造工程、护理专业方舱体验馆、长山校区报告厅电子屏采购、新街校区机房采购电脑、常态化云录播3套、机器人编程创新教育实验室、校园网络部分改造，共计投入约488万元。</w:t>
      </w:r>
    </w:p>
    <w:p>
      <w:pPr>
        <w:pStyle w:val="15"/>
        <w:widowControl w:val="0"/>
        <w:snapToGrid w:val="0"/>
        <w:spacing w:before="156" w:beforeLines="50" w:beforeAutospacing="0" w:after="156" w:afterLines="50" w:afterAutospacing="0" w:line="360" w:lineRule="auto"/>
        <w:ind w:firstLine="413" w:firstLineChars="196"/>
        <w:rPr>
          <w:b/>
          <w:bCs/>
          <w:kern w:val="2"/>
          <w:sz w:val="21"/>
          <w:szCs w:val="21"/>
        </w:rPr>
      </w:pPr>
      <w:r>
        <w:rPr>
          <w:rFonts w:hint="eastAsia"/>
          <w:b/>
          <w:bCs/>
          <w:kern w:val="2"/>
          <w:sz w:val="21"/>
          <w:szCs w:val="21"/>
        </w:rPr>
        <w:t>做好疫情期间物资采购工作</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年初疫情严重，按上级部门要求做好寒假期间及开学前的物资采购及校园消杀工作。主要包括校门口人脸测温系统安装调试、寝室人脸测温系统安装调试、教室消毒喷雾机、隔离室改建、口罩、洗手液、消毒剂、测温机等采购。</w:t>
      </w:r>
    </w:p>
    <w:p>
      <w:pPr>
        <w:pStyle w:val="15"/>
        <w:widowControl w:val="0"/>
        <w:snapToGrid w:val="0"/>
        <w:spacing w:before="156" w:beforeLines="50" w:beforeAutospacing="0" w:after="156" w:afterLines="50" w:afterAutospacing="0" w:line="360" w:lineRule="auto"/>
        <w:ind w:firstLine="413" w:firstLineChars="196"/>
        <w:rPr>
          <w:b/>
          <w:bCs/>
          <w:kern w:val="2"/>
          <w:sz w:val="21"/>
          <w:szCs w:val="21"/>
        </w:rPr>
      </w:pPr>
      <w:r>
        <w:rPr>
          <w:rFonts w:hint="eastAsia"/>
          <w:b/>
          <w:bCs/>
          <w:kern w:val="2"/>
          <w:sz w:val="21"/>
          <w:szCs w:val="21"/>
        </w:rPr>
        <w:t>配合其它处室做好后勤保障工作</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总务处作为学校的后勤保障部门，一学年来能积极配合学校各处室的重大活动，如配合政教处文艺周、家长会等大型活动，配合教务处师生技能比赛、教研活动、购买学生所需实习材料、高考考生用餐等后勤保障工作……</w:t>
      </w:r>
    </w:p>
    <w:p>
      <w:pPr>
        <w:pStyle w:val="15"/>
        <w:widowControl w:val="0"/>
        <w:snapToGrid w:val="0"/>
        <w:spacing w:before="156" w:beforeLines="50" w:beforeAutospacing="0" w:after="156" w:afterLines="50" w:afterAutospacing="0" w:line="360" w:lineRule="auto"/>
        <w:ind w:firstLine="413" w:firstLineChars="196"/>
        <w:rPr>
          <w:kern w:val="2"/>
          <w:sz w:val="21"/>
          <w:szCs w:val="21"/>
        </w:rPr>
      </w:pPr>
      <w:r>
        <w:rPr>
          <w:rFonts w:hint="eastAsia"/>
          <w:b/>
          <w:bCs/>
          <w:kern w:val="2"/>
          <w:sz w:val="21"/>
          <w:szCs w:val="21"/>
        </w:rPr>
        <w:t xml:space="preserve">加强食堂、超市管理，杜绝食物中毒 </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学校领导重视对食堂、超市的管理，疫情期间采用定餐制，专门组织人员对食堂进行监督检查，包括食品原材料采购、加工制作、食堂卫生、食品留样、员工培训、出入库台帐等，保证师生吃到新鲜安全的食品。并且随时听取师生的意见、建议，及时改进伙食中存在的问题，提高饭菜质量，搞好饭菜供应。</w:t>
      </w:r>
    </w:p>
    <w:p>
      <w:pPr>
        <w:pStyle w:val="15"/>
        <w:widowControl w:val="0"/>
        <w:snapToGrid w:val="0"/>
        <w:spacing w:before="156" w:beforeLines="50" w:beforeAutospacing="0" w:after="156" w:afterLines="50" w:afterAutospacing="0" w:line="360" w:lineRule="auto"/>
        <w:ind w:firstLine="413" w:firstLineChars="196"/>
        <w:rPr>
          <w:b/>
          <w:bCs/>
          <w:kern w:val="2"/>
          <w:sz w:val="21"/>
          <w:szCs w:val="21"/>
        </w:rPr>
      </w:pPr>
      <w:r>
        <w:rPr>
          <w:rFonts w:hint="eastAsia"/>
          <w:b/>
          <w:bCs/>
          <w:kern w:val="2"/>
          <w:sz w:val="21"/>
          <w:szCs w:val="21"/>
        </w:rPr>
        <w:t>加强校产管理</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对于学校的固定资产管理，总务处采取多种方式方法进行整理备案。</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2、继续做好申购——验收入帐——入库——领用的购物手续。</w:t>
      </w:r>
    </w:p>
    <w:p>
      <w:pPr>
        <w:pStyle w:val="15"/>
        <w:widowControl w:val="0"/>
        <w:snapToGrid w:val="0"/>
        <w:spacing w:before="156" w:beforeLines="50" w:beforeAutospacing="0" w:after="156" w:afterLines="50" w:afterAutospacing="0" w:line="360" w:lineRule="auto"/>
        <w:ind w:firstLine="411" w:firstLineChars="196"/>
        <w:rPr>
          <w:kern w:val="2"/>
          <w:sz w:val="21"/>
          <w:szCs w:val="21"/>
        </w:rPr>
      </w:pPr>
      <w:r>
        <w:rPr>
          <w:rFonts w:hint="eastAsia"/>
          <w:kern w:val="2"/>
          <w:sz w:val="21"/>
          <w:szCs w:val="21"/>
        </w:rPr>
        <w:t>3、尽力做好对学校公共财产、公共设施的管理、维护和调配工作。</w:t>
      </w:r>
    </w:p>
    <w:p>
      <w:pPr>
        <w:pStyle w:val="15"/>
        <w:widowControl w:val="0"/>
        <w:snapToGrid w:val="0"/>
        <w:spacing w:before="156" w:beforeLines="50" w:beforeAutospacing="0" w:after="156" w:afterLines="50" w:afterAutospacing="0" w:line="360" w:lineRule="auto"/>
        <w:ind w:firstLine="411" w:firstLineChars="196"/>
        <w:rPr>
          <w:sz w:val="21"/>
          <w:szCs w:val="21"/>
        </w:rPr>
      </w:pPr>
      <w:r>
        <w:rPr>
          <w:rFonts w:hint="eastAsia"/>
          <w:kern w:val="2"/>
          <w:sz w:val="21"/>
          <w:szCs w:val="21"/>
        </w:rPr>
        <w:t>4、本学期已完成按教育系统对校固定资产的编排录入工作。</w:t>
      </w:r>
    </w:p>
    <w:p>
      <w:pPr>
        <w:spacing w:before="156" w:beforeLines="50" w:after="156" w:afterLines="50" w:line="360" w:lineRule="auto"/>
        <w:ind w:firstLine="422" w:firstLineChars="200"/>
        <w:outlineLvl w:val="2"/>
        <w:rPr>
          <w:rFonts w:ascii="宋体" w:hAnsi="宋体" w:cs="宋体"/>
          <w:b/>
          <w:bCs/>
          <w:color w:val="000000"/>
          <w:szCs w:val="21"/>
        </w:rPr>
      </w:pPr>
      <w:r>
        <w:rPr>
          <w:rFonts w:hint="eastAsia" w:ascii="宋体" w:hAnsi="宋体" w:cs="宋体"/>
          <w:b/>
          <w:bCs/>
          <w:color w:val="000000"/>
          <w:szCs w:val="21"/>
        </w:rPr>
        <w:t>3.4.5安全管理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强化安全管理。学校十分重视学校安全工作，认真落实有关安全工作的法律法规和方针政策，坚持预防为主、防治结合、加强教育、群防群治的原则。领导小组职责明确，安全管理网络清晰，安全制度完善齐备，应急预案科学规范。建立定期不定期安全隐患排查机制，及时整改发现的问题。重视三防建设，实现校园监控全覆盖。切实加强学校安全知识教育，增强师生员工的安全防范意识和有关自救自护能力。</w:t>
      </w:r>
    </w:p>
    <w:p>
      <w:pPr>
        <w:spacing w:before="156" w:beforeLines="50" w:after="156" w:afterLines="50" w:line="360" w:lineRule="auto"/>
        <w:ind w:firstLine="422" w:firstLineChars="200"/>
        <w:outlineLvl w:val="2"/>
        <w:rPr>
          <w:rFonts w:ascii="宋体" w:hAnsi="宋体" w:cs="宋体"/>
          <w:b/>
          <w:bCs/>
          <w:color w:val="000000"/>
          <w:szCs w:val="21"/>
        </w:rPr>
      </w:pPr>
      <w:r>
        <w:rPr>
          <w:rFonts w:hint="eastAsia" w:ascii="宋体" w:hAnsi="宋体" w:cs="宋体"/>
          <w:b/>
          <w:bCs/>
          <w:color w:val="000000"/>
          <w:szCs w:val="21"/>
        </w:rPr>
        <w:t>3.4.6科研管理</w:t>
      </w:r>
    </w:p>
    <w:p>
      <w:pPr>
        <w:spacing w:before="156" w:beforeLines="50" w:after="156" w:afterLines="50" w:line="360" w:lineRule="auto"/>
        <w:ind w:firstLine="422" w:firstLineChars="200"/>
        <w:rPr>
          <w:rFonts w:ascii="宋体" w:hAnsi="宋体" w:cs="宋体"/>
          <w:b/>
          <w:bCs/>
          <w:color w:val="000000"/>
          <w:szCs w:val="21"/>
        </w:rPr>
      </w:pPr>
      <w:r>
        <w:rPr>
          <w:rFonts w:hint="eastAsia" w:ascii="宋体" w:hAnsi="宋体" w:cs="宋体"/>
          <w:b/>
          <w:bCs/>
          <w:color w:val="000000"/>
          <w:szCs w:val="21"/>
        </w:rPr>
        <w:t>提升服务意识，提高教科研管理水平</w:t>
      </w:r>
    </w:p>
    <w:p>
      <w:pPr>
        <w:pStyle w:val="15"/>
        <w:spacing w:before="156" w:beforeLines="50" w:beforeAutospacing="0" w:after="156" w:afterLines="50" w:afterAutospacing="0" w:line="360" w:lineRule="auto"/>
        <w:ind w:firstLine="451" w:firstLineChars="215"/>
        <w:rPr>
          <w:color w:val="000000"/>
          <w:sz w:val="21"/>
          <w:szCs w:val="21"/>
        </w:rPr>
      </w:pPr>
      <w:r>
        <w:rPr>
          <w:rStyle w:val="34"/>
          <w:rFonts w:hint="eastAsia" w:ascii="宋体" w:hAnsi="宋体" w:cs="宋体"/>
          <w:color w:val="000000"/>
          <w:sz w:val="21"/>
          <w:szCs w:val="21"/>
        </w:rPr>
        <w:t>2020年，萧山四职积极</w:t>
      </w:r>
      <w:r>
        <w:rPr>
          <w:rFonts w:hint="eastAsia"/>
          <w:color w:val="000000"/>
          <w:sz w:val="21"/>
          <w:szCs w:val="21"/>
        </w:rPr>
        <w:t>依托课题研究和校本培训平台，推动群体性科研活动，提高科研意识；搭建主题性科研平台，展示科研成果；加强常规性科研管理，促进科研质量；引领主导性课题研究，建设科研品牌；开展科研性知识普及，培育科研骨干。</w:t>
      </w:r>
    </w:p>
    <w:p>
      <w:pPr>
        <w:pStyle w:val="30"/>
        <w:spacing w:before="156" w:beforeLines="50" w:after="156" w:afterLines="50" w:line="360" w:lineRule="auto"/>
        <w:rPr>
          <w:rFonts w:hAnsi="宋体"/>
          <w:sz w:val="21"/>
          <w:szCs w:val="21"/>
        </w:rPr>
      </w:pPr>
      <w:r>
        <w:rPr>
          <w:rFonts w:hint="eastAsia" w:hAnsi="宋体"/>
          <w:sz w:val="21"/>
          <w:szCs w:val="21"/>
        </w:rPr>
        <w:t>采用多种学习途径和活动形式，积极营造全校的教科研学习氛围，帮助青年教师掌握教科研的研究方法与技艺，以教师培养为关键，提升教科研动力水平；指导教师教、研结合，以问题解决为目标，提升教科研效能水平。通过教师结对联动、校本学习、专家引领、论坛交流等手段，以校级课题为主体，推进学校教科研工作。教师小课题成果显著，共有四十七篇论文课题市区级获奖，数量上从去年的14篇上升到今年的41篇，较之往年有很大的提升。这既是教师们厚积薄发的结果，也是教师们不断“以研促教”、“以研促学”的收获。成绩上也发生了显著的提高，顾海燕获萧山区专题论文一等奖，施佳丽、方仪娟、李宏二等奖，陈燕英、丛艳红、周嫣妮三等奖。2020年年会论文中，诸丽丹、孙健、蒋红萍二等奖，吕美娟、李洁、任晓芳、李宁三等奖。</w:t>
      </w:r>
    </w:p>
    <w:p>
      <w:pPr>
        <w:pStyle w:val="30"/>
        <w:spacing w:before="156" w:beforeLines="50" w:after="156" w:afterLines="50"/>
        <w:jc w:val="center"/>
        <w:rPr>
          <w:rFonts w:ascii="楷体" w:hAnsi="楷体" w:eastAsia="楷体" w:cs="楷体"/>
          <w:b/>
          <w:bCs/>
          <w:color w:val="auto"/>
          <w:sz w:val="21"/>
          <w:szCs w:val="21"/>
        </w:rPr>
      </w:pPr>
      <w:r>
        <w:rPr>
          <w:rFonts w:hint="eastAsia" w:ascii="楷体" w:hAnsi="楷体" w:eastAsia="楷体" w:cs="楷体"/>
          <w:b/>
          <w:bCs/>
          <w:color w:val="auto"/>
          <w:sz w:val="21"/>
          <w:szCs w:val="21"/>
        </w:rPr>
        <w:t>表十五 2020年萧山四职教师教科研获奖表</w:t>
      </w:r>
    </w:p>
    <w:tbl>
      <w:tblPr>
        <w:tblStyle w:val="1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213"/>
        <w:gridCol w:w="3250"/>
        <w:gridCol w:w="80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b/>
                <w:bCs/>
                <w:szCs w:val="21"/>
              </w:rPr>
            </w:pPr>
            <w:r>
              <w:rPr>
                <w:rFonts w:hint="eastAsia" w:ascii="楷体" w:hAnsi="楷体" w:eastAsia="楷体" w:cs="楷体"/>
                <w:b/>
                <w:bCs/>
                <w:szCs w:val="21"/>
              </w:rPr>
              <w:t>序号</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b/>
                <w:bCs/>
                <w:szCs w:val="21"/>
              </w:rPr>
            </w:pPr>
            <w:r>
              <w:rPr>
                <w:rFonts w:hint="eastAsia" w:ascii="楷体" w:hAnsi="楷体" w:eastAsia="楷体" w:cs="楷体"/>
                <w:b/>
                <w:bCs/>
                <w:szCs w:val="21"/>
              </w:rPr>
              <w:t>参加项目</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b/>
                <w:bCs/>
                <w:szCs w:val="21"/>
              </w:rPr>
            </w:pPr>
            <w:r>
              <w:rPr>
                <w:rFonts w:hint="eastAsia" w:ascii="楷体" w:hAnsi="楷体" w:eastAsia="楷体" w:cs="楷体"/>
                <w:b/>
                <w:bCs/>
                <w:szCs w:val="21"/>
              </w:rPr>
              <w:t>论文成果名称</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b/>
                <w:bCs/>
                <w:szCs w:val="21"/>
              </w:rPr>
            </w:pPr>
            <w:r>
              <w:rPr>
                <w:rFonts w:hint="eastAsia" w:ascii="楷体" w:hAnsi="楷体" w:eastAsia="楷体" w:cs="楷体"/>
                <w:b/>
                <w:bCs/>
                <w:szCs w:val="21"/>
              </w:rPr>
              <w:t>级别</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b/>
                <w:bCs/>
                <w:szCs w:val="21"/>
              </w:rPr>
            </w:pPr>
            <w:r>
              <w:rPr>
                <w:rFonts w:hint="eastAsia" w:ascii="楷体" w:hAnsi="楷体" w:eastAsia="楷体" w:cs="楷体"/>
                <w:b/>
                <w:bCs/>
                <w:szCs w:val="21"/>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杭州市教师小课题</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推进中职机械专业学生创客化的“4+X”学习模式探索</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tcPr>
          <w:p>
            <w:pPr>
              <w:spacing w:before="156" w:beforeLines="50" w:after="156" w:afterLines="50" w:line="360" w:lineRule="auto"/>
              <w:jc w:val="center"/>
              <w:rPr>
                <w:rFonts w:ascii="楷体" w:hAnsi="楷体" w:eastAsia="楷体" w:cs="楷体"/>
                <w:kern w:val="0"/>
                <w:szCs w:val="21"/>
              </w:rPr>
            </w:pP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杭州市2020年职成教科研成果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基于工作室情境的中职建筑专业课项目化 教学实践研究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王林毅、齐琳（执笔）、潘开颜、戚丹鸿、俞蕾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杭州市2020年职成教科研成果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《Hi, Picture Books》——中职英语绘本 拓展阅读微课程开发与实施成果</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杭州市2020年职成教科研成果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学习得法、探究有依、体验多场——绿色 建筑概念在中职建筑专业课程中的建构与运作</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杭州市2020年职成教科研成果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“五准三精”教学模式在中职《护理技术 》中的实践与研究——以《皮内注射》一课 为例</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施佳丽、</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方仪娟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杭州市2020年职成教专项（教育教学）论文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“5-一-三”进阶式混合教学模式在中职《护理技术》 课程中的实践与研究</w:t>
            </w:r>
          </w:p>
          <w:p>
            <w:pPr>
              <w:spacing w:before="156" w:beforeLines="50" w:after="156" w:afterLines="50" w:line="360" w:lineRule="auto"/>
              <w:jc w:val="center"/>
              <w:rPr>
                <w:rFonts w:ascii="楷体" w:hAnsi="楷体" w:eastAsia="楷体" w:cs="楷体"/>
                <w:kern w:val="0"/>
                <w:szCs w:val="21"/>
              </w:rPr>
            </w:pP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杭州市2020年职成教专项（教育教学）论文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信息技术进课堂，事半功倍强技能——中职《建筑识图 》课程提质强能改革探索与实践</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齐琳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萧山区2020年教育科研优秀成果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基于工作室情境的中职建筑专业课项目化教学实践研究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王林毅、齐琳(执笔)、潘开颜、戚丹鸿、俞蕾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萧山区2020年教育科研优秀成果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护理名教育教学团队臻爱1+1+X模式实践研究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华红霞、赵静（执笔)、黄志芳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萧山区2020年教育科研优秀成果（区规划课题）</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大健康理念下萧山区中职护理人才需求调查研究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沈丽芳、萧建、华红霞、吴怡娜、帅玉珍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11</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萧山区2020年教育科研优秀成果（教师小课题）</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推进中职机械专业学生创客化的“4+X”学习模式探索</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12</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萧山区2020年教育科研优秀成果（教师小课题）</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学习共同体：中职《行动英语》项目教学新样态的实践研究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黄莉捷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13</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萧山区2020年度中小幼教学专题研究论文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新单元设计导向下中职语文整本书阅读课模式探究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顾海燕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14</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萧山区2020年度中小幼教学专题研究论文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五准三精”教学模式在中职《护理技术》中的实践与研究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施佳丽、</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方仪娟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15</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萧山区2020年度中小幼教学专题研究论文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重职场•促合作•巧跨界•试分层</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16</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萧山区2020年度中小幼教学专题研究论文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核心素养导向下构建“4Q-4C”学习模式在中职《建筑施工技术与工艺</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丛艳红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17</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萧山区2020年度中小幼教学专题研究论文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绿色建筑概念在中职建筑专业课程中的建构与运作</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18</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萧山区2020年度中小幼教学专题研究论文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hi, picture books——中职英语绘本拓展阅读微课程开发与实施</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19</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萧山区2020年度中小学学校德育论文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建设“书香班级”，开拓中职德育新思路</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董郭凤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萧山区2020年度中小学学校德育论文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围绕绩效管理的创新式班级管理</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金国红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21</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萧山区2020年语文教育学会论文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让文言文“活”起来——中职语文文言文教学实践研究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诸利丹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22</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萧山区2020年语文教育学会论文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新批评理论在《老人与海》教学中的实践</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吕美娟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23</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萧山区2020年数学教育学会论文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中职数学游戏课程项目的研究——以《直线和圆》为例</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孙健、</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蒋红萍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24</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萧山区2020年数学教育学会论文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以《直线与直线的位置关系》为例反思职高数学教材的“二次开发”</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25</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萧山区2020年数学教育学会论文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核心素养下中职数学教学中促进学生有效参与的研究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任晓芳、</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26</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萧山区2020年英语教育学会论文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“speaks”进阶式混合教学模式在中职英语口语课中的实践</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裘丽芳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27</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萧山区2020年英语教育学会论文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素养本位中职英语绘本SMART灵动课堂建构的实践研究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陈燕英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28</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萧山区2020年体育教育学会论文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基于校园安全背景下职高学校体育安全管理现状调查研究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29</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萧山区2020年体育教育学会论文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探寻中职学校体育课分层次教学方法</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赵寅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30</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萧山区2020年心理教育学会论文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焦点解决技术在改善中职女生寝室人际关系中的运用</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缪平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31</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三活驱动 五练进阶 三评促学——基于智慧课堂的中职护理实训教学实践研究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朱丹莉、</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王婷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32</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以任务为线，以学生为本-—中职《外贸业务协调》项目任务书的实践研究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金小燕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33</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GRR模式在中职护理专业《健康评估》教学中的实践与研究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吴怡娜、</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帅玉珍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34</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学会学习，实践创新：中职《外贸制单》创新作业设计实践研究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李宏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35</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疫往职前 救护同心——灾害护理视阈下外科护理影视情境教学课堂的构建与应用</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徐李青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36</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基于双高建设背景下中职建筑专业构建QC体系《建筑施工技术》校本教材的实践研究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丛艳红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37</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建构真情境 创设真任务 激发真兴趣——基于任务驱动法的《建筑识图》实践教学改革研究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齐琳、</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38</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内容分层 形式丰富 理实一体 评价多元——中职《数控加工机械基础》作业设计有效性的实践研究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涂丽锋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39</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学会“流利说”出来  基于移动学习模式的英语学习APP在中职《商务英语听说》教学中的应用研究——以“英语流利说”APP为例</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潘晓科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40</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空间新形态·教学新模态·产教新业态——基于智慧教学空间的中职建筑技能交互式教学的探索</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41</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最淡的墨水，胜过最强的记忆——以《建筑识图为例系统有效笔记的探究实践</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周柏妹、</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曹静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42</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OMO教学模式在中职护理实训课中的实践与探究——以《皮内注射》实训课为例</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方仪娟、</w:t>
            </w:r>
          </w:p>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钱利萍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43</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萧山区2020年职教年会论文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行为定标 契约定责——核心素养背景下中职“契约式”自习课堂问题行为管理模式的研究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缪平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44</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萧山区2020年中学团组织工作论文（成果）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“德育+”中职共青团工作范式的探究与实践</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周嫣妮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45</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2020年浙江省职成教优秀教科研成果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中职学校“阳光德育”课程体系的实践研究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沈建军、高小燕、周金炯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46</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2020年浙江省职成教优秀教科研成果</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新课标下中职数学教学中促进学生有效参与的研究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二等奖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任晓芳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47</w:t>
            </w:r>
          </w:p>
        </w:tc>
        <w:tc>
          <w:tcPr>
            <w:tcW w:w="2213"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浙江省第十五届班主任工作研讨会暨课程思政教学创新论文</w:t>
            </w:r>
          </w:p>
        </w:tc>
        <w:tc>
          <w:tcPr>
            <w:tcW w:w="325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“三全育人”视域下中职“5Q”立体德育的实践研究</w:t>
            </w:r>
          </w:p>
        </w:tc>
        <w:tc>
          <w:tcPr>
            <w:tcW w:w="800"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一等奖</w:t>
            </w:r>
          </w:p>
        </w:tc>
        <w:tc>
          <w:tcPr>
            <w:tcW w:w="1837" w:type="dxa"/>
            <w:tcBorders>
              <w:top w:val="single" w:color="auto" w:sz="4" w:space="0"/>
              <w:left w:val="nil"/>
              <w:bottom w:val="single" w:color="auto" w:sz="4" w:space="0"/>
              <w:right w:val="single" w:color="auto" w:sz="4" w:space="0"/>
            </w:tcBorders>
            <w:vAlign w:val="center"/>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沈建军</w:t>
            </w:r>
          </w:p>
        </w:tc>
      </w:tr>
    </w:tbl>
    <w:p>
      <w:pPr>
        <w:spacing w:before="156" w:beforeLines="50" w:after="156" w:afterLines="50" w:line="360" w:lineRule="auto"/>
        <w:ind w:firstLine="422" w:firstLineChars="200"/>
        <w:outlineLvl w:val="2"/>
        <w:rPr>
          <w:rFonts w:ascii="宋体" w:hAnsi="宋体" w:cs="宋体"/>
          <w:b/>
          <w:bCs/>
          <w:color w:val="000000"/>
          <w:szCs w:val="21"/>
        </w:rPr>
      </w:pPr>
      <w:r>
        <w:rPr>
          <w:rFonts w:hint="eastAsia" w:ascii="宋体" w:hAnsi="宋体" w:cs="宋体"/>
          <w:b/>
          <w:bCs/>
          <w:color w:val="000000"/>
          <w:szCs w:val="21"/>
        </w:rPr>
        <w:t>3.4.7管理队伍建设</w:t>
      </w:r>
    </w:p>
    <w:p>
      <w:pPr>
        <w:widowControl/>
        <w:shd w:val="clear" w:color="auto" w:fill="FFFFFF"/>
        <w:spacing w:before="156" w:beforeLines="50" w:after="156" w:afterLines="50" w:line="360" w:lineRule="auto"/>
        <w:ind w:firstLine="422" w:firstLineChars="200"/>
        <w:jc w:val="left"/>
        <w:rPr>
          <w:rFonts w:ascii="宋体" w:hAnsi="宋体" w:cs="宋体"/>
          <w:b/>
          <w:kern w:val="0"/>
          <w:szCs w:val="21"/>
        </w:rPr>
      </w:pPr>
      <w:r>
        <w:rPr>
          <w:rFonts w:hint="eastAsia" w:ascii="宋体" w:hAnsi="宋体" w:cs="宋体"/>
          <w:b/>
          <w:kern w:val="0"/>
          <w:szCs w:val="21"/>
        </w:rPr>
        <w:t>科学规范，提升素养</w:t>
      </w:r>
    </w:p>
    <w:p>
      <w:pPr>
        <w:spacing w:before="156" w:beforeLines="50" w:after="156" w:afterLines="50" w:line="360" w:lineRule="auto"/>
        <w:ind w:firstLine="420" w:firstLineChars="200"/>
        <w:rPr>
          <w:rFonts w:ascii="宋体" w:hAnsi="宋体" w:cs="宋体"/>
          <w:kern w:val="0"/>
          <w:szCs w:val="21"/>
        </w:rPr>
      </w:pPr>
      <w:r>
        <w:rPr>
          <w:rFonts w:hint="eastAsia" w:ascii="宋体" w:hAnsi="宋体" w:cs="宋体"/>
          <w:kern w:val="0"/>
          <w:szCs w:val="21"/>
        </w:rPr>
        <w:t>经萧山区教育局党委审批，萧山四职党总支升级为萧山四职党委，通过选举产生了新一届党委班子成员，党委班子有6人组成。学校行政班子因为人员的调动等情况，也进行了适度的调整，提拔了2名中层正职和2名中层副职。学校确立了“强化五种意识，做好五个表率，建设五好班子”的思路和目标，即：强化学习意识，做勤奋好学的表率，建设政治素质好的学习型领导班子；强化发展意识，做干事创新的表率，建设工作业绩好的开拓型领导班子；强化服务意识，做脚踏实地的表率，建设一支服务师生好的务实型领导班子；强化责任意识，做发扬民主的表率，建设一支团结协作好的和谐型领导班子；强化廉洁意识，做克己奉公的表率，建设一支作风形象好的廉洁型领导班子。</w:t>
      </w:r>
    </w:p>
    <w:p>
      <w:pPr>
        <w:spacing w:before="156" w:beforeLines="50" w:after="156" w:afterLines="50" w:line="360" w:lineRule="auto"/>
        <w:ind w:firstLine="420" w:firstLineChars="200"/>
        <w:rPr>
          <w:rFonts w:ascii="宋体" w:hAnsi="宋体" w:cs="宋体"/>
          <w:kern w:val="0"/>
          <w:szCs w:val="21"/>
        </w:rPr>
      </w:pPr>
      <w:r>
        <w:rPr>
          <w:rFonts w:hint="eastAsia" w:ascii="宋体" w:hAnsi="宋体" w:cs="宋体"/>
          <w:kern w:val="0"/>
          <w:szCs w:val="21"/>
        </w:rPr>
        <w:t>领导班子富有教育理想与追求，职业道德高尚，社会责任感强；勇于改革创新，善于反思进取；思想活跃、视野开阔，形成学习型团队；管理团队作风务实，执行力强；部门沟通协作良好，运转效能显著。</w:t>
      </w:r>
    </w:p>
    <w:p>
      <w:pPr>
        <w:spacing w:before="156" w:beforeLines="50" w:after="156" w:afterLines="50" w:line="360" w:lineRule="auto"/>
        <w:ind w:firstLine="422" w:firstLineChars="200"/>
        <w:outlineLvl w:val="2"/>
        <w:rPr>
          <w:rFonts w:ascii="宋体" w:hAnsi="宋体" w:cs="宋体"/>
          <w:b/>
          <w:bCs/>
          <w:color w:val="000000"/>
          <w:szCs w:val="21"/>
        </w:rPr>
      </w:pPr>
      <w:r>
        <w:rPr>
          <w:rFonts w:hint="eastAsia" w:ascii="宋体" w:hAnsi="宋体" w:cs="宋体"/>
          <w:b/>
          <w:bCs/>
          <w:color w:val="000000"/>
          <w:szCs w:val="21"/>
        </w:rPr>
        <w:t>3.4.8管理信息化水平</w:t>
      </w:r>
    </w:p>
    <w:p>
      <w:pPr>
        <w:widowControl/>
        <w:shd w:val="clear" w:color="auto" w:fill="FFFFFF"/>
        <w:spacing w:before="156" w:beforeLines="50" w:after="156" w:afterLines="50" w:line="360" w:lineRule="auto"/>
        <w:ind w:firstLine="420" w:firstLineChars="200"/>
        <w:jc w:val="left"/>
        <w:rPr>
          <w:rFonts w:ascii="宋体" w:hAnsi="宋体" w:cs="宋体"/>
          <w:bCs/>
          <w:kern w:val="0"/>
          <w:szCs w:val="21"/>
        </w:rPr>
      </w:pPr>
      <w:r>
        <w:rPr>
          <w:rFonts w:hint="eastAsia" w:ascii="宋体" w:hAnsi="宋体" w:cs="宋体"/>
          <w:bCs/>
          <w:kern w:val="0"/>
          <w:szCs w:val="21"/>
        </w:rPr>
        <w:t>学校管理信息化有利于提高管理效能，有利于加强教育和工作沟通联络。我校在完善学校管理信息化建设方面，努力提高认识，完善管理机制。我校将学校信息化建设分为两大部分，一是管理信息化建设，二是教育教学信息化建设。</w:t>
      </w:r>
    </w:p>
    <w:p>
      <w:pPr>
        <w:widowControl/>
        <w:shd w:val="clear" w:color="auto" w:fill="FFFFFF"/>
        <w:spacing w:before="156" w:beforeLines="50" w:after="156" w:afterLines="50" w:line="360" w:lineRule="auto"/>
        <w:ind w:firstLine="420" w:firstLineChars="200"/>
        <w:jc w:val="left"/>
        <w:rPr>
          <w:rFonts w:ascii="宋体" w:hAnsi="宋体" w:cs="宋体"/>
          <w:bCs/>
          <w:kern w:val="0"/>
          <w:szCs w:val="21"/>
        </w:rPr>
      </w:pPr>
      <w:r>
        <w:rPr>
          <w:rFonts w:hint="eastAsia" w:ascii="宋体" w:hAnsi="宋体" w:cs="宋体"/>
          <w:bCs/>
          <w:kern w:val="0"/>
          <w:szCs w:val="21"/>
        </w:rPr>
        <w:t>历年来，学校高度重视信息技术经费投入，在学校计算机网络、广播网、监控网、多媒体教室等系统更新升级，既保障了使用价值，又增强了管理安全性。2020年，学校投入资金，完善一卡通设施网络设备，建设自动测温门禁系统，增强学校信息化管理的便捷性。在信息化教学上，增强智慧教室和录播系统等信息教学平台的运用，加强对一线教师的培训；培训教师直播平台的使用方法，鼓励教师积极利用教育局统一的直播授课平台，把课堂呈现给更多的人看。为此，一方面，学校更新观念，鼓励教师尝试新的教学手段和方法，打破传统而落后的课堂教学方法与手段，提升教学实效；另一方面，学校为教师提供信息化辅助，设立教技处，帮助教师学会使用信息化设备，对教师使用现代教育技术设施和设备，开展业务培训。2020年下半年，结合教师教学能力比赛的主题，杨志强教授指导教师开展信息化教学设计的学习，引导教师学会在新技术的帮助下，实现教学能力的提升和革新；12月15日，萧山区语文教研活动上，授课的两位教师利用直播平台实时转播课堂实况，探索“远距离授课”“远距离评课”的信息化时代授课新途径。</w:t>
      </w:r>
    </w:p>
    <w:p>
      <w:pPr>
        <w:pStyle w:val="3"/>
        <w:spacing w:before="156" w:beforeLines="50" w:after="156" w:afterLines="50"/>
        <w:ind w:firstLine="602"/>
        <w:rPr>
          <w:rFonts w:ascii="黑体" w:hAnsi="黑体" w:eastAsia="黑体" w:cs="黑体"/>
        </w:rPr>
      </w:pPr>
      <w:bookmarkStart w:id="18" w:name="_Toc2641"/>
      <w:r>
        <w:rPr>
          <w:rFonts w:hint="eastAsia" w:ascii="黑体" w:hAnsi="黑体" w:eastAsia="黑体" w:cs="黑体"/>
        </w:rPr>
        <w:t>3.5创新德育工作</w:t>
      </w:r>
      <w:bookmarkEnd w:id="18"/>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打造“阳光德育”学校品牌</w:t>
      </w:r>
    </w:p>
    <w:p>
      <w:pPr>
        <w:adjustRightInd w:val="0"/>
        <w:snapToGrid w:val="0"/>
        <w:spacing w:before="156" w:beforeLines="50" w:after="156" w:afterLines="50" w:line="360" w:lineRule="auto"/>
        <w:ind w:firstLine="420" w:firstLineChars="200"/>
        <w:rPr>
          <w:rFonts w:ascii="宋体" w:hAnsi="宋体" w:cs="宋体"/>
          <w:b/>
          <w:szCs w:val="21"/>
        </w:rPr>
      </w:pPr>
      <w:r>
        <w:rPr>
          <w:rFonts w:hint="eastAsia" w:ascii="宋体" w:hAnsi="宋体" w:cs="宋体"/>
          <w:szCs w:val="21"/>
        </w:rPr>
        <w:t>学校德育管理规范化。每个教师的育人风格、管理素质不同，班主任的性格爱好或气质类型或某种天赋能力不同，在班级管理中，应有不同的管理特色，才能充分发挥班主任的优势，</w:t>
      </w:r>
      <w:r>
        <w:rPr>
          <w:rFonts w:hint="eastAsia" w:ascii="宋体" w:hAnsi="宋体" w:cs="宋体"/>
          <w:kern w:val="0"/>
          <w:szCs w:val="21"/>
        </w:rPr>
        <w:t>做到一班一品，</w:t>
      </w:r>
      <w:r>
        <w:rPr>
          <w:rFonts w:hint="eastAsia" w:ascii="宋体" w:hAnsi="宋体" w:cs="宋体"/>
          <w:szCs w:val="21"/>
        </w:rPr>
        <w:t>使班主任的特色管理带动整个班集体建设。政教处积极带领各班以发展的视角，创新学校和班级文化建设。2020年，政教处创新班级文化建设，打造“阳光德育”一班一品德育品牌，展现班级的每一名学生在校生活的点点滴滴，通过微信公众号的推送，让萧山四职的学生更加阳光，更加自信，也使班级更加具有凝聚力。</w:t>
      </w:r>
    </w:p>
    <w:p>
      <w:pPr>
        <w:adjustRightInd w:val="0"/>
        <w:snapToGrid w:val="0"/>
        <w:spacing w:before="156" w:beforeLines="50" w:after="156" w:afterLines="50" w:line="360" w:lineRule="auto"/>
        <w:ind w:firstLine="420" w:firstLineChars="200"/>
        <w:rPr>
          <w:rFonts w:ascii="宋体" w:hAnsi="宋体" w:cs="宋体"/>
          <w:szCs w:val="21"/>
        </w:rPr>
      </w:pPr>
      <w:r>
        <w:rPr>
          <w:rFonts w:hint="eastAsia" w:ascii="宋体" w:hAnsi="宋体" w:cs="宋体"/>
          <w:szCs w:val="21"/>
        </w:rPr>
        <w:t>2020年，学校继续推行和优化阳光实践周制度，由所任班级担任为期一周的阳光实践工作，保障校园的整洁，为学生的学习、生活环境提供良好的氛围；监督学生文明作息。阳光实践周期间，担任阳光实践任务的班级认真负责地完成日常校园保洁、纪律管理任务，这提升了四职学子的自我管理能力和核心素养。</w:t>
      </w:r>
    </w:p>
    <w:p>
      <w:pPr>
        <w:adjustRightInd w:val="0"/>
        <w:snapToGrid w:val="0"/>
        <w:spacing w:before="156" w:beforeLines="50" w:after="156" w:afterLines="50" w:line="360" w:lineRule="auto"/>
        <w:ind w:firstLine="482"/>
        <w:rPr>
          <w:rFonts w:ascii="宋体" w:hAnsi="宋体" w:cs="宋体"/>
          <w:b/>
          <w:szCs w:val="21"/>
        </w:rPr>
      </w:pPr>
      <w:r>
        <w:rPr>
          <w:rFonts w:hint="eastAsia" w:ascii="宋体" w:hAnsi="宋体" w:cs="宋体"/>
          <w:szCs w:val="21"/>
        </w:rPr>
        <w:t>切实抓好学生干部队伍建设，充分发挥自主教育作用。充分发挥学生自主教育和自我管理能力，将教育的各种要求转化为学生的自觉行为，同时内化为学生的素质。通过团委、学生会、班委会，以学生社团、值周班管理活动为途径，积极引导全体学生自觉遵守学校一日常规、中学生日常行为规范，真正发挥自主教育的作用，学生管理社团如护校队、环保队、文明监督岗成为了学校管理育人的得力助手和有力补充，进一步助推四职的校园文明建设、巩固校园文明建设成果中发挥作用！</w:t>
      </w:r>
    </w:p>
    <w:p>
      <w:pPr>
        <w:adjustRightInd w:val="0"/>
        <w:snapToGrid w:val="0"/>
        <w:spacing w:before="156" w:beforeLines="50" w:after="156" w:afterLines="50" w:line="360" w:lineRule="auto"/>
        <w:ind w:firstLine="438" w:firstLineChars="209"/>
        <w:rPr>
          <w:rFonts w:ascii="宋体" w:hAnsi="宋体" w:cs="宋体"/>
          <w:b/>
          <w:szCs w:val="21"/>
        </w:rPr>
      </w:pPr>
      <w:r>
        <w:rPr>
          <w:rFonts w:hint="eastAsia" w:ascii="宋体" w:hAnsi="宋体" w:cs="宋体"/>
          <w:szCs w:val="21"/>
        </w:rPr>
        <w:t>德育工作抓落实，安全工作有保障，加强法制教育和安全教育，在防艾拒毒宣传方面做出示范。通过法制教育报告会及安全教育警示片观看，增强学生的法律意识和安全观念。2020年12月，我校邀请萧山区新街派出所夏源警官进校园进行法制教育报告会，全校学生深受教育。学校德育线积极利用安全教育网络平台、第二课堂、青骄普法平台，加强对家长和学生的安全意识教育、法律意识，落实平安校园和消防安全的学习任务。</w:t>
      </w:r>
    </w:p>
    <w:p>
      <w:pPr>
        <w:spacing w:before="156" w:beforeLines="50" w:after="156" w:afterLines="50" w:line="360" w:lineRule="auto"/>
        <w:ind w:firstLine="420" w:firstLineChars="200"/>
        <w:rPr>
          <w:rFonts w:ascii="宋体" w:hAnsi="宋体" w:cs="宋体"/>
          <w:szCs w:val="21"/>
        </w:rPr>
      </w:pPr>
      <w:r>
        <w:rPr>
          <w:rFonts w:hint="eastAsia" w:ascii="宋体" w:hAnsi="宋体" w:cs="宋体"/>
          <w:bCs/>
          <w:kern w:val="0"/>
          <w:szCs w:val="21"/>
        </w:rPr>
        <w:t>为切实消除校园安全事故的发生，学校政教处以规范学生日常行为为抓手，在4月和11月开展安全教育月和“防艾拒毒”系列活动，通过国旗下讲话、主题班会、</w:t>
      </w:r>
      <w:r>
        <w:rPr>
          <w:rFonts w:hint="eastAsia" w:ascii="宋体" w:hAnsi="宋体" w:cs="宋体"/>
          <w:szCs w:val="21"/>
        </w:rPr>
        <w:t>卫生救护培训、主题黑板报、</w:t>
      </w:r>
      <w:r>
        <w:rPr>
          <w:rFonts w:hint="eastAsia" w:ascii="宋体" w:hAnsi="宋体" w:cs="宋体"/>
          <w:szCs w:val="21"/>
          <w:lang w:val="zh-CN"/>
        </w:rPr>
        <w:t>影片赏析</w:t>
      </w:r>
      <w:r>
        <w:rPr>
          <w:rFonts w:hint="eastAsia" w:ascii="宋体" w:hAnsi="宋体" w:cs="宋体"/>
          <w:szCs w:val="21"/>
        </w:rPr>
        <w:t>等系列活动开展。增强广大师生的日常防范意识和自救自护能力，营造一个“人人讲安全，事事讲安全”的校园安全环境，</w:t>
      </w:r>
      <w:r>
        <w:rPr>
          <w:rFonts w:hint="eastAsia" w:ascii="宋体" w:hAnsi="宋体" w:cs="宋体"/>
          <w:szCs w:val="21"/>
          <w:lang w:val="zh-CN"/>
        </w:rPr>
        <w:t>提高师生安全意识和文明素养，有效地促进优良校风的形成，营造一个健康文明、绿色平安的四职校园。</w:t>
      </w:r>
      <w:r>
        <w:rPr>
          <w:rFonts w:hint="eastAsia" w:ascii="宋体" w:hAnsi="宋体" w:cs="宋体"/>
          <w:szCs w:val="21"/>
        </w:rPr>
        <w:t xml:space="preserve">这意味着，萧山四职的德育特色赋以了更深的“以人为本，安全至上”的内涵。 </w:t>
      </w:r>
    </w:p>
    <w:p>
      <w:pPr>
        <w:adjustRightInd w:val="0"/>
        <w:snapToGrid w:val="0"/>
        <w:spacing w:before="156" w:beforeLines="50" w:after="156" w:afterLines="50" w:line="360" w:lineRule="auto"/>
        <w:ind w:firstLine="420" w:firstLineChars="200"/>
        <w:rPr>
          <w:rFonts w:ascii="宋体" w:hAnsi="宋体" w:cs="宋体"/>
          <w:szCs w:val="21"/>
        </w:rPr>
      </w:pPr>
      <w:r>
        <w:rPr>
          <w:rFonts w:hint="eastAsia" w:ascii="宋体" w:hAnsi="宋体" w:cs="宋体"/>
          <w:szCs w:val="21"/>
        </w:rPr>
        <w:t>抓好社会、家庭、学校三个结合教育，促进学生健康成长。 一如既往地抓好社会、家庭与学校教育的互相结合。通过社会、家庭的教育力量来促进学校的德育工作，确保学生得以健康地成长，确保关心下一代工作的扎实有效开展。学校积极组织家长委员会的建设，加强了家校联系；9月下旬，学校组织全体高一新生军训工作，强化学生的军事素质和纪律观念；学校在组织春游活动中，加强了师生和谐关系，提升了育人实效；2020年学校组织学生参加了萧山区第八届“寒假读好书”活动征文比赛，倪烨萍同学的《跟着光——读《撒野》有感》，指导老师缪平，获得了二等奖，施鸥纳同学、彭雅玟同学、姜可儿同学的文章分别获得了优秀奖。2020年暑假读好书征文比赛中，倪烨萍同学的《黑暗中的光》，指导老师为缪平，获得了区二等奖，施鸥纳同学的《梦忆西风，梦回清》，指导老师潘开颜，获得了区三等奖。2020年萧山区中学团支部“致敬抗疫先锋 绘写最美逆行”主题黑板报，18级化工7班团支部，19级化工7班团支部获得了三等奖。2020萧山区“美德夏令营 携手迎亚运 共建文明城”比赛，19级外贸9班的段视频《阳光少年文明行》获得了三等奖；绘画大赛中，20级建筑5班《运动，我的亚运》、《西湖的亚运会》获得了三等奖。在第五届睿抗机器人大赛全国总决赛中，钱丹等多名同学获得了大赛的一二三等奖。</w:t>
      </w:r>
    </w:p>
    <w:p>
      <w:pPr>
        <w:adjustRightInd w:val="0"/>
        <w:snapToGrid w:val="0"/>
        <w:spacing w:before="156" w:beforeLines="50" w:after="156" w:afterLines="50" w:line="360" w:lineRule="auto"/>
        <w:ind w:firstLine="420" w:firstLineChars="200"/>
        <w:jc w:val="left"/>
        <w:rPr>
          <w:rFonts w:ascii="宋体" w:hAnsi="宋体" w:cs="宋体"/>
          <w:b/>
          <w:szCs w:val="21"/>
        </w:rPr>
      </w:pPr>
      <w:r>
        <w:rPr>
          <w:rFonts w:hint="eastAsia" w:ascii="宋体" w:hAnsi="宋体" w:cs="宋体"/>
          <w:szCs w:val="21"/>
        </w:rPr>
        <w:t>强化落后班级的管理，创新问题学生的教育与转化工作。</w:t>
      </w:r>
      <w:r>
        <w:rPr>
          <w:rFonts w:hint="eastAsia" w:ascii="宋体" w:hAnsi="宋体" w:cs="宋体"/>
          <w:kern w:val="0"/>
          <w:szCs w:val="21"/>
        </w:rPr>
        <w:t>5月和12月政教处两次组织全校受处分学生会议，进行集中教育。为了培养后进生的责任心，政教处组织部分受处分学生参加校园服务工作，从校园保洁开始试点，计划明年逐渐延伸到文岗检查、楼层管理以及志愿者活动领域，由团委、学生会具体落实，按表现积分。服务期满，积分达标，方可申请撤销处分。通过这一方式，让违纪学生树立在校学习与生活的目标，效果明显。</w:t>
      </w:r>
    </w:p>
    <w:p>
      <w:pPr>
        <w:adjustRightInd w:val="0"/>
        <w:snapToGrid w:val="0"/>
        <w:spacing w:before="156" w:beforeLines="50" w:after="156" w:afterLines="50" w:line="360" w:lineRule="auto"/>
        <w:ind w:firstLine="438" w:firstLineChars="209"/>
        <w:rPr>
          <w:rFonts w:ascii="宋体" w:hAnsi="宋体" w:cs="宋体"/>
          <w:b/>
          <w:szCs w:val="21"/>
        </w:rPr>
      </w:pPr>
      <w:r>
        <w:rPr>
          <w:rFonts w:hint="eastAsia" w:ascii="宋体" w:hAnsi="宋体" w:cs="宋体"/>
          <w:szCs w:val="21"/>
        </w:rPr>
        <w:t>创新德育载体，提升阳光品质，</w:t>
      </w:r>
      <w:r>
        <w:rPr>
          <w:rFonts w:hint="eastAsia" w:ascii="宋体" w:hAnsi="宋体" w:cs="宋体"/>
          <w:bCs/>
          <w:szCs w:val="21"/>
        </w:rPr>
        <w:t>礼仪教育规范学生行为。</w:t>
      </w:r>
      <w:r>
        <w:rPr>
          <w:rFonts w:hint="eastAsia" w:ascii="宋体" w:hAnsi="宋体" w:cs="宋体"/>
          <w:kern w:val="0"/>
          <w:szCs w:val="21"/>
        </w:rPr>
        <w:t>为全面贯彻落实《未成年人思想道德建设若干意见》，促进校园精神文明建设，开展以“文明礼仪”为主题的系列教育活动，以“说文明话，行文明事，做文明人”为活动宗旨，以培养学生良好的文明礼仪习惯为抓手，通过开展文明礼仪月系列多教育活动，形成人与人之间彼此尊重，互相帮助的和谐关系，自觉践行文明礼仪，全方位提高文明素养，加强学生公共空间教育。为进一步改进和加强学校的德育工作创设良好的育人环境，2020年6月，学校德育线组织《快乐女生》女生异性交往教育讲座，进一步加强我校女生的教育和管理工作，提高女生自我保护能力，促进同学间的正常交往，引导他们相互尊重、相互关爱，建设更加美丽、和谐的温馨校园。</w:t>
      </w:r>
    </w:p>
    <w:p>
      <w:pPr>
        <w:adjustRightInd w:val="0"/>
        <w:snapToGrid w:val="0"/>
        <w:spacing w:before="156" w:beforeLines="50" w:after="156" w:afterLines="50" w:line="360" w:lineRule="auto"/>
        <w:ind w:firstLine="411" w:firstLineChars="196"/>
        <w:rPr>
          <w:rFonts w:ascii="宋体" w:hAnsi="宋体" w:cs="宋体"/>
          <w:b/>
          <w:szCs w:val="21"/>
        </w:rPr>
      </w:pPr>
      <w:r>
        <w:rPr>
          <w:rFonts w:hint="eastAsia" w:ascii="宋体" w:hAnsi="宋体" w:cs="宋体"/>
          <w:szCs w:val="21"/>
        </w:rPr>
        <w:t>主题活动涤荡学生心理。我校开展环保、安全、文明礼仪等常态化主题教育活动，近年来，学生的认知问题已经引起了整个社会的关注，他们的身体发育已经逐渐成人化，但是从心理成长过程来看，这期间其对自身、他人、社会的认知及行为都处于过渡期，心理容易出现问题波动。</w:t>
      </w:r>
    </w:p>
    <w:p>
      <w:pPr>
        <w:spacing w:before="156" w:beforeLines="50" w:after="156" w:afterLines="50" w:line="360" w:lineRule="auto"/>
        <w:ind w:firstLine="420" w:firstLineChars="200"/>
        <w:rPr>
          <w:rFonts w:ascii="宋体" w:hAnsi="宋体" w:cs="宋体"/>
          <w:spacing w:val="8"/>
          <w:szCs w:val="21"/>
        </w:rPr>
      </w:pPr>
      <w:r>
        <w:rPr>
          <w:rFonts w:hint="eastAsia" w:ascii="宋体" w:hAnsi="宋体" w:cs="宋体"/>
          <w:szCs w:val="21"/>
        </w:rPr>
        <w:t>为了让“国旗下讲话”成为德育工作的重要载体，提高升旗仪式活动的教育效果，我校不断改革国旗下讲话的内容和形式，改变以往领导讲话的单一方式，以班级为单位，学生为主体全员参与进行班级阳光风采展示，为我校的德育工作传递了无限的正能量。其中，“点亮微心愿 传递正能量”、“垃圾再分类 绿点扮校园”等活动效果良好。2020年12月下旬，学校组织了 “美好教育 向阳而行”——萧山四职第三届核心素养成果展大型主题艺术活动，该活动包括跑操、大合唱、文艺汇演、校园歌手、教室寝室美化活动，以艺术熏陶的方式荡涤了学生的心灵。</w:t>
      </w:r>
    </w:p>
    <w:p>
      <w:pPr>
        <w:spacing w:before="156" w:beforeLines="50" w:after="156" w:afterLines="50" w:line="360" w:lineRule="auto"/>
        <w:ind w:firstLine="415" w:firstLineChars="198"/>
        <w:rPr>
          <w:rFonts w:ascii="宋体" w:hAnsi="宋体" w:cs="宋体"/>
          <w:szCs w:val="21"/>
        </w:rPr>
      </w:pPr>
      <w:r>
        <w:rPr>
          <w:rFonts w:hint="eastAsia" w:ascii="宋体" w:hAnsi="宋体" w:cs="宋体"/>
          <w:bCs/>
          <w:szCs w:val="21"/>
        </w:rPr>
        <w:t>文明风采活动彰显德育特色。</w:t>
      </w:r>
      <w:r>
        <w:rPr>
          <w:rFonts w:hint="eastAsia" w:ascii="宋体" w:hAnsi="宋体" w:cs="宋体"/>
          <w:szCs w:val="21"/>
        </w:rPr>
        <w:t>以“造就文化素质与技术水平双修的创业型人才”为培养目标，打造创业教育校园文化，培养具有创新思维和创业能力的高素质创新型人才，学校还积极配以创业教育为主线的各类德育专题教育，如5月开展创业创新教育月系列活动，通过国旗下讲话、创业之路在脚下征文、主题班会、文明风采活动、学生自我目标定位、小制作小发明等系列活动的开展，为学生特长、潜能发挥搭建一个良好的平台，培养学生的创业意识，激活了学生的创新思维和创业激情，使学生树立了正确的择业、创业及就业观。</w:t>
      </w:r>
    </w:p>
    <w:p>
      <w:pPr>
        <w:spacing w:before="156" w:beforeLines="50" w:after="156" w:afterLines="50" w:line="360" w:lineRule="auto"/>
        <w:ind w:firstLine="415" w:firstLineChars="198"/>
        <w:rPr>
          <w:rFonts w:ascii="宋体" w:hAnsi="宋体" w:cs="宋体"/>
          <w:szCs w:val="21"/>
        </w:rPr>
      </w:pPr>
      <w:r>
        <w:rPr>
          <w:rFonts w:hint="eastAsia" w:ascii="宋体" w:hAnsi="宋体" w:cs="宋体"/>
          <w:szCs w:val="21"/>
        </w:rPr>
        <w:t>“美丽行动”初现成效。根据《教育部 中央文明办关于深入开展文明校园创建活动的实施意见》（基教一〔2015〕7号）《浙江省中小学校文明校园创建工作实施办法》《杭州市“美丽学校”建设实施意见》（杭教〔2014〕5号）《关于印发&lt;杭州市中小学校文明校园、美丽学校创建工作实施办法&gt;的通知》（杭教德体卫艺〔2017〕8号）和萧教学〔2017〕69号文件精神，区教育局、区文明办于2017年5月起组织开展了区第一批“文明校园”认定工作。经各学校申报，专家评审和区教育局、区文明办审定，我校被确定为萧山区第一批 “文明校园”。2020年，我校在加强文明校园建设上，精益求精，不断创新，结合社会主义核心价值观的理念， 学习文明、践行文明行动深入人心。</w:t>
      </w:r>
    </w:p>
    <w:p>
      <w:pPr>
        <w:spacing w:before="156" w:beforeLines="50" w:after="156" w:afterLines="50" w:line="360" w:lineRule="auto"/>
        <w:ind w:firstLine="415" w:firstLineChars="198"/>
        <w:rPr>
          <w:rFonts w:ascii="宋体" w:hAnsi="宋体" w:cs="宋体"/>
          <w:szCs w:val="21"/>
        </w:rPr>
      </w:pPr>
      <w:r>
        <w:rPr>
          <w:rFonts w:hint="eastAsia" w:ascii="宋体" w:hAnsi="宋体" w:cs="宋体"/>
          <w:szCs w:val="21"/>
        </w:rPr>
        <w:t>2020年新冠疫情流行，学校在上级部门指导下，制定疫情期间各种疫情制度，切实做好我校新冠肺炎疫情预防控制工作，德育线前期做好学生返校摸排工作，利用开学第一课、开学第一周、以及课间对学生进行新冠知识宣传教育，帮助学生提高防范意识、了解防治知识，引导学生理性认知疫情、科学做好防护，保持充足睡眠，积极参加体育锻炼，增强体质和免疫力，养成良好卫生习惯和健康生活方式。定期进行大扫除，清除卫生死角，保持室内通风换气。实行两码刷卡进校，做好一日三检制度，实行高一、高二、高三的错时上下学，尽量不乘坐公共交通工具，建议步行、骑行。采用分餐进食，尽量分散就餐，同时认真做好疫情应急处置。在全校师生的共同努力下，维护学校正常的教育教学秩序的有效开展。</w:t>
      </w:r>
    </w:p>
    <w:p>
      <w:pPr>
        <w:pStyle w:val="3"/>
        <w:spacing w:before="156" w:beforeLines="50" w:after="156" w:afterLines="50"/>
        <w:ind w:firstLine="602"/>
        <w:rPr>
          <w:rFonts w:ascii="黑体" w:hAnsi="黑体" w:eastAsia="黑体" w:cs="黑体"/>
        </w:rPr>
      </w:pPr>
      <w:bookmarkStart w:id="19" w:name="_Toc19396"/>
      <w:r>
        <w:rPr>
          <w:rFonts w:hint="eastAsia" w:ascii="黑体" w:hAnsi="黑体" w:eastAsia="黑体" w:cs="黑体"/>
        </w:rPr>
        <w:t>3.6党建工作</w:t>
      </w:r>
      <w:bookmarkEnd w:id="19"/>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萧山四职党组织在2020年通过萧山区教育局党委审批，由党总支升格为党委，并通过全体党员的无记名投票选举，产生了由6人组成的新一届党委班子成员。俞敏、王春桥、沈权等3名预备党员转为中共正式党员，许吕江、朱丹莉等2位同志加入了中共预备党员。</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学校党委开展两场师德讲座，一个由学校党委书记俞百春同志以“在抗疫背景下党员的担当”为主题进行宣讲，第二是邀请了两位杭州市优秀支教教师作的事迹报告会。以此引领教师师德师风不断健康地成长，并根据区教育局党委的要求，三令五申地在各种会议上对全体教师强调师德师风要求，特别是严禁校外培训机构兼职、酒后驾车、廉洁要求、上班规范等方面的要求。党组织在去教育局提出的两个回归中也发挥了积极的作用，推门听课，课堂巡查等制度落到实处。</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萧山四职党建在全民抗疫志愿工作发挥了领头雁作用，萧山四职党组织根据新街街道疫情防控指挥部联合萧山青禾公益服务中心公开向社会招募防疫志愿者支援一线防疫工作和萧山区教育局关于全力以赴做好教育系统疫情防控的工作要求，全体党委委员全部报名参加，积极听从习总书记“把自己摆进去”的号召，总共报名人数为32名，其中党员29名。他们中有在北京挂职的朱骏老师，有从所前赶来的李宏和李华老师，有小孩子需要照顾的年轻妈妈李佳、陈燕英老师、吴怡娜老师。还有黄瑞明老师还参加过G20峰会的志愿活动，并被评为杭州市优秀志愿者，周莲芝老师对学校的所有工作都充满激情，并一再强调给她多排几个班，是一位被全校师生公认的不折不扣的师德楷模。保安队长李长贵免费为教师志愿者洗车。这次志愿者活动，萧山四职的志愿者全部安排在新街高速出口和萧山东高速出口，这是所有志愿者活动中最危险的地点，主要任务配合防疫专业人员为进萧人员测量体温。关键时刻，我们萧山四职的党员教师都能挺身而出，人人争做最美逆行身影中的一员，充分展现了萧山四职的教师风采。萧山四职抗疫志愿团队被萧山区教育局表彰为优秀志愿者团队，周莲芝老师被评为萧山区抗疫先进个人。</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党组织在学校校园文化建设中也发挥了积极的作用，构建优美的校园环境。2020年对校园硬件文化建设投入资金约60万元，保持校园环境整洁，有序规划，力求做到“四季有景”。教学楼教室的装修；宣传窗的改造；行政楼南花坛的改造；营造重大节日的文化氛围，并让学校每一个墙面都包涵文化的内涵；充分利用学校公众平台，营造文化氛围。学校利用微信公众号、萧山教育网、萧山网等媒体平台，将学校的办学理念、办学措施、取得成果等方面进行广泛发布。特别是能将学校的一举一动全面展现学校微信公众平台，让全校师生及家长能充分了解学校的动向；组织开展丰富多采的校园文化活动。构建系列化、特色化、常规化的校园文化活动体系。开展升旗仪式；入团教育系列活动；艺术节、技能节、体育节系列；演讲比赛、征文比赛、歌咏比赛、晨诵暮读等系列教育活动，加强学生社团建设，寓教于娱乐，陶冶学生情操，锤炼学生品格。工会组织开展教师人文教育活动，活跃校园生活，丰富校园文化，深化精神文明建设。</w:t>
      </w:r>
    </w:p>
    <w:p>
      <w:pPr>
        <w:pStyle w:val="2"/>
        <w:spacing w:before="156" w:beforeLines="50" w:after="156" w:afterLines="50"/>
        <w:ind w:firstLine="440" w:firstLineChars="100"/>
        <w:rPr>
          <w:rFonts w:ascii="华文中宋" w:hAnsi="华文中宋" w:eastAsia="华文中宋" w:cs="华文中宋"/>
          <w:sz w:val="44"/>
          <w:szCs w:val="44"/>
        </w:rPr>
      </w:pPr>
      <w:bookmarkStart w:id="20" w:name="_Toc29363"/>
      <w:r>
        <w:rPr>
          <w:rFonts w:hint="eastAsia" w:ascii="华文中宋" w:hAnsi="华文中宋" w:eastAsia="华文中宋" w:cs="华文中宋"/>
          <w:sz w:val="44"/>
          <w:szCs w:val="44"/>
        </w:rPr>
        <w:t>4.校企合作</w:t>
      </w:r>
      <w:bookmarkEnd w:id="20"/>
    </w:p>
    <w:p>
      <w:pPr>
        <w:pStyle w:val="3"/>
        <w:spacing w:before="156" w:beforeLines="50" w:after="156" w:afterLines="50"/>
        <w:ind w:firstLine="602"/>
        <w:rPr>
          <w:rFonts w:ascii="黑体" w:hAnsi="黑体" w:eastAsia="黑体" w:cs="黑体"/>
        </w:rPr>
      </w:pPr>
      <w:bookmarkStart w:id="21" w:name="_Toc18880"/>
      <w:r>
        <w:rPr>
          <w:rFonts w:hint="eastAsia" w:ascii="黑体" w:hAnsi="黑体" w:eastAsia="黑体" w:cs="黑体"/>
        </w:rPr>
        <w:t>4.1校企合作开展情况和效果</w:t>
      </w:r>
      <w:bookmarkEnd w:id="21"/>
    </w:p>
    <w:p>
      <w:pPr>
        <w:pStyle w:val="4"/>
        <w:spacing w:before="156" w:beforeLines="50" w:after="156" w:afterLines="50" w:line="360" w:lineRule="auto"/>
        <w:ind w:firstLine="422"/>
        <w:rPr>
          <w:rFonts w:ascii="宋体" w:hAnsi="宋体" w:eastAsia="宋体" w:cs="宋体"/>
          <w:snapToGrid w:val="0"/>
          <w:sz w:val="21"/>
          <w:szCs w:val="21"/>
        </w:rPr>
      </w:pPr>
      <w:r>
        <w:rPr>
          <w:rFonts w:hint="eastAsia" w:ascii="宋体" w:hAnsi="宋体" w:eastAsia="宋体" w:cs="宋体"/>
          <w:snapToGrid w:val="0"/>
          <w:sz w:val="21"/>
          <w:szCs w:val="21"/>
        </w:rPr>
        <w:t>4.1.1从单一专业单一模式的合作到全面深度合作</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2020年学校和上市公司杭萧钢构股份有限公司全面合作。杭萧钢构股份有限公司成为学校 “产教融合试点基地”，学校成为杭萧钢构股份有限公司“人才培养基地”。为此，校企双方构建了校企发展命运共同体。四职和杭萧钢构股份有限公司的合作，实现学校和企业的新一轮发展：</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一是构建“校企合作，工学结合，优势互补，合作共赢”的办学模式。</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二是创新“1+7+X”校企合作模式，1暨一个团结协作的校企合作管理团队，对校企深度合作进行顶层设计和具体的合作事项推进奠定基础；7暨积极打造“7共”产教融合模式，形成共同制定人才培养方案、共同建设实训基地、共同培养师资队伍、共同构建课程体系、共同实现优质就业、共同建设校企合作文化、共同制定评价标准的“七共”模式，实行校企双元育人，产教融合、工学交替，打破传统意义上的课堂，学生实现员工学徒与学生双重身份的无缝连接；“X”暨合作的多个维度，即通过合作，创新职教集团助推学校发展模式、打造四职杭萧钢构的校企合作共同体的品牌、探索一体双翼现代学徒制、探索1+X的双证书制度改革、构建服务企业开展技能培训等。</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三是体现四全特色，产业专业全覆盖、人才培养全对接、校企文化全融合、服务培训全辐射。通过1+7+N校企模式打造，实行校企双元育人，产教融合、工学交替，实现校企无缝连接。让学生优质就业就不是一句空话。</w:t>
      </w:r>
    </w:p>
    <w:p>
      <w:pPr>
        <w:pStyle w:val="4"/>
        <w:spacing w:before="156" w:beforeLines="50" w:after="156" w:afterLines="50" w:line="360" w:lineRule="auto"/>
        <w:ind w:firstLine="422"/>
        <w:rPr>
          <w:rFonts w:ascii="宋体" w:hAnsi="宋体" w:eastAsia="宋体" w:cs="宋体"/>
          <w:snapToGrid w:val="0"/>
          <w:sz w:val="21"/>
          <w:szCs w:val="21"/>
        </w:rPr>
      </w:pPr>
      <w:r>
        <w:rPr>
          <w:rFonts w:hint="eastAsia" w:ascii="宋体" w:hAnsi="宋体" w:eastAsia="宋体" w:cs="宋体"/>
          <w:snapToGrid w:val="0"/>
          <w:sz w:val="21"/>
          <w:szCs w:val="21"/>
        </w:rPr>
        <w:t>4.1.2成立护理专业示范性教学实训中心</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2020年6月，为提高为提高护理专业学生的临床技能，培养学生的实践能力，学校在浙江东南网架集团下属浙江萧山医院成立了“萧山四职护理专业示范性教学实训中心”，实训中心的成立将进一步深化“产教融合、校企合作”，对于推动学校护理专业的实习实训教学、护理师资培养起到积极作用，也将全面提高学校综合实力和人才培养水平。</w:t>
      </w:r>
    </w:p>
    <w:p>
      <w:pPr>
        <w:spacing w:before="156" w:beforeLines="50" w:after="156" w:afterLines="50" w:line="360" w:lineRule="auto"/>
        <w:ind w:firstLine="422" w:firstLineChars="200"/>
        <w:rPr>
          <w:rFonts w:ascii="宋体" w:hAnsi="宋体" w:cs="宋体"/>
          <w:b/>
          <w:bCs/>
          <w:snapToGrid w:val="0"/>
          <w:szCs w:val="21"/>
        </w:rPr>
      </w:pPr>
      <w:r>
        <w:rPr>
          <w:rFonts w:hint="eastAsia" w:ascii="宋体" w:hAnsi="宋体" w:cs="宋体"/>
          <w:b/>
          <w:bCs/>
          <w:snapToGrid w:val="0"/>
          <w:szCs w:val="21"/>
        </w:rPr>
        <w:t>召开1+X证书制度改革论坛暨护理专业群建设工作研讨会</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2020年10月，学校邀请教育行政部门、医疗护理行业、养老照护企业等专家领导，多元共同参与，从不同的角度就推进学校1+X证书制度改革和护理专业群建设进行深入研讨，解读当前职业教育面临的机遇和挑战，从行业、企业的角度探讨如何通过“校企合作、产教融合” 提升学校育人数量与质量，提升产教融合协同创新能力，同时交流、分享护理专业学生培养经验，为提升萧山区域内四大医共体护理实习培养的内涵，为区护理事业的发展起到积极的推动作用。</w:t>
      </w:r>
    </w:p>
    <w:p>
      <w:pPr>
        <w:pStyle w:val="4"/>
        <w:spacing w:before="156" w:beforeLines="50" w:after="156" w:afterLines="50" w:line="360" w:lineRule="auto"/>
        <w:ind w:firstLine="422"/>
        <w:rPr>
          <w:rFonts w:ascii="宋体" w:hAnsi="宋体" w:eastAsia="宋体" w:cs="宋体"/>
          <w:snapToGrid w:val="0"/>
          <w:sz w:val="21"/>
          <w:szCs w:val="21"/>
        </w:rPr>
      </w:pPr>
      <w:r>
        <w:rPr>
          <w:rFonts w:hint="eastAsia" w:ascii="宋体" w:hAnsi="宋体" w:eastAsia="宋体" w:cs="宋体"/>
          <w:snapToGrid w:val="0"/>
          <w:sz w:val="21"/>
          <w:szCs w:val="21"/>
        </w:rPr>
        <w:t>4.1.3全力推进1+X职业技能等级证书试点</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2019年12月，学校成功申报为教育部1+X老年照护（初级）职业技能等级证书项目试点单位；2020年5月，建筑专业通过1+X建筑信息模型（BIM）（初级）和建筑工程识图（初级）的申报审核。为做好学校首批1+X证书制度试点工作，学校成立了“萧山四职1+X职业技能等级证书培训领导小组和工作小组”，领导小组以校长任组长，分管校长任副组长，全面负责试点项目工作，决定学校1+X证书试点工作中的重大事项，协调解决试点工作中的重要问题；工作小组由教务处、培训处、教技处等相关科室负责人组成，具体执行考点申报、师资培训、学生技能培训、考试报名和考务等各项试点工作，并组织制定“课证融通”方案和培训计划，根据方案和计划组织实施培训教学与教学质量评价。同时，学校实行1+X证书试点工作会议制度，工作会议由组长或副组长召集，根据试点工作需要定期或不定期召开。目前，学校已多次召开1+X证书制度试点工作推进会，组织各专业教师参加师资培训和考评员培训。</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2020年12月，学校完成首批40人参加的1+X老年照护（初级）理论与实操共计160余课时的培训，经教育部1+X老年照护浙江考评站指家组的考评，最终理论合格40人，理论通过率100%，实操合格37人，实操通过率92.5%，共计37人拿到了由教育部1+X证书评价组织颁发的老年照护职业技能（初级）证书，成为杭州地区首批获得1+X老年照护（初级）证书的中职学生，这为学生今后实现高质量就业和职业生涯优质发展奠定了基础。</w:t>
      </w:r>
    </w:p>
    <w:p>
      <w:pPr>
        <w:spacing w:before="156" w:beforeLines="50" w:after="156" w:afterLines="50" w:line="360" w:lineRule="auto"/>
        <w:ind w:firstLine="422" w:firstLineChars="200"/>
        <w:outlineLvl w:val="2"/>
        <w:rPr>
          <w:rFonts w:ascii="宋体" w:hAnsi="宋体" w:cs="宋体"/>
          <w:b/>
          <w:bCs/>
          <w:snapToGrid w:val="0"/>
          <w:szCs w:val="21"/>
        </w:rPr>
      </w:pPr>
      <w:r>
        <w:rPr>
          <w:rFonts w:hint="eastAsia" w:ascii="宋体" w:hAnsi="宋体" w:cs="宋体"/>
          <w:b/>
          <w:bCs/>
          <w:snapToGrid w:val="0"/>
          <w:szCs w:val="21"/>
        </w:rPr>
        <w:t>4.1.4契合1+X证书制度改革和现代学徒制试点，深化产教融合、校企合作</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为确保学校1+X证书制度改革的推进，学校先以护理专业为试点，将1+X证书与现代学徒制有效融合，推进产教融合、校企合作。</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1、项目融合：实施校企“双元” 育人</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2020年，学校以教育部1+X老年照护职业技能等级培训为纽带，结合学徒制人才培养特点，与养老企业杭州萧山开元医院•萧山开元之心颐养园联合在护理专业现代学徒制学生中开展1+X老年照护理论与实操培训，学校选派4位专业教师和2位企业专家共同搭建老年照护师资平台，共同实施双主体育人。在培训过程中，将1+X老年照护的教学标准和教学内容与养老企业的职业标准进行融合，并在校企双方共同实施的过程中逐步完善人才培养方案和人才质量评价标准。</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2、师资融合：打造专兼结合的双导师团队</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学校通过1+X老年照护证书培训的实施，完善在现代学徒制试点过程中校企双方师资的互聘互用，打造校企共同参与，深度融合的老年照护教学团队，企业师傅为学校教师开展实践能力培训，学校专业教师为企业师傅进行教学方法的指导，提升企业师傅的教学组织能力和教育教学能力。</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3、课程融合：开发与职业技能等级证书标准相融通的课程资源</w:t>
      </w:r>
    </w:p>
    <w:p>
      <w:pPr>
        <w:spacing w:before="156" w:beforeLines="50" w:after="156" w:afterLines="50" w:line="360" w:lineRule="auto"/>
        <w:ind w:firstLine="420" w:firstLineChars="200"/>
        <w:rPr>
          <w:rFonts w:ascii="宋体" w:hAnsi="宋体" w:cs="宋体"/>
          <w:snapToGrid w:val="0"/>
          <w:szCs w:val="21"/>
        </w:rPr>
      </w:pPr>
      <w:r>
        <w:rPr>
          <w:rFonts w:hint="eastAsia" w:ascii="宋体" w:hAnsi="宋体" w:cs="宋体"/>
          <w:snapToGrid w:val="0"/>
          <w:szCs w:val="21"/>
        </w:rPr>
        <w:t>根据1+X老年照护职业技能等级标准，学校组织专业教师研究制定老年照护课证融通方案，将护理专业课程内容与证书标准要求的岗位核心能力对接。下一步，学校将组织企业、养老行业联合制定专业教学标准，重构课程体系，共同开发专业课程，满足教师教学需要和学生自主学习的需要，深化教学方法和教学手段的变革。</w:t>
      </w:r>
    </w:p>
    <w:p>
      <w:pPr>
        <w:pStyle w:val="3"/>
        <w:spacing w:before="156" w:beforeLines="50" w:after="156" w:afterLines="50"/>
        <w:ind w:firstLine="602"/>
        <w:rPr>
          <w:rFonts w:ascii="黑体" w:hAnsi="黑体" w:eastAsia="黑体" w:cs="黑体"/>
        </w:rPr>
      </w:pPr>
      <w:bookmarkStart w:id="22" w:name="_Toc30719"/>
      <w:r>
        <w:rPr>
          <w:rFonts w:hint="eastAsia" w:ascii="黑体" w:hAnsi="黑体" w:eastAsia="黑体" w:cs="黑体"/>
        </w:rPr>
        <w:t>4.2学生实习情况</w:t>
      </w:r>
      <w:bookmarkEnd w:id="22"/>
    </w:p>
    <w:p>
      <w:pPr>
        <w:pStyle w:val="15"/>
        <w:shd w:val="clear" w:color="auto" w:fill="FFFFFF"/>
        <w:spacing w:before="156" w:beforeLines="50" w:beforeAutospacing="0" w:after="156" w:afterLines="50" w:afterAutospacing="0" w:line="360" w:lineRule="auto"/>
        <w:ind w:firstLine="441" w:firstLineChars="209"/>
        <w:rPr>
          <w:b/>
          <w:bCs/>
          <w:snapToGrid w:val="0"/>
          <w:sz w:val="21"/>
          <w:szCs w:val="21"/>
        </w:rPr>
      </w:pPr>
      <w:r>
        <w:rPr>
          <w:rFonts w:hint="eastAsia"/>
          <w:b/>
          <w:bCs/>
          <w:snapToGrid w:val="0"/>
          <w:sz w:val="21"/>
          <w:szCs w:val="21"/>
        </w:rPr>
        <w:t>加强疫情防控，推进复工复产</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2020年初，受新冠疫情的影响，护理专业实习受到一定程度的影响。2020年5月，为响应上级部门关于复工复产的号召，护理专业17级168位同学在暂停临床实习三个月后，陆续开始返岗实习。同时，为确保返岗实习期间学生的身体健康和生命安全，学校先后制定多套预案，向实习学生发放各类返岗期间疫情防控资料，并与各实习医院护理部逐一沟通实习返岗方案，确保与实习单位做到疫情管理联防联控，及时对返岗实习学生进行新冠病毒核酸检测和抗体检测，确保符合返岗管理要求。</w:t>
      </w:r>
    </w:p>
    <w:p>
      <w:pPr>
        <w:pStyle w:val="15"/>
        <w:shd w:val="clear" w:color="auto" w:fill="FFFFFF"/>
        <w:spacing w:before="156" w:beforeLines="50" w:beforeAutospacing="0" w:after="156" w:afterLines="50" w:afterAutospacing="0" w:line="360" w:lineRule="auto"/>
        <w:ind w:firstLine="441" w:firstLineChars="209"/>
        <w:rPr>
          <w:b/>
          <w:bCs/>
          <w:snapToGrid w:val="0"/>
          <w:sz w:val="21"/>
          <w:szCs w:val="21"/>
        </w:rPr>
      </w:pPr>
      <w:r>
        <w:rPr>
          <w:rFonts w:hint="eastAsia"/>
          <w:b/>
          <w:bCs/>
          <w:snapToGrid w:val="0"/>
          <w:sz w:val="21"/>
          <w:szCs w:val="21"/>
        </w:rPr>
        <w:t>企业之旅，搭建学生成长平台。</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职业教育培养什么人？——培养高素质技能型人才；职业教育怎样培养人？——走校企合作、工学结合的培养模式，这是萧山四职“以服务为宗旨，以就业为导向”办学思想的体现。实习作为教学环节的一部分,是学生感知企业文化,将所学专业知识与生产实际相结合,培养分析问题和解决问题能力,更好地完善自身知识和能力结构的重要途径。</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学校将实习分为工学交替的岗位体验和集中顶岗实习两类，以促进理论与实践的结合。2020年，高二建筑专业90名学生到杭萧钢构股份有限公司体验一周，让同学们知晓钢结构建筑具有抗震性好，强度高，建设周期短，自重轻，造形美观，易于工业化生产等优点，是一种节能环保、可循环利用的新型建筑结构形式，被誉为21世纪的“绿色建筑”。这样的学习体验，做到了课程内容与职业标准对接，教学过程与就业过程对接，激发了学生的学习热情，提高学生学习的“附加值”，为学生的可持续发展打下良好基础；高一药剂专业学生到胡庆余堂中药博物馆参观学习。高三年级机械、建筑、化工、外贸专业共计56名学生分别到30余家企业进行为期一年的顶岗实习；高三年级中高职一体化的三个毕业班共65名学生去雷迪森、宝盛宾馆、众安假日、杭萧钢构、科尔珠宝社会实习五个月，培养学生吃苦耐劳的精神，让学生的实际能力与岗位需求“零距离”对接，接触企业真实的运作流程，感受企业先进的管理理念，接受企业的文化熏陶，经过一阶段的学生锻炼，我校实习学生获得了用人单位的充分肯定。</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2020年，护理专业先后与萧山区第一人民医院、区第二人民医院、区第三人民医院、区中医骨伤科医院、浙江萧山医院、萧山区中医院和杭州市大江东医院等7家综合性医院开展实习实训基地建设，与杭州爱弥儿月子中心、妈咪呗呗月子中心和杭州萧山开元医院·开元之心颐养园签订校企合作协议，全年累计接收护理专业实习生356人、接收预就业学生43人。为确保学生在实习期间的实习安全，2020年，学校先后开展了8场实习岗前培训与讲座，邀请援鄂抗疫优秀毕业生和各医院护理部主任来校，从新冠肺炎防控、实习规章制度、护理安全、医疗安全、病历书写、护士职业规划、护理礼仪、职业道德与法律等方面进行教育，保障了学生的实习质量和实习安全。实习满意度达100%。</w:t>
      </w:r>
    </w:p>
    <w:p>
      <w:pPr>
        <w:pStyle w:val="15"/>
        <w:shd w:val="clear" w:color="auto" w:fill="FFFFFF"/>
        <w:spacing w:before="156" w:beforeLines="50" w:beforeAutospacing="0" w:after="156" w:afterLines="50" w:afterAutospacing="0" w:line="360" w:lineRule="auto"/>
        <w:ind w:firstLine="438" w:firstLineChars="209"/>
        <w:rPr>
          <w:snapToGrid w:val="0"/>
          <w:sz w:val="21"/>
          <w:szCs w:val="21"/>
        </w:rPr>
      </w:pPr>
      <w:r>
        <w:rPr>
          <w:rFonts w:hint="eastAsia"/>
          <w:snapToGrid w:val="0"/>
          <w:sz w:val="21"/>
          <w:szCs w:val="21"/>
        </w:rPr>
        <w:t>2020年，学校组织护理专业1+X老年照护职业技能培训试点班级40名学生进驻校企合作单位杭州萧山开元医院·开元之心颐养园，进行老年照护职业技能培训、实习，让学生们亲身感受老年照护独特的人文关怀和护理要点。</w:t>
      </w:r>
    </w:p>
    <w:p>
      <w:pPr>
        <w:pStyle w:val="3"/>
        <w:spacing w:before="156" w:beforeLines="50" w:after="156" w:afterLines="50"/>
        <w:ind w:firstLine="602"/>
        <w:rPr>
          <w:rFonts w:ascii="黑体" w:hAnsi="黑体" w:eastAsia="黑体" w:cs="黑体"/>
        </w:rPr>
      </w:pPr>
      <w:bookmarkStart w:id="23" w:name="_Toc20034"/>
      <w:r>
        <w:rPr>
          <w:rFonts w:hint="eastAsia" w:ascii="黑体" w:hAnsi="黑体" w:eastAsia="黑体" w:cs="黑体"/>
        </w:rPr>
        <w:t>4.3集团化办学情况</w:t>
      </w:r>
      <w:bookmarkEnd w:id="23"/>
    </w:p>
    <w:p>
      <w:pPr>
        <w:pStyle w:val="15"/>
        <w:shd w:val="clear" w:color="auto" w:fill="FFFFFF"/>
        <w:spacing w:before="156" w:beforeLines="50" w:beforeAutospacing="0" w:after="156" w:afterLines="50" w:afterAutospacing="0" w:line="360" w:lineRule="auto"/>
        <w:ind w:firstLine="420" w:firstLineChars="200"/>
        <w:rPr>
          <w:sz w:val="21"/>
          <w:szCs w:val="21"/>
        </w:rPr>
      </w:pPr>
      <w:r>
        <w:rPr>
          <w:rFonts w:hint="eastAsia"/>
          <w:sz w:val="21"/>
          <w:szCs w:val="21"/>
        </w:rPr>
        <w:t>萧山区第四中等职业学校教育集团成立于2009年，所属成员除萧山四职以外还包括3所成人文化技术学校（分别为新街镇成人文化技术学校、宁围镇成人文化技术学校、衙前镇成人文化技术学校）、3家企业（浙江恒达集团、杭州正强实业有限公司、浙江纳德物业管理有限公司）和1所民办学校（杭州市萧山区建工学校）共8家单位，集团组建以来发挥重点职业院校的示范和辐射作用，加强学校与行业、企业和社会团体的合作，通过集团化办学，在资源共享、优势互补、校企合作、互惠共赢等方面彰显出强大的生命力，取得了显著成效。2019年5月，几经酝酿，萧山四职与浙江东南网架集团有限公司校企深度合作签约暨授牌仪式在学校四楼会议室举行，华红霞校长代表萧山四职，徐春祥总经理代表东南网架集团签署校企合作协议书；东南网架成为萧山四职的现代学徒制基地和产教融合试点基地，萧山四职成为东南网架的高素质人才培养基地，校企双方将共同打造校企共同体，该项目已在2019年杭州市三名工程建设中立项。2020年6月，萧山四职护理专业示范性教学实训中心在东南网架集团下属浙江萧山医院成立，该项目已在2020年杭州中职质量提升工程建设中立项.</w:t>
      </w:r>
    </w:p>
    <w:p>
      <w:pPr>
        <w:pStyle w:val="2"/>
        <w:spacing w:before="156" w:beforeLines="50" w:after="156" w:afterLines="50"/>
        <w:ind w:firstLine="440" w:firstLineChars="100"/>
        <w:rPr>
          <w:rFonts w:ascii="华文中宋" w:hAnsi="华文中宋" w:eastAsia="华文中宋" w:cs="华文中宋"/>
          <w:sz w:val="44"/>
          <w:szCs w:val="44"/>
        </w:rPr>
      </w:pPr>
      <w:bookmarkStart w:id="24" w:name="_Toc30438"/>
      <w:r>
        <w:rPr>
          <w:rFonts w:hint="eastAsia" w:ascii="华文中宋" w:hAnsi="华文中宋" w:eastAsia="华文中宋" w:cs="华文中宋"/>
          <w:sz w:val="44"/>
          <w:szCs w:val="44"/>
        </w:rPr>
        <w:t>5.社会服务与贡献 </w:t>
      </w:r>
      <w:bookmarkEnd w:id="24"/>
    </w:p>
    <w:p>
      <w:pPr>
        <w:pStyle w:val="3"/>
        <w:spacing w:before="156" w:beforeLines="50" w:after="156" w:afterLines="50"/>
        <w:ind w:firstLine="602"/>
        <w:rPr>
          <w:rFonts w:ascii="黑体" w:hAnsi="黑体" w:eastAsia="黑体" w:cs="黑体"/>
        </w:rPr>
      </w:pPr>
      <w:bookmarkStart w:id="25" w:name="_Toc20323"/>
      <w:r>
        <w:rPr>
          <w:rFonts w:hint="eastAsia" w:ascii="黑体" w:hAnsi="黑体" w:eastAsia="黑体" w:cs="黑体"/>
        </w:rPr>
        <w:t>5.1技术技能人才培养</w:t>
      </w:r>
      <w:bookmarkEnd w:id="25"/>
    </w:p>
    <w:p>
      <w:pPr>
        <w:pStyle w:val="15"/>
        <w:shd w:val="clear" w:color="auto" w:fill="FFFFFF"/>
        <w:spacing w:before="156" w:beforeLines="50" w:beforeAutospacing="0" w:after="156" w:afterLines="50" w:afterAutospacing="0" w:line="360" w:lineRule="auto"/>
        <w:ind w:firstLine="480"/>
        <w:rPr>
          <w:b/>
          <w:bCs/>
          <w:sz w:val="21"/>
          <w:szCs w:val="21"/>
        </w:rPr>
      </w:pPr>
      <w:r>
        <w:rPr>
          <w:rFonts w:hint="eastAsia"/>
          <w:b/>
          <w:bCs/>
          <w:sz w:val="21"/>
          <w:szCs w:val="21"/>
        </w:rPr>
        <w:t>精准对接产业需求，准确定位人才培训规格。</w:t>
      </w:r>
    </w:p>
    <w:p>
      <w:pPr>
        <w:pStyle w:val="15"/>
        <w:shd w:val="clear" w:color="auto" w:fill="FFFFFF"/>
        <w:spacing w:before="156" w:beforeLines="50" w:beforeAutospacing="0" w:after="156" w:afterLines="50" w:afterAutospacing="0" w:line="360" w:lineRule="auto"/>
        <w:ind w:firstLine="480"/>
        <w:rPr>
          <w:sz w:val="21"/>
          <w:szCs w:val="21"/>
        </w:rPr>
      </w:pPr>
      <w:r>
        <w:rPr>
          <w:rFonts w:hint="eastAsia"/>
          <w:sz w:val="21"/>
          <w:szCs w:val="21"/>
        </w:rPr>
        <w:t>把促进人的全面发展和适应社会需要作为衡量人才培养水平的根本标准，树立多样化人才和人人成才观念，努力造就信念执著、品德优良、知识丰富、本领过硬的高素质技术技能型人才。通过创新教育教学方法，注重师生互动，鼓励教师在教学中突出启发性、灵活性、探究性和创造性，营造独立思考、自由探索、勇于创新的良好环境。要重视校园文化与行业企业文化融合，促进科研与教学互动，健全与行业企业协同育人的机制，探索国际合作培养人才。要加快专业之间教学联合，打破学校各专业之间的壁垒，加快推进跨界人才培养。要健全教育质量标准体系、保障体系和监测体系，形成质量管理和评价的有效办法。全面推进工学结合、校企合作，构建校企招生与招工、培养与需求、教学与生产、教师与师傅、监控与督导、教学运行与生产调度、毕业与就业等一体化育人模式，形成校企共育一流人才，推动专业培养目标、课程内容、教学过程与产业升级、行业标准、企业需求相对接。</w:t>
      </w:r>
    </w:p>
    <w:p>
      <w:pPr>
        <w:pStyle w:val="15"/>
        <w:shd w:val="clear" w:color="auto" w:fill="FFFFFF"/>
        <w:spacing w:before="156" w:beforeLines="50" w:beforeAutospacing="0" w:after="156" w:afterLines="50" w:afterAutospacing="0" w:line="360" w:lineRule="auto"/>
        <w:ind w:firstLine="480"/>
        <w:rPr>
          <w:sz w:val="21"/>
          <w:szCs w:val="21"/>
        </w:rPr>
      </w:pPr>
      <w:r>
        <w:rPr>
          <w:rFonts w:hint="eastAsia"/>
          <w:sz w:val="21"/>
          <w:szCs w:val="21"/>
        </w:rPr>
        <w:t>学校通过“校企融合，工学结合”、“现代学徒制”等多种形式的人才培养模式，为社会培养出一批专业技能过硬、职业素养全面的人才。注重学生的核心素养提升，围绕核心素养开发课程，从阳光德育，再到创新创业教育，构建了多元化的素养评价机制。</w:t>
      </w:r>
    </w:p>
    <w:p>
      <w:pPr>
        <w:pStyle w:val="15"/>
        <w:shd w:val="clear" w:color="auto" w:fill="FFFFFF"/>
        <w:spacing w:before="156" w:beforeLines="50" w:beforeAutospacing="0" w:after="156" w:afterLines="50" w:afterAutospacing="0" w:line="360" w:lineRule="auto"/>
        <w:ind w:firstLine="480"/>
        <w:rPr>
          <w:sz w:val="21"/>
          <w:szCs w:val="21"/>
        </w:rPr>
      </w:pPr>
      <w:r>
        <w:rPr>
          <w:rFonts w:hint="eastAsia"/>
          <w:sz w:val="21"/>
          <w:szCs w:val="21"/>
        </w:rPr>
        <w:t>通过对用人单位的调查，我们发现企业对学生的整体评价满意度及学校就业工作的整体满意度较高，用人单位对我校顶岗实习生在诚信守约、工作能力、吃苦耐劳精神、语言沟通能力、承受工作压力的能力及适应能力等方面的总体评价较好，当然也有少量学生有一定欠缺，这和学生自身专业技能水平不高有关，也和社会大环境、学校教育、家庭教育有一定关联。</w:t>
      </w:r>
    </w:p>
    <w:p>
      <w:pPr>
        <w:pStyle w:val="15"/>
        <w:shd w:val="clear" w:color="auto" w:fill="FFFFFF"/>
        <w:spacing w:before="156" w:beforeLines="50" w:beforeAutospacing="0" w:after="156" w:afterLines="50" w:afterAutospacing="0" w:line="360" w:lineRule="auto"/>
        <w:ind w:firstLine="482"/>
        <w:jc w:val="both"/>
        <w:outlineLvl w:val="1"/>
        <w:rPr>
          <w:rFonts w:ascii="黑体" w:hAnsi="黑体" w:eastAsia="黑体" w:cs="黑体"/>
          <w:b/>
          <w:kern w:val="2"/>
          <w:sz w:val="30"/>
          <w:szCs w:val="30"/>
        </w:rPr>
      </w:pPr>
      <w:bookmarkStart w:id="26" w:name="_Toc4261"/>
      <w:r>
        <w:rPr>
          <w:rFonts w:hint="eastAsia" w:ascii="黑体" w:hAnsi="黑体" w:eastAsia="黑体" w:cs="黑体"/>
          <w:b/>
          <w:kern w:val="2"/>
          <w:sz w:val="30"/>
          <w:szCs w:val="30"/>
        </w:rPr>
        <w:t>5.2社会服务</w:t>
      </w:r>
      <w:bookmarkEnd w:id="26"/>
    </w:p>
    <w:p>
      <w:pPr>
        <w:pStyle w:val="15"/>
        <w:shd w:val="clear" w:color="auto" w:fill="FFFFFF"/>
        <w:spacing w:before="156" w:beforeLines="50" w:beforeAutospacing="0" w:after="156" w:afterLines="50" w:afterAutospacing="0" w:line="360" w:lineRule="auto"/>
        <w:ind w:firstLine="482"/>
        <w:outlineLvl w:val="2"/>
        <w:rPr>
          <w:b/>
          <w:bCs/>
          <w:snapToGrid w:val="0"/>
          <w:sz w:val="21"/>
          <w:szCs w:val="21"/>
        </w:rPr>
      </w:pPr>
      <w:r>
        <w:rPr>
          <w:rFonts w:hint="eastAsia"/>
          <w:b/>
          <w:bCs/>
          <w:snapToGrid w:val="0"/>
          <w:sz w:val="21"/>
          <w:szCs w:val="21"/>
        </w:rPr>
        <w:t>5.2.1提升学历，服务健康产业</w:t>
      </w:r>
    </w:p>
    <w:p>
      <w:pPr>
        <w:pStyle w:val="15"/>
        <w:shd w:val="clear" w:color="auto" w:fill="FFFFFF"/>
        <w:spacing w:before="156" w:beforeLines="50" w:beforeAutospacing="0" w:after="156" w:afterLines="50" w:afterAutospacing="0" w:line="360" w:lineRule="auto"/>
        <w:ind w:firstLine="482"/>
        <w:rPr>
          <w:snapToGrid w:val="0"/>
          <w:sz w:val="21"/>
          <w:szCs w:val="21"/>
        </w:rPr>
      </w:pPr>
      <w:r>
        <w:rPr>
          <w:rFonts w:hint="eastAsia"/>
          <w:snapToGrid w:val="0"/>
          <w:sz w:val="21"/>
          <w:szCs w:val="21"/>
        </w:rPr>
        <w:t>卫校校区为萧山卫生系统医护人员的学历提升和各类培训提供了有力的支撑，取得了丰硕的成果。学校先后与浙江中医药大学、温州医科大学、衢州职业技术学院等高职院校合作开展护理学专科、专升本学历教育，目前在籍学员近200人，每年开设专科、本科课程20余门；2020年，共发放护理类专科、本科毕业证160余本，为区域卫生健康产业输送了大量合格的护理人才，提升了区域卫生医疗队伍的学历水平。</w:t>
      </w:r>
    </w:p>
    <w:p>
      <w:pPr>
        <w:pStyle w:val="15"/>
        <w:shd w:val="clear" w:color="auto" w:fill="FFFFFF"/>
        <w:spacing w:before="156" w:beforeLines="50" w:beforeAutospacing="0" w:after="156" w:afterLines="50" w:afterAutospacing="0" w:line="360" w:lineRule="auto"/>
        <w:ind w:firstLine="482"/>
        <w:outlineLvl w:val="2"/>
        <w:rPr>
          <w:b/>
          <w:bCs/>
          <w:snapToGrid w:val="0"/>
          <w:sz w:val="21"/>
          <w:szCs w:val="21"/>
        </w:rPr>
      </w:pPr>
      <w:r>
        <w:rPr>
          <w:rFonts w:hint="eastAsia"/>
          <w:b/>
          <w:bCs/>
          <w:snapToGrid w:val="0"/>
          <w:sz w:val="21"/>
          <w:szCs w:val="21"/>
        </w:rPr>
        <w:t>5.2.2多措并举，助力振兴乡村</w:t>
      </w:r>
    </w:p>
    <w:p>
      <w:pPr>
        <w:pStyle w:val="15"/>
        <w:shd w:val="clear" w:color="auto" w:fill="FFFFFF"/>
        <w:spacing w:before="156" w:beforeLines="50" w:beforeAutospacing="0" w:after="156" w:afterLines="50" w:afterAutospacing="0" w:line="360" w:lineRule="auto"/>
        <w:ind w:firstLine="482"/>
        <w:rPr>
          <w:snapToGrid w:val="0"/>
          <w:sz w:val="21"/>
          <w:szCs w:val="21"/>
        </w:rPr>
      </w:pPr>
      <w:r>
        <w:rPr>
          <w:rFonts w:hint="eastAsia"/>
          <w:snapToGrid w:val="0"/>
          <w:sz w:val="21"/>
          <w:szCs w:val="21"/>
        </w:rPr>
        <w:t>学校作为萧山区高技能人才公共实训基地、杭州市乡村医生培训学校萧山辅导站，承担了助力乡村振兴计划的重要使命担当。 2020年，在新冠疫情的影响之下，学校根据杭州市乡村医生培训学校和萧山区卫生健康局的要求，配合浙江省乡村医生培训学校调整培训方式，采用“线上网络培训+线下专项指导”开展2020年度的乡村医生培训，累计347名乡医参加培训，其中181名乡医年龄达65周岁及以上。为此，学校相关处室认真研究培训方案，克服乡村医生年龄偏大，智能手机等电子产品使用不熟悉等困难，通过召开现场培训指导会，专人下点指导等手段，最终于12月份顺利完成全部乡村医生注册培训工作，受到卫健部门的肯定。</w:t>
      </w:r>
    </w:p>
    <w:p>
      <w:pPr>
        <w:pStyle w:val="15"/>
        <w:shd w:val="clear" w:color="auto" w:fill="FFFFFF"/>
        <w:spacing w:before="156" w:beforeLines="50" w:beforeAutospacing="0" w:after="156" w:afterLines="50" w:afterAutospacing="0" w:line="360" w:lineRule="auto"/>
        <w:ind w:firstLine="482"/>
        <w:rPr>
          <w:snapToGrid w:val="0"/>
          <w:sz w:val="21"/>
          <w:szCs w:val="21"/>
        </w:rPr>
      </w:pPr>
      <w:r>
        <w:rPr>
          <w:rFonts w:hint="eastAsia"/>
          <w:snapToGrid w:val="0"/>
          <w:sz w:val="21"/>
          <w:szCs w:val="21"/>
        </w:rPr>
        <w:t>与此同时，学校在杭州市卫健委、杭州市卫生人才交流中心的指导下，在确保疫情防控工作万无一失的前提下，圆满完成杭州市初级卫生专业技术人员继续医学教育考试服务1512人次。</w:t>
      </w:r>
    </w:p>
    <w:p>
      <w:pPr>
        <w:pStyle w:val="15"/>
        <w:shd w:val="clear" w:color="auto" w:fill="FFFFFF"/>
        <w:spacing w:before="156" w:beforeLines="50" w:beforeAutospacing="0" w:after="156" w:afterLines="50" w:afterAutospacing="0" w:line="360" w:lineRule="auto"/>
        <w:ind w:firstLine="482"/>
        <w:rPr>
          <w:snapToGrid w:val="0"/>
          <w:sz w:val="21"/>
          <w:szCs w:val="21"/>
        </w:rPr>
      </w:pPr>
      <w:r>
        <w:rPr>
          <w:rFonts w:hint="eastAsia"/>
          <w:snapToGrid w:val="0"/>
          <w:sz w:val="21"/>
          <w:szCs w:val="21"/>
        </w:rPr>
        <w:t>一年来，学校通过深化校企合作、产教融合，开展了包括校外实训基地建设、招生招工、工学交替、顶岗实习、就业招聘、师资培训等项目，全面提升了护理专业“双元育人”能力，提高了护理专业人才培养质量，增加了毕业生就业途径，为“健康萧山”添砖加瓦。</w:t>
      </w:r>
    </w:p>
    <w:p>
      <w:pPr>
        <w:pStyle w:val="15"/>
        <w:shd w:val="clear" w:color="auto" w:fill="FFFFFF"/>
        <w:spacing w:before="156" w:beforeLines="50" w:beforeAutospacing="0" w:after="156" w:afterLines="50" w:afterAutospacing="0" w:line="360" w:lineRule="auto"/>
        <w:ind w:firstLine="482"/>
        <w:jc w:val="both"/>
        <w:outlineLvl w:val="1"/>
        <w:rPr>
          <w:rFonts w:ascii="黑体" w:hAnsi="黑体" w:eastAsia="黑体" w:cs="黑体"/>
          <w:b/>
          <w:kern w:val="2"/>
          <w:sz w:val="30"/>
          <w:szCs w:val="30"/>
        </w:rPr>
      </w:pPr>
      <w:bookmarkStart w:id="27" w:name="_Toc26340"/>
      <w:r>
        <w:rPr>
          <w:rFonts w:hint="eastAsia" w:ascii="黑体" w:hAnsi="黑体" w:eastAsia="黑体" w:cs="黑体"/>
          <w:b/>
          <w:kern w:val="2"/>
          <w:sz w:val="30"/>
          <w:szCs w:val="30"/>
        </w:rPr>
        <w:t>5.3对口支援</w:t>
      </w:r>
      <w:bookmarkEnd w:id="27"/>
    </w:p>
    <w:p>
      <w:pPr>
        <w:pStyle w:val="15"/>
        <w:shd w:val="clear" w:color="auto" w:fill="FFFFFF"/>
        <w:spacing w:before="156" w:beforeLines="50" w:beforeAutospacing="0" w:after="156" w:afterLines="50" w:afterAutospacing="0" w:line="360" w:lineRule="auto"/>
        <w:ind w:firstLine="443" w:firstLineChars="210"/>
        <w:rPr>
          <w:b/>
          <w:bCs/>
          <w:snapToGrid w:val="0"/>
          <w:kern w:val="2"/>
          <w:sz w:val="21"/>
          <w:szCs w:val="21"/>
        </w:rPr>
      </w:pPr>
      <w:r>
        <w:rPr>
          <w:rFonts w:hint="eastAsia"/>
          <w:b/>
          <w:bCs/>
          <w:snapToGrid w:val="0"/>
          <w:kern w:val="2"/>
          <w:sz w:val="21"/>
          <w:szCs w:val="21"/>
        </w:rPr>
        <w:t>精准扶贫、助力黔东南</w:t>
      </w:r>
    </w:p>
    <w:p>
      <w:pPr>
        <w:pStyle w:val="15"/>
        <w:shd w:val="clear" w:color="auto" w:fill="FFFFFF"/>
        <w:spacing w:before="156" w:beforeLines="50" w:beforeAutospacing="0" w:after="156" w:afterLines="50" w:afterAutospacing="0" w:line="360" w:lineRule="auto"/>
        <w:ind w:firstLine="441" w:firstLineChars="210"/>
        <w:rPr>
          <w:snapToGrid w:val="0"/>
          <w:kern w:val="2"/>
          <w:sz w:val="21"/>
          <w:szCs w:val="21"/>
        </w:rPr>
      </w:pPr>
      <w:r>
        <w:rPr>
          <w:rFonts w:hint="eastAsia"/>
          <w:snapToGrid w:val="0"/>
          <w:kern w:val="2"/>
          <w:sz w:val="21"/>
          <w:szCs w:val="21"/>
        </w:rPr>
        <w:t>学校和黔东南台江县中等职业学校为互助学校。2020年8月学校选派优秀教师杨红樱到台江职校支教，开展为期一年的帮扶工作，重点协助该校创建护理专业，精准帮扶，教育助力。范向阳老师是此次杭州支教团队中年纪最大的老师，他携着一颗赤诚的爱心，在遥远的贵州山区学校奋斗于教学第一线，将28年丰富的护理专业知识无私传授给大山里的孩子们。</w:t>
      </w:r>
    </w:p>
    <w:p>
      <w:pPr>
        <w:pStyle w:val="15"/>
        <w:shd w:val="clear" w:color="auto" w:fill="FFFFFF"/>
        <w:spacing w:before="156" w:beforeLines="50" w:after="156" w:afterLines="50" w:line="360" w:lineRule="auto"/>
        <w:ind w:firstLine="443" w:firstLineChars="210"/>
        <w:rPr>
          <w:b/>
          <w:sz w:val="21"/>
          <w:szCs w:val="21"/>
        </w:rPr>
      </w:pPr>
      <w:r>
        <w:rPr>
          <w:rFonts w:hint="eastAsia"/>
          <w:b/>
          <w:sz w:val="21"/>
          <w:szCs w:val="21"/>
        </w:rPr>
        <w:t>5.4服务抗疫</w:t>
      </w:r>
    </w:p>
    <w:p>
      <w:pPr>
        <w:pStyle w:val="15"/>
        <w:shd w:val="clear" w:color="auto" w:fill="FFFFFF"/>
        <w:spacing w:before="156" w:beforeLines="50" w:after="156" w:afterLines="50" w:line="360" w:lineRule="auto"/>
        <w:ind w:firstLine="441" w:firstLineChars="210"/>
        <w:rPr>
          <w:sz w:val="21"/>
          <w:szCs w:val="21"/>
        </w:rPr>
      </w:pPr>
      <w:r>
        <w:rPr>
          <w:rFonts w:hint="eastAsia"/>
          <w:sz w:val="21"/>
          <w:szCs w:val="21"/>
        </w:rPr>
        <w:t>自新冠疫情发生以后，四职卫校历届校友积极响应中央志愿武汉的召唤，纷纷请缨驰援武汉，共有15优秀校友学子、驰援武汉，他们逆行出征、舍生忘死、义无反顾地冲在了疫情防控第一线，他们带着浙江人民的嘱托，带着白衣天使责任使命，接管了武汉多家医院的重症隔离病房和方舱医院。这15位英雄的校友让我们看到了萧山四职卫校护理人的风采，其中周玲红被评为浙江省抗击新冠肺炎疫情先进个人，她们不畏个人生死护佑人民健康的事迹被光明日报、学习强国、中国教育报连番报道，充分体现了美好教育的成果，也为萧山四职卫校带来荣耀。</w:t>
      </w:r>
    </w:p>
    <w:p>
      <w:pPr>
        <w:pStyle w:val="15"/>
        <w:shd w:val="clear" w:color="auto" w:fill="FFFFFF"/>
        <w:spacing w:before="156" w:beforeLines="50" w:beforeAutospacing="0" w:after="156" w:afterLines="50" w:afterAutospacing="0" w:line="360" w:lineRule="auto"/>
        <w:ind w:firstLine="441" w:firstLineChars="210"/>
        <w:rPr>
          <w:sz w:val="21"/>
          <w:szCs w:val="21"/>
        </w:rPr>
      </w:pPr>
      <w:r>
        <w:rPr>
          <w:rFonts w:hint="eastAsia"/>
          <w:sz w:val="21"/>
          <w:szCs w:val="21"/>
        </w:rPr>
        <w:t>学校教师积极报名参加抗疫志愿活动，共有32名党员教师报名参加，主要工作是新街高速出口和萧山东高速出口的体温测量志愿工作，在当时的特定环境下，需要克服的不仅仅是饥饿、寒冷和穿着防护服的难受，更需要克服的是心理的恐惧，但我们的党员教师们都毅然报名参加。不但多次得到区教育局党委和新街镇党委的多次表扬，也被区教育局党委评为抗击疫情志愿先锋团队，其中周莲芝老师被评为抗击疫情志愿服务先进个人。</w:t>
      </w:r>
    </w:p>
    <w:p>
      <w:pPr>
        <w:pStyle w:val="2"/>
        <w:spacing w:before="156" w:beforeLines="50" w:after="156" w:afterLines="50"/>
        <w:ind w:firstLine="440" w:firstLineChars="100"/>
        <w:rPr>
          <w:rFonts w:ascii="华文中宋" w:hAnsi="华文中宋" w:eastAsia="华文中宋" w:cs="华文中宋"/>
          <w:sz w:val="44"/>
          <w:szCs w:val="44"/>
        </w:rPr>
      </w:pPr>
      <w:bookmarkStart w:id="28" w:name="_Toc26502"/>
      <w:r>
        <w:rPr>
          <w:rFonts w:hint="eastAsia" w:ascii="华文中宋" w:hAnsi="华文中宋" w:eastAsia="华文中宋" w:cs="华文中宋"/>
          <w:sz w:val="44"/>
          <w:szCs w:val="44"/>
        </w:rPr>
        <w:t>6.举办者履责</w:t>
      </w:r>
      <w:bookmarkEnd w:id="28"/>
    </w:p>
    <w:p>
      <w:pPr>
        <w:pStyle w:val="3"/>
        <w:spacing w:before="156" w:beforeLines="50" w:after="156" w:afterLines="50"/>
        <w:ind w:firstLine="602"/>
        <w:rPr>
          <w:rFonts w:ascii="黑体" w:hAnsi="黑体" w:eastAsia="黑体" w:cs="黑体"/>
        </w:rPr>
      </w:pPr>
      <w:bookmarkStart w:id="29" w:name="_Toc10034"/>
      <w:r>
        <w:rPr>
          <w:rFonts w:hint="eastAsia" w:ascii="黑体" w:hAnsi="黑体" w:eastAsia="黑体" w:cs="黑体"/>
        </w:rPr>
        <w:t>6.1经费</w:t>
      </w:r>
      <w:bookmarkEnd w:id="29"/>
    </w:p>
    <w:p>
      <w:pPr>
        <w:pStyle w:val="15"/>
        <w:shd w:val="clear" w:color="auto" w:fill="FFFFFF"/>
        <w:spacing w:before="156" w:beforeLines="50" w:beforeAutospacing="0" w:after="156" w:afterLines="50" w:afterAutospacing="0" w:line="555" w:lineRule="atLeast"/>
        <w:ind w:firstLine="441" w:firstLineChars="210"/>
        <w:rPr>
          <w:snapToGrid w:val="0"/>
          <w:kern w:val="2"/>
          <w:sz w:val="21"/>
          <w:szCs w:val="21"/>
        </w:rPr>
      </w:pPr>
      <w:r>
        <w:rPr>
          <w:rFonts w:hint="eastAsia"/>
          <w:snapToGrid w:val="0"/>
          <w:kern w:val="2"/>
          <w:sz w:val="21"/>
          <w:szCs w:val="21"/>
        </w:rPr>
        <w:t>包括政策性经费落实情况、生均拨款、项目投入等。</w:t>
      </w:r>
    </w:p>
    <w:p>
      <w:pPr>
        <w:pStyle w:val="15"/>
        <w:shd w:val="clear" w:color="auto" w:fill="FFFFFF"/>
        <w:spacing w:before="156" w:beforeLines="50" w:beforeAutospacing="0" w:after="156" w:afterLines="50" w:afterAutospacing="0" w:line="555" w:lineRule="atLeast"/>
        <w:ind w:firstLine="441" w:firstLineChars="210"/>
        <w:rPr>
          <w:snapToGrid w:val="0"/>
          <w:kern w:val="2"/>
          <w:sz w:val="21"/>
          <w:szCs w:val="21"/>
        </w:rPr>
      </w:pPr>
      <w:r>
        <w:rPr>
          <w:rFonts w:hint="eastAsia"/>
          <w:snapToGrid w:val="0"/>
          <w:kern w:val="2"/>
          <w:sz w:val="21"/>
          <w:szCs w:val="21"/>
        </w:rPr>
        <w:t>学校为财政全额拨款单位，生均拨款1890元，各建设项目、设备采购均列入地方财政预算，教育投入逐年提高。</w:t>
      </w:r>
    </w:p>
    <w:p>
      <w:pPr>
        <w:pStyle w:val="15"/>
        <w:shd w:val="clear" w:color="auto" w:fill="FFFFFF"/>
        <w:spacing w:before="156" w:beforeLines="50" w:beforeAutospacing="0" w:after="156" w:afterLines="50" w:afterAutospacing="0" w:line="555" w:lineRule="atLeast"/>
        <w:ind w:firstLine="443" w:firstLineChars="210"/>
        <w:jc w:val="center"/>
        <w:rPr>
          <w:rFonts w:ascii="楷体" w:hAnsi="楷体" w:eastAsia="楷体" w:cs="楷体"/>
          <w:b/>
          <w:bCs/>
          <w:snapToGrid w:val="0"/>
          <w:kern w:val="2"/>
          <w:sz w:val="21"/>
          <w:szCs w:val="21"/>
        </w:rPr>
      </w:pPr>
      <w:r>
        <w:rPr>
          <w:rFonts w:hint="eastAsia" w:ascii="楷体" w:hAnsi="楷体" w:eastAsia="楷体" w:cs="楷体"/>
          <w:b/>
          <w:bCs/>
          <w:snapToGrid w:val="0"/>
          <w:kern w:val="2"/>
          <w:sz w:val="21"/>
          <w:szCs w:val="21"/>
        </w:rPr>
        <w:t>表十六 具体拨款项目和使用情况</w:t>
      </w:r>
    </w:p>
    <w:tbl>
      <w:tblPr>
        <w:tblStyle w:val="16"/>
        <w:tblW w:w="8194" w:type="dxa"/>
        <w:tblInd w:w="93" w:type="dxa"/>
        <w:tblLayout w:type="fixed"/>
        <w:tblCellMar>
          <w:top w:w="0" w:type="dxa"/>
          <w:left w:w="108" w:type="dxa"/>
          <w:bottom w:w="0" w:type="dxa"/>
          <w:right w:w="108" w:type="dxa"/>
        </w:tblCellMar>
      </w:tblPr>
      <w:tblGrid>
        <w:gridCol w:w="4101"/>
        <w:gridCol w:w="1545"/>
        <w:gridCol w:w="1448"/>
        <w:gridCol w:w="1100"/>
      </w:tblGrid>
      <w:tr>
        <w:tblPrEx>
          <w:tblCellMar>
            <w:top w:w="0" w:type="dxa"/>
            <w:left w:w="108" w:type="dxa"/>
            <w:bottom w:w="0" w:type="dxa"/>
            <w:right w:w="108" w:type="dxa"/>
          </w:tblCellMar>
        </w:tblPrEx>
        <w:trPr>
          <w:trHeight w:val="363" w:hRule="atLeast"/>
        </w:trPr>
        <w:tc>
          <w:tcPr>
            <w:tcW w:w="410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项目名称</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支付金额</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预算数</w:t>
            </w:r>
          </w:p>
        </w:tc>
        <w:tc>
          <w:tcPr>
            <w:tcW w:w="1100" w:type="dxa"/>
            <w:tcBorders>
              <w:top w:val="single" w:color="auto" w:sz="4" w:space="0"/>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b/>
                <w:bCs/>
                <w:kern w:val="0"/>
                <w:szCs w:val="21"/>
              </w:rPr>
            </w:pPr>
            <w:r>
              <w:rPr>
                <w:rFonts w:hint="eastAsia" w:ascii="楷体" w:hAnsi="楷体" w:eastAsia="楷体" w:cs="楷体"/>
                <w:b/>
                <w:bCs/>
                <w:kern w:val="0"/>
                <w:szCs w:val="21"/>
              </w:rPr>
              <w:t>执行率</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高中段学校校舍维修及设施设备专项</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3213503.0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3213503.0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基本支出(包干性经费)</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7239000.0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7240000.0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99.99%</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基本支出（控制性经费）</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53426668.78</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88292400.0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60.51%</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临时性缺编经费</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426840.0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426840.0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全区各学段学校（园）课程改革</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241800.0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241800.0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全区信息化建设专项</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496000.0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496000.0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全区信息化建设专项</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118200.0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118200.0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素质提升与万名医生下基层</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49621.0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92400.0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53.70%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特殊教育专项</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30240.0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30240.0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物业管理、绿化维护</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1065700.0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1065700.0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校舍维修及设备添置</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981000.0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981000.0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学校体育场地对外开放以奖代补</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职高校企合作</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490000.0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490000.0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职业高中设备</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1056727.0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1056727.0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助学金</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207300.0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207300.0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r>
        <w:tblPrEx>
          <w:tblCellMar>
            <w:top w:w="0" w:type="dxa"/>
            <w:left w:w="108" w:type="dxa"/>
            <w:bottom w:w="0" w:type="dxa"/>
            <w:right w:w="108" w:type="dxa"/>
          </w:tblCellMar>
        </w:tblPrEx>
        <w:trPr>
          <w:trHeight w:val="363" w:hRule="atLeast"/>
        </w:trPr>
        <w:tc>
          <w:tcPr>
            <w:tcW w:w="4101" w:type="dxa"/>
            <w:tcBorders>
              <w:top w:val="nil"/>
              <w:left w:val="single" w:color="auto" w:sz="4" w:space="0"/>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专业实习场室维护及设备添置</w:t>
            </w:r>
          </w:p>
        </w:tc>
        <w:tc>
          <w:tcPr>
            <w:tcW w:w="1545"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678000.0</w:t>
            </w:r>
          </w:p>
        </w:tc>
        <w:tc>
          <w:tcPr>
            <w:tcW w:w="1448"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678000.0</w:t>
            </w:r>
          </w:p>
        </w:tc>
        <w:tc>
          <w:tcPr>
            <w:tcW w:w="1100" w:type="dxa"/>
            <w:tcBorders>
              <w:top w:val="nil"/>
              <w:left w:val="nil"/>
              <w:bottom w:val="single" w:color="auto" w:sz="4" w:space="0"/>
              <w:right w:val="single" w:color="auto" w:sz="4" w:space="0"/>
            </w:tcBorders>
            <w:shd w:val="clear" w:color="auto" w:fill="auto"/>
            <w:noWrap/>
            <w:vAlign w:val="bottom"/>
          </w:tcPr>
          <w:p>
            <w:pPr>
              <w:spacing w:before="156" w:beforeLines="50" w:after="156" w:afterLines="50" w:line="360" w:lineRule="auto"/>
              <w:jc w:val="center"/>
              <w:rPr>
                <w:rFonts w:ascii="楷体" w:hAnsi="楷体" w:eastAsia="楷体" w:cs="楷体"/>
                <w:kern w:val="0"/>
                <w:szCs w:val="21"/>
              </w:rPr>
            </w:pPr>
            <w:r>
              <w:rPr>
                <w:rFonts w:hint="eastAsia" w:ascii="楷体" w:hAnsi="楷体" w:eastAsia="楷体" w:cs="楷体"/>
                <w:kern w:val="0"/>
                <w:szCs w:val="21"/>
              </w:rPr>
              <w:t>100.00%</w:t>
            </w:r>
          </w:p>
        </w:tc>
      </w:tr>
    </w:tbl>
    <w:p>
      <w:pPr>
        <w:pStyle w:val="3"/>
        <w:spacing w:before="156" w:beforeLines="50" w:after="156" w:afterLines="50"/>
        <w:ind w:firstLine="602"/>
        <w:rPr>
          <w:rFonts w:ascii="黑体" w:hAnsi="黑体" w:eastAsia="黑体" w:cs="黑体"/>
        </w:rPr>
      </w:pPr>
      <w:bookmarkStart w:id="30" w:name="_Toc101"/>
      <w:r>
        <w:rPr>
          <w:rFonts w:hint="eastAsia" w:ascii="黑体" w:hAnsi="黑体" w:eastAsia="黑体" w:cs="黑体"/>
        </w:rPr>
        <w:t>6.2政策措施</w:t>
      </w:r>
      <w:bookmarkEnd w:id="30"/>
    </w:p>
    <w:p>
      <w:pPr>
        <w:spacing w:before="156" w:beforeLines="50" w:after="156" w:afterLines="50" w:line="360" w:lineRule="auto"/>
        <w:ind w:firstLine="422" w:firstLineChars="200"/>
        <w:rPr>
          <w:rFonts w:ascii="宋体" w:hAnsi="宋体" w:cs="宋体"/>
          <w:b/>
          <w:szCs w:val="21"/>
        </w:rPr>
      </w:pPr>
      <w:r>
        <w:rPr>
          <w:rFonts w:hint="eastAsia" w:ascii="宋体" w:hAnsi="宋体" w:cs="宋体"/>
          <w:b/>
          <w:szCs w:val="21"/>
        </w:rPr>
        <w:t>包括落实办学自主权</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根据现代化中职学校建设的要求，学校通过信息技术的引入，实现学校教育信息化建设，以信息化建设为基础，全面推进学校内部管理，提高规划、执行、质量检测和服务能力，形成规范办学特色示范；以信息技术为手段，创新教学模式，增强教学的实践性、针对性和时效性，形成教育教学特色示范；以资源库建设和远程教学视频为载体，形成校企合作和现代学徒制特色示范。</w:t>
      </w:r>
    </w:p>
    <w:p>
      <w:pPr>
        <w:spacing w:before="156" w:beforeLines="50" w:after="156" w:afterLines="50" w:line="360" w:lineRule="auto"/>
        <w:ind w:firstLine="422" w:firstLineChars="200"/>
        <w:rPr>
          <w:rFonts w:ascii="宋体" w:hAnsi="宋体" w:cs="宋体"/>
          <w:b/>
          <w:szCs w:val="21"/>
        </w:rPr>
      </w:pPr>
      <w:r>
        <w:rPr>
          <w:rFonts w:hint="eastAsia" w:ascii="宋体" w:hAnsi="宋体" w:cs="宋体"/>
          <w:b/>
          <w:szCs w:val="21"/>
        </w:rPr>
        <w:t>出台提升学校办学水平的政策和制度</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区委区政府围绕职教20条，建立现代学校制度。区委区政府多次召开专题会议，研究萧山区中职教育的发展和改革，紧紧抓住“职教20条”这一历史机遇，打破发展中的新瓶颈，实现整体提升。学校积极建构德智体美劳全面发展的人才培养体系，扎扎实实开展教学改革，把行业企业的标准转化为教育教学的目标和行动，通过项目式、任务式教学切实为学生提供有用、有趣、有效的课堂，全面提高人才培养质量，以高质量的人才培养满足人民群众对职业教育的新期待。</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区委区政府已经全面落实教师平均待遇不低于公务员的政策，已经将萧山四职扩建工程落入议事日程。</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szCs w:val="21"/>
        </w:rPr>
        <w:t>落实教师编制情况，</w:t>
      </w:r>
      <w:r>
        <w:rPr>
          <w:rFonts w:hint="eastAsia" w:ascii="宋体" w:hAnsi="宋体" w:cs="宋体"/>
          <w:bCs/>
          <w:szCs w:val="21"/>
        </w:rPr>
        <w:t>落实教师编制情况，根据萧编办函（2020）2号文件，核定本校编制数为181人。2020年底教职员工180人。</w:t>
      </w:r>
    </w:p>
    <w:p>
      <w:pPr>
        <w:pStyle w:val="2"/>
        <w:spacing w:before="156" w:beforeLines="50" w:after="156" w:afterLines="50"/>
        <w:ind w:firstLine="440" w:firstLineChars="100"/>
        <w:rPr>
          <w:rFonts w:ascii="华文中宋" w:hAnsi="华文中宋" w:eastAsia="华文中宋" w:cs="华文中宋"/>
          <w:sz w:val="44"/>
          <w:szCs w:val="44"/>
        </w:rPr>
      </w:pPr>
      <w:bookmarkStart w:id="31" w:name="_Toc21844"/>
      <w:r>
        <w:rPr>
          <w:rFonts w:hint="eastAsia" w:ascii="华文中宋" w:hAnsi="华文中宋" w:eastAsia="华文中宋" w:cs="华文中宋"/>
          <w:sz w:val="44"/>
          <w:szCs w:val="44"/>
        </w:rPr>
        <w:t>7.特色创新</w:t>
      </w:r>
      <w:bookmarkEnd w:id="31"/>
    </w:p>
    <w:p>
      <w:pPr>
        <w:pStyle w:val="3"/>
        <w:spacing w:before="156" w:beforeLines="50" w:after="156" w:afterLines="50"/>
        <w:ind w:firstLine="602"/>
        <w:rPr>
          <w:rFonts w:ascii="黑体" w:hAnsi="黑体" w:eastAsia="黑体" w:cs="黑体"/>
        </w:rPr>
      </w:pPr>
      <w:bookmarkStart w:id="32" w:name="_Toc31075"/>
      <w:r>
        <w:rPr>
          <w:rFonts w:hint="eastAsia" w:ascii="黑体" w:hAnsi="黑体" w:eastAsia="黑体" w:cs="黑体"/>
        </w:rPr>
        <w:t>7.1案例：最美逆行人之阳光四职抗疫志愿团队。</w:t>
      </w:r>
      <w:bookmarkEnd w:id="32"/>
    </w:p>
    <w:p>
      <w:pPr>
        <w:spacing w:before="156" w:beforeLines="50" w:after="156" w:afterLines="50" w:line="360" w:lineRule="auto"/>
        <w:ind w:firstLine="420" w:firstLineChars="200"/>
        <w:rPr>
          <w:rFonts w:ascii="仿宋" w:hAnsi="仿宋" w:eastAsia="仿宋" w:cstheme="minorBidi"/>
          <w:bCs/>
          <w:szCs w:val="21"/>
        </w:rPr>
      </w:pPr>
      <w:r>
        <w:rPr>
          <w:rFonts w:hint="eastAsia" w:ascii="仿宋" w:hAnsi="仿宋" w:eastAsia="仿宋" w:cstheme="minorBidi"/>
          <w:bCs/>
          <w:szCs w:val="21"/>
        </w:rPr>
        <w:t>根据新街街道疫情防控指挥部联合萧山青禾公益服务中心公开向社会招募防疫志愿者支援一线防疫工作和萧山区教育局关于全力以赴做好教育系统疫情防控的工作要求，全体党总支委员全部报名参加，积极听从习总书记“把自己摆进去”的号召，总共报名人数为32名，其中党员29名。他们中有在北京挂职的朱骏老师，有从所前赶来的李宏和李华老师，有小孩子需要照顾的年轻妈妈李佳、陈燕英老师、吴怡娜老师。还有黄瑞明老师还参加过G20峰会的志愿活动，并被评为杭州市优秀志愿者，周莲芝老师对学校的所有工作都充满激情，并一再强调给她多排几个班，是一位被全校师生公认的不折不扣的师德楷模。保安队长李长贵免费为教师志愿者洗车。</w:t>
      </w:r>
    </w:p>
    <w:p>
      <w:pPr>
        <w:spacing w:before="156" w:beforeLines="50" w:after="156" w:afterLines="50" w:line="360" w:lineRule="auto"/>
        <w:ind w:firstLine="420" w:firstLineChars="200"/>
        <w:rPr>
          <w:rFonts w:ascii="仿宋" w:hAnsi="仿宋" w:eastAsia="仿宋" w:cstheme="minorBidi"/>
          <w:bCs/>
          <w:szCs w:val="21"/>
        </w:rPr>
      </w:pPr>
      <w:r>
        <w:rPr>
          <w:rFonts w:hint="eastAsia" w:ascii="仿宋" w:hAnsi="仿宋" w:eastAsia="仿宋" w:cstheme="minorBidi"/>
          <w:bCs/>
          <w:szCs w:val="21"/>
        </w:rPr>
        <w:t>这次志愿者活动，萧山四职的志愿者全部安排在新街高速出口和萧山东高速出口，这是所有志愿者活动中最危险的地点，主要任务配合防疫专业人员为进萧人员测量体温。</w:t>
      </w:r>
    </w:p>
    <w:p>
      <w:pPr>
        <w:spacing w:before="156" w:beforeLines="50" w:after="156" w:afterLines="50" w:line="360" w:lineRule="auto"/>
        <w:ind w:firstLine="420" w:firstLineChars="200"/>
        <w:rPr>
          <w:rFonts w:ascii="仿宋" w:hAnsi="仿宋" w:eastAsia="仿宋" w:cstheme="minorBidi"/>
          <w:bCs/>
          <w:szCs w:val="21"/>
        </w:rPr>
      </w:pPr>
      <w:r>
        <w:rPr>
          <w:rFonts w:hint="eastAsia" w:ascii="仿宋" w:hAnsi="仿宋" w:eastAsia="仿宋" w:cstheme="minorBidi"/>
          <w:bCs/>
          <w:szCs w:val="21"/>
        </w:rPr>
        <w:t>关键时刻，我们萧山四职的党员教师都能挺身而出，人人争做最美逆行身影中的一员，充分展现了萧山四职的教师风采。</w:t>
      </w:r>
    </w:p>
    <w:p>
      <w:pPr>
        <w:spacing w:before="156" w:beforeLines="50" w:after="156" w:afterLines="50" w:line="360" w:lineRule="auto"/>
        <w:ind w:firstLine="420" w:firstLineChars="200"/>
        <w:rPr>
          <w:rFonts w:ascii="仿宋" w:hAnsi="仿宋" w:eastAsia="仿宋" w:cstheme="minorBidi"/>
          <w:bCs/>
          <w:szCs w:val="21"/>
        </w:rPr>
      </w:pPr>
      <w:r>
        <w:rPr>
          <w:rFonts w:hint="eastAsia" w:ascii="仿宋" w:hAnsi="仿宋" w:eastAsia="仿宋" w:cstheme="minorBidi"/>
          <w:bCs/>
          <w:szCs w:val="21"/>
        </w:rPr>
        <w:t>萧山四职抗疫志愿团队被萧山区教育局表彰为优秀志愿者团队，周莲芝老师被评为萧山区抗疫先进个人。</w:t>
      </w:r>
    </w:p>
    <w:p>
      <w:pPr>
        <w:pStyle w:val="3"/>
        <w:spacing w:before="156" w:beforeLines="50" w:after="156" w:afterLines="50"/>
        <w:ind w:firstLine="602"/>
        <w:rPr>
          <w:rFonts w:ascii="黑体" w:hAnsi="黑体" w:eastAsia="黑体" w:cs="黑体"/>
        </w:rPr>
      </w:pPr>
      <w:bookmarkStart w:id="33" w:name="_Toc5968"/>
      <w:r>
        <w:rPr>
          <w:rFonts w:hint="eastAsia" w:ascii="黑体" w:hAnsi="黑体" w:eastAsia="黑体" w:cs="黑体"/>
        </w:rPr>
        <w:t>7.2案例：阳光德育之晨读暮诵</w:t>
      </w:r>
      <w:bookmarkEnd w:id="33"/>
    </w:p>
    <w:p>
      <w:pPr>
        <w:spacing w:before="156" w:beforeLines="50" w:after="156" w:afterLines="50" w:line="360" w:lineRule="auto"/>
        <w:ind w:firstLine="420" w:firstLineChars="200"/>
        <w:rPr>
          <w:rFonts w:ascii="仿宋" w:hAnsi="仿宋" w:eastAsia="仿宋" w:cs="仿宋"/>
          <w:szCs w:val="21"/>
        </w:rPr>
      </w:pPr>
      <w:r>
        <w:rPr>
          <w:rFonts w:hint="eastAsia" w:ascii="仿宋" w:hAnsi="仿宋" w:eastAsia="仿宋" w:cs="仿宋"/>
          <w:szCs w:val="21"/>
        </w:rPr>
        <w:t>为全面实施“阳光德育”工程，学校根据校情学情，开展了“晨读暮诵”系列活动。活动以“弘扬中华经典诗文，增强民族自豪感”为主题，以古今优秀诗文为载体，以语文学科教学、课外阅读为阵地，通过有计划、成系列的诵读暮诵，达到弘扬民族精神和优秀文化、创建良好校园文化、营造浓郁读书氛围的目的。</w:t>
      </w:r>
    </w:p>
    <w:p>
      <w:pPr>
        <w:spacing w:before="156" w:beforeLines="50" w:after="156" w:afterLines="50" w:line="360" w:lineRule="auto"/>
        <w:ind w:firstLine="420" w:firstLineChars="200"/>
        <w:rPr>
          <w:rFonts w:ascii="仿宋" w:hAnsi="仿宋" w:eastAsia="仿宋" w:cs="仿宋"/>
          <w:szCs w:val="21"/>
        </w:rPr>
      </w:pPr>
      <w:r>
        <w:rPr>
          <w:rFonts w:hint="eastAsia" w:ascii="仿宋" w:hAnsi="仿宋" w:eastAsia="仿宋" w:cs="仿宋"/>
          <w:szCs w:val="21"/>
        </w:rPr>
        <w:t xml:space="preserve">“晨读暮诵”系列活动主要做法有：一是精挑细选，汇编校本。利用每天的晨读时间背诵一首古诗，并汇总、整理，汇编成校本读物。二是翰墨书香，历久弥新。利用午间读报写字课时间组织诗词书法练习，定期开设书画展览。三是智汇“读书会”，聚焦新素养。利用周二、周四晚自习课前10分钟进行“读书会”，学生轮流上台，说新闻，谈趣事，背古诗。四是建立图书角，打造书香班。班级图书角实行全天开放，保证学生每天读书时间不少于1小时。五是以赛促学，快乐学习。由校政教处、团委负责，每月举行读书征文、现场书画比赛等评选活动。 </w:t>
      </w:r>
    </w:p>
    <w:p>
      <w:pPr>
        <w:spacing w:before="156" w:beforeLines="50" w:after="156" w:afterLines="50" w:line="360" w:lineRule="auto"/>
        <w:ind w:firstLine="420" w:firstLineChars="200"/>
        <w:rPr>
          <w:rFonts w:ascii="仿宋" w:hAnsi="仿宋" w:eastAsia="仿宋" w:cs="仿宋"/>
          <w:szCs w:val="21"/>
        </w:rPr>
      </w:pPr>
      <w:r>
        <w:rPr>
          <w:rFonts w:hint="eastAsia" w:ascii="仿宋" w:hAnsi="仿宋" w:eastAsia="仿宋" w:cs="仿宋"/>
          <w:szCs w:val="21"/>
        </w:rPr>
        <w:t>通过该活动，全校学生逐渐养成了读书励志的良好习惯，拓宽了知识面，提高了综合素养，在区历年“假期读好书”活动中，学生获奖均在10人次以上。学校把读书活动与语文教学和素质教育紧密结合，大兴校园读书之风，在丰富校园文化生活、改善硬件条件的同时，也有效提高了教育教学质量。</w:t>
      </w:r>
    </w:p>
    <w:p>
      <w:pPr>
        <w:pStyle w:val="2"/>
        <w:spacing w:before="156" w:beforeLines="50" w:after="156" w:afterLines="50"/>
        <w:ind w:firstLine="440" w:firstLineChars="100"/>
        <w:rPr>
          <w:rFonts w:ascii="华文中宋" w:hAnsi="华文中宋" w:eastAsia="华文中宋" w:cs="华文中宋"/>
          <w:sz w:val="44"/>
          <w:szCs w:val="44"/>
        </w:rPr>
      </w:pPr>
      <w:bookmarkStart w:id="34" w:name="_Toc1838"/>
      <w:r>
        <w:rPr>
          <w:rFonts w:hint="eastAsia" w:ascii="华文中宋" w:hAnsi="华文中宋" w:eastAsia="华文中宋" w:cs="华文中宋"/>
          <w:sz w:val="44"/>
          <w:szCs w:val="44"/>
        </w:rPr>
        <w:t>8.主要问题和改进措施</w:t>
      </w:r>
      <w:bookmarkEnd w:id="34"/>
    </w:p>
    <w:p>
      <w:pPr>
        <w:spacing w:before="156" w:beforeLines="50" w:after="156" w:afterLines="50" w:line="273" w:lineRule="auto"/>
        <w:ind w:firstLine="420" w:firstLineChars="200"/>
        <w:rPr>
          <w:rFonts w:ascii="宋体" w:hAnsi="宋体" w:cs="宋体"/>
          <w:color w:val="000000"/>
          <w:szCs w:val="21"/>
        </w:rPr>
      </w:pPr>
      <w:r>
        <w:rPr>
          <w:rFonts w:hint="eastAsia" w:ascii="宋体" w:hAnsi="宋体" w:cs="宋体"/>
          <w:color w:val="000000"/>
          <w:szCs w:val="21"/>
        </w:rPr>
        <w:t>针对人才培养中存在的问题，分析主要原因，提出解决问题具体措施。</w:t>
      </w:r>
    </w:p>
    <w:p>
      <w:pPr>
        <w:widowControl/>
        <w:shd w:val="clear" w:color="auto" w:fill="FFFFFF"/>
        <w:spacing w:before="156" w:beforeLines="50" w:after="156" w:afterLines="50" w:line="273" w:lineRule="auto"/>
        <w:ind w:firstLine="562"/>
        <w:jc w:val="left"/>
        <w:outlineLvl w:val="1"/>
        <w:rPr>
          <w:rFonts w:ascii="黑体" w:hAnsi="黑体" w:eastAsia="黑体" w:cs="黑体"/>
          <w:b/>
          <w:sz w:val="30"/>
          <w:szCs w:val="30"/>
        </w:rPr>
      </w:pPr>
      <w:bookmarkStart w:id="35" w:name="_Toc25302"/>
      <w:r>
        <w:rPr>
          <w:rFonts w:hint="eastAsia" w:ascii="黑体" w:hAnsi="黑体" w:eastAsia="黑体" w:cs="黑体"/>
          <w:b/>
          <w:sz w:val="30"/>
          <w:szCs w:val="30"/>
        </w:rPr>
        <w:t>8.1努力实现工科类专业深度产教融合，提升人才培养质量</w:t>
      </w:r>
      <w:bookmarkEnd w:id="35"/>
    </w:p>
    <w:p>
      <w:pPr>
        <w:widowControl/>
        <w:shd w:val="clear" w:color="auto" w:fill="FFFFFF"/>
        <w:spacing w:before="156" w:beforeLines="50" w:after="156" w:afterLines="50" w:line="360" w:lineRule="auto"/>
        <w:ind w:firstLine="562"/>
        <w:rPr>
          <w:rFonts w:ascii="宋体" w:hAnsi="宋体" w:cs="宋体"/>
          <w:color w:val="333333"/>
          <w:szCs w:val="21"/>
          <w:shd w:val="clear" w:color="auto" w:fill="FFFFFF"/>
        </w:rPr>
      </w:pPr>
      <w:r>
        <w:rPr>
          <w:rFonts w:hint="eastAsia" w:ascii="宋体" w:hAnsi="宋体" w:cs="宋体"/>
          <w:color w:val="333333"/>
          <w:szCs w:val="21"/>
          <w:shd w:val="clear" w:color="auto" w:fill="FFFFFF"/>
        </w:rPr>
        <w:t>产教融合是企业、各类产业部门和学校在人才培养、生产制造、产品研发等方面进行合作，目的是提升职业教育培养人才的质量，满足社会市场经济发展对于人才的切实需要。</w:t>
      </w:r>
    </w:p>
    <w:p>
      <w:pPr>
        <w:widowControl/>
        <w:shd w:val="clear" w:color="auto" w:fill="FFFFFF"/>
        <w:spacing w:before="156" w:beforeLines="50" w:after="156" w:afterLines="50" w:line="360" w:lineRule="auto"/>
        <w:ind w:firstLine="562"/>
        <w:rPr>
          <w:rFonts w:ascii="宋体" w:hAnsi="宋体" w:cs="宋体"/>
          <w:color w:val="333333"/>
          <w:szCs w:val="21"/>
          <w:shd w:val="clear" w:color="auto" w:fill="FFFFFF"/>
        </w:rPr>
      </w:pPr>
      <w:r>
        <w:rPr>
          <w:rFonts w:hint="eastAsia" w:ascii="宋体" w:hAnsi="宋体" w:cs="宋体"/>
          <w:color w:val="333333"/>
          <w:szCs w:val="21"/>
          <w:shd w:val="clear" w:color="auto" w:fill="FFFFFF"/>
        </w:rPr>
        <w:t>目前，产教融合的意识已被我校上下广泛认同，但是在实际的合作过程中，还是存在一些困难。我校与东南网架、杭萧钢构等企业建立了合作关系，校企双方签订了合作协议。在合作中，校企双方表达了深度合作的意愿，但学校如何为社会和企业提供帮助，做出应有的贡献方面效果不明显，导致企业在产教融合工作的动力缺乏，参与热情不高。企业在参与机械、建筑等工科类人才培养，安排实习方面的热情不高，多是由下述几点原因造成的：一是增加了企业管理的成本。学生进入企业实习，要安排专人管理，影响生产效率；学生生产效率低，也存在操作方面的安全风险；高三学生升学意愿强烈，没有足够的毕业生直接流入合作单位。</w:t>
      </w:r>
    </w:p>
    <w:p>
      <w:pPr>
        <w:pStyle w:val="15"/>
        <w:shd w:val="clear" w:color="auto" w:fill="FFFFFF"/>
        <w:spacing w:before="156" w:beforeLines="50" w:beforeAutospacing="0" w:after="156" w:afterLines="50" w:afterAutospacing="0" w:line="360" w:lineRule="auto"/>
        <w:ind w:firstLine="420" w:firstLineChars="200"/>
        <w:jc w:val="both"/>
        <w:rPr>
          <w:color w:val="333333"/>
          <w:sz w:val="21"/>
          <w:szCs w:val="21"/>
          <w:shd w:val="clear" w:color="auto" w:fill="FFFFFF"/>
        </w:rPr>
      </w:pPr>
      <w:r>
        <w:rPr>
          <w:rFonts w:hint="eastAsia"/>
          <w:color w:val="333333"/>
          <w:sz w:val="21"/>
          <w:szCs w:val="21"/>
          <w:shd w:val="clear" w:color="auto" w:fill="FFFFFF"/>
        </w:rPr>
        <w:t>学校要积极发挥政府在校企合作方面如资金扶持、宣传推广、政策优惠上的支持力度，使企业得到生产经营方面的利好，更有效地发挥效用，深度参与，确保产教融合任务的正常进行；学校要树立以教师为主导，学生为主体，能力为本位的培养模式。以实习就业为导向进行一些专业课程的设计，主要培养学生专业技能的实践能力，在课程的设置中，明确就业岗位的职责，向企业输送一流的应用型人才；同时，学校要加强与高职、企业在内的三方合作与联动，满足企业对当前用工的强烈需求。</w:t>
      </w:r>
    </w:p>
    <w:p>
      <w:pPr>
        <w:pStyle w:val="15"/>
        <w:shd w:val="clear" w:color="auto" w:fill="FFFFFF"/>
        <w:spacing w:before="156" w:beforeLines="50" w:beforeAutospacing="0" w:after="156" w:afterLines="50" w:afterAutospacing="0"/>
        <w:ind w:firstLine="602" w:firstLineChars="200"/>
        <w:jc w:val="both"/>
        <w:outlineLvl w:val="1"/>
        <w:rPr>
          <w:rFonts w:ascii="黑体" w:hAnsi="黑体" w:eastAsia="黑体" w:cs="黑体"/>
          <w:b/>
          <w:kern w:val="2"/>
          <w:sz w:val="30"/>
          <w:szCs w:val="30"/>
        </w:rPr>
      </w:pPr>
      <w:bookmarkStart w:id="36" w:name="_Toc30085"/>
      <w:r>
        <w:rPr>
          <w:rFonts w:hint="eastAsia" w:ascii="黑体" w:hAnsi="黑体" w:eastAsia="黑体" w:cs="黑体"/>
          <w:b/>
          <w:kern w:val="2"/>
          <w:sz w:val="30"/>
          <w:szCs w:val="30"/>
        </w:rPr>
        <w:t>8.2大力推进1+X证书试点工作，拓展人才培养渠道</w:t>
      </w:r>
      <w:bookmarkEnd w:id="36"/>
    </w:p>
    <w:p>
      <w:pPr>
        <w:pStyle w:val="15"/>
        <w:spacing w:before="156" w:beforeLines="50" w:beforeAutospacing="0" w:after="156" w:afterLines="50" w:afterAutospacing="0" w:line="360" w:lineRule="auto"/>
        <w:ind w:firstLine="420" w:firstLineChars="200"/>
        <w:rPr>
          <w:color w:val="000000"/>
          <w:sz w:val="21"/>
          <w:szCs w:val="21"/>
        </w:rPr>
      </w:pPr>
      <w:r>
        <w:rPr>
          <w:rFonts w:hint="eastAsia"/>
          <w:color w:val="000000"/>
          <w:sz w:val="21"/>
          <w:szCs w:val="21"/>
        </w:rPr>
        <w:t>我校于2020年3月申报教育部1+X老年照护职业技能证书制度扩大批试点单位，5月又成功申报了1+X建筑信息模型（BIM）和建筑工程识图两项证书试点。为保障“1+X职业技能等级证书”试点项目的有效推进，学校积极与上述证书评价组织沟通联系，建设试点场室软硬件，加强教师培训和考证工作，落实相关试点工作要求。</w:t>
      </w:r>
    </w:p>
    <w:p>
      <w:pPr>
        <w:pStyle w:val="15"/>
        <w:spacing w:before="156" w:beforeLines="50" w:beforeAutospacing="0" w:after="156" w:afterLines="50" w:afterAutospacing="0" w:line="360" w:lineRule="auto"/>
        <w:ind w:firstLine="420" w:firstLineChars="200"/>
        <w:rPr>
          <w:color w:val="000000"/>
          <w:sz w:val="21"/>
          <w:szCs w:val="21"/>
        </w:rPr>
      </w:pPr>
      <w:r>
        <w:rPr>
          <w:rFonts w:hint="eastAsia"/>
          <w:color w:val="000000"/>
          <w:sz w:val="21"/>
          <w:szCs w:val="21"/>
        </w:rPr>
        <w:t>在实际推行过程中，学校也面临了一些在师资、分配及经费上的困难。在师资培训和保障上，受疫情等因素的影响，学校教师到外省进行1+X师资培训和考评员培训等工作存在着一定的困难，而且学校教师普遍承担了较大工作量，无力兼顾考证培训和教学工作。在传统绩效考核的制度与背景下，对于实践操作考试，学校安排操作教师对学生进行大量课时的培训和指导，一定程度上影响了正常的课堂教学。同时我校存在着试点经费不足的问题，评价组织单位的高收费，成为学校开支的负担，也影响了试点工作在人才培养的覆盖面。</w:t>
      </w:r>
    </w:p>
    <w:p>
      <w:pPr>
        <w:spacing w:line="273" w:lineRule="auto"/>
        <w:ind w:firstLine="600" w:firstLineChars="200"/>
        <w:jc w:val="right"/>
        <w:rPr>
          <w:rFonts w:ascii="仿宋" w:hAnsi="仿宋" w:eastAsia="仿宋" w:cs="仿宋"/>
          <w:sz w:val="30"/>
          <w:szCs w:val="30"/>
        </w:rPr>
      </w:pPr>
    </w:p>
    <w:p>
      <w:pPr>
        <w:spacing w:line="273" w:lineRule="auto"/>
        <w:ind w:right="600"/>
        <w:rPr>
          <w:rFonts w:ascii="仿宋" w:hAnsi="仿宋" w:eastAsia="仿宋" w:cs="仿宋"/>
          <w:sz w:val="30"/>
          <w:szCs w:val="30"/>
        </w:rPr>
      </w:pPr>
    </w:p>
    <w:p>
      <w:pPr>
        <w:spacing w:line="273" w:lineRule="auto"/>
        <w:ind w:right="420" w:firstLine="4410" w:firstLineChars="2100"/>
        <w:jc w:val="right"/>
        <w:rPr>
          <w:rFonts w:ascii="宋体" w:hAnsi="宋体" w:cs="宋体"/>
          <w:szCs w:val="21"/>
        </w:rPr>
      </w:pPr>
      <w:r>
        <w:rPr>
          <w:rFonts w:hint="eastAsia" w:ascii="宋体" w:hAnsi="宋体" w:cs="宋体"/>
          <w:szCs w:val="21"/>
        </w:rPr>
        <w:t>杭州市萧山区第四中等职业学校</w:t>
      </w:r>
    </w:p>
    <w:p>
      <w:pPr>
        <w:spacing w:line="273" w:lineRule="auto"/>
        <w:ind w:right="420" w:firstLine="4830" w:firstLineChars="2300"/>
        <w:jc w:val="right"/>
        <w:rPr>
          <w:rFonts w:ascii="宋体" w:hAnsi="宋体" w:cs="宋体"/>
          <w:szCs w:val="21"/>
        </w:rPr>
      </w:pPr>
      <w:r>
        <w:rPr>
          <w:rFonts w:hint="eastAsia" w:ascii="宋体" w:hAnsi="宋体" w:cs="宋体"/>
          <w:szCs w:val="21"/>
        </w:rPr>
        <w:t>2020年12月25日</w:t>
      </w:r>
    </w:p>
    <w:sectPr>
      <w:headerReference r:id="rId3" w:type="default"/>
      <w:footerReference r:id="rId4" w:type="default"/>
      <w:pgSz w:w="11906" w:h="16838"/>
      <w:pgMar w:top="1417" w:right="1587" w:bottom="1417" w:left="187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兰亭黑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7174412"/>
                          </w:sdtPr>
                          <w:sdtContent>
                            <w:p>
                              <w:pPr>
                                <w:pStyle w:val="11"/>
                                <w:jc w:val="center"/>
                              </w:pPr>
                              <w:r>
                                <w:fldChar w:fldCharType="begin"/>
                              </w:r>
                              <w:r>
                                <w:instrText xml:space="preserve">PAGE   \* MERGEFORMAT</w:instrText>
                              </w:r>
                              <w:r>
                                <w:fldChar w:fldCharType="separate"/>
                              </w:r>
                              <w:r>
                                <w:rPr>
                                  <w:lang w:val="zh-CN"/>
                                </w:rPr>
                                <w:t>56</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637174412"/>
                    </w:sdtPr>
                    <w:sdtContent>
                      <w:p>
                        <w:pPr>
                          <w:pStyle w:val="11"/>
                          <w:jc w:val="center"/>
                        </w:pPr>
                        <w:r>
                          <w:fldChar w:fldCharType="begin"/>
                        </w:r>
                        <w:r>
                          <w:instrText xml:space="preserve">PAGE   \* MERGEFORMAT</w:instrText>
                        </w:r>
                        <w:r>
                          <w:fldChar w:fldCharType="separate"/>
                        </w:r>
                        <w:r>
                          <w:rPr>
                            <w:lang w:val="zh-CN"/>
                          </w:rPr>
                          <w:t>56</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29" w:firstLineChars="147"/>
      <w:jc w:val="left"/>
      <w:rPr>
        <w:position w:val="14"/>
      </w:rPr>
    </w:pPr>
    <w:r>
      <w:rPr>
        <w:b/>
        <w:bCs/>
        <w:color w:val="000000"/>
        <w:position w:val="14"/>
        <w:sz w:val="36"/>
        <w:szCs w:val="36"/>
      </w:rPr>
      <w:drawing>
        <wp:anchor distT="0" distB="0" distL="114300" distR="114300" simplePos="0" relativeHeight="251659264" behindDoc="1" locked="0" layoutInCell="1" allowOverlap="1">
          <wp:simplePos x="0" y="0"/>
          <wp:positionH relativeFrom="column">
            <wp:posOffset>-28575</wp:posOffset>
          </wp:positionH>
          <wp:positionV relativeFrom="paragraph">
            <wp:posOffset>-83185</wp:posOffset>
          </wp:positionV>
          <wp:extent cx="409575" cy="379730"/>
          <wp:effectExtent l="0" t="0" r="0" b="1270"/>
          <wp:wrapNone/>
          <wp:docPr id="1" name="图片 1" descr="D:\Desktop\四职校徽新2008.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esktop\四职校徽新2008.11.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09575" cy="379859"/>
                  </a:xfrm>
                  <a:prstGeom prst="rect">
                    <a:avLst/>
                  </a:prstGeom>
                  <a:noFill/>
                  <a:ln>
                    <a:noFill/>
                  </a:ln>
                </pic:spPr>
              </pic:pic>
            </a:graphicData>
          </a:graphic>
        </wp:anchor>
      </w:drawing>
    </w:r>
    <w:r>
      <w:rPr>
        <w:rStyle w:val="19"/>
        <w:rFonts w:hint="eastAsia" w:ascii="仿宋" w:hAnsi="仿宋" w:eastAsia="仿宋"/>
        <w:b w:val="0"/>
        <w:color w:val="000000"/>
        <w:position w:val="14"/>
        <w:sz w:val="24"/>
        <w:szCs w:val="24"/>
      </w:rPr>
      <w:t>杭州市萧山区第四中等职业学校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00"/>
    <w:rsid w:val="000A39CD"/>
    <w:rsid w:val="000B6BA2"/>
    <w:rsid w:val="001233CC"/>
    <w:rsid w:val="00175ECA"/>
    <w:rsid w:val="00186417"/>
    <w:rsid w:val="00216B34"/>
    <w:rsid w:val="0026486E"/>
    <w:rsid w:val="002D6CAE"/>
    <w:rsid w:val="00445350"/>
    <w:rsid w:val="00460590"/>
    <w:rsid w:val="004B5035"/>
    <w:rsid w:val="00505212"/>
    <w:rsid w:val="00562D57"/>
    <w:rsid w:val="005B0024"/>
    <w:rsid w:val="00631603"/>
    <w:rsid w:val="007E3B68"/>
    <w:rsid w:val="007E6878"/>
    <w:rsid w:val="0082591B"/>
    <w:rsid w:val="0083069E"/>
    <w:rsid w:val="00834C00"/>
    <w:rsid w:val="008A1E91"/>
    <w:rsid w:val="008E4D15"/>
    <w:rsid w:val="00971683"/>
    <w:rsid w:val="009D258F"/>
    <w:rsid w:val="00A10BCD"/>
    <w:rsid w:val="00A27BDA"/>
    <w:rsid w:val="00AE0A89"/>
    <w:rsid w:val="00B15C33"/>
    <w:rsid w:val="00B17B79"/>
    <w:rsid w:val="00B92054"/>
    <w:rsid w:val="00DC20BC"/>
    <w:rsid w:val="00DD6A22"/>
    <w:rsid w:val="00DF5A84"/>
    <w:rsid w:val="00E6156B"/>
    <w:rsid w:val="00E707ED"/>
    <w:rsid w:val="00EC4999"/>
    <w:rsid w:val="00F07DEB"/>
    <w:rsid w:val="00F341CD"/>
    <w:rsid w:val="00F42A21"/>
    <w:rsid w:val="00F52F64"/>
    <w:rsid w:val="00FB26AC"/>
    <w:rsid w:val="00FB6CB8"/>
    <w:rsid w:val="00FE6BF3"/>
    <w:rsid w:val="030969A4"/>
    <w:rsid w:val="0B412CBF"/>
    <w:rsid w:val="0CE2324D"/>
    <w:rsid w:val="0E335771"/>
    <w:rsid w:val="0EAF1D86"/>
    <w:rsid w:val="1094443B"/>
    <w:rsid w:val="14EC4ED2"/>
    <w:rsid w:val="16F312B3"/>
    <w:rsid w:val="184E2508"/>
    <w:rsid w:val="19BC204D"/>
    <w:rsid w:val="1B921DC7"/>
    <w:rsid w:val="1C7945F6"/>
    <w:rsid w:val="2200648F"/>
    <w:rsid w:val="233A7C42"/>
    <w:rsid w:val="2A1D3E54"/>
    <w:rsid w:val="33B70DF2"/>
    <w:rsid w:val="342F2454"/>
    <w:rsid w:val="393E46B0"/>
    <w:rsid w:val="3A305448"/>
    <w:rsid w:val="3C3E351C"/>
    <w:rsid w:val="41CE3196"/>
    <w:rsid w:val="4350681F"/>
    <w:rsid w:val="45D27687"/>
    <w:rsid w:val="49C80DAD"/>
    <w:rsid w:val="4FB6302A"/>
    <w:rsid w:val="50AA4442"/>
    <w:rsid w:val="57321716"/>
    <w:rsid w:val="57B3128C"/>
    <w:rsid w:val="59115851"/>
    <w:rsid w:val="594F2730"/>
    <w:rsid w:val="5B334E83"/>
    <w:rsid w:val="5D8B13E4"/>
    <w:rsid w:val="5EEC605B"/>
    <w:rsid w:val="635C042B"/>
    <w:rsid w:val="688B0A3B"/>
    <w:rsid w:val="6E1F7945"/>
    <w:rsid w:val="715C5236"/>
    <w:rsid w:val="732D6104"/>
    <w:rsid w:val="7921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
    <w:pPr>
      <w:shd w:val="clear" w:color="auto" w:fill="FFFFFF"/>
      <w:spacing w:line="360" w:lineRule="auto"/>
      <w:ind w:firstLine="200" w:firstLineChars="200"/>
      <w:outlineLvl w:val="0"/>
    </w:pPr>
    <w:rPr>
      <w:rFonts w:ascii="仿宋" w:hAnsi="仿宋" w:eastAsia="仿宋"/>
      <w:b/>
      <w:sz w:val="30"/>
      <w:szCs w:val="30"/>
    </w:rPr>
  </w:style>
  <w:style w:type="paragraph" w:styleId="3">
    <w:name w:val="heading 2"/>
    <w:basedOn w:val="1"/>
    <w:next w:val="1"/>
    <w:link w:val="37"/>
    <w:unhideWhenUsed/>
    <w:qFormat/>
    <w:uiPriority w:val="9"/>
    <w:pPr>
      <w:shd w:val="clear" w:color="auto" w:fill="FFFFFF"/>
      <w:spacing w:line="360" w:lineRule="auto"/>
      <w:ind w:firstLine="200" w:firstLineChars="200"/>
      <w:outlineLvl w:val="1"/>
    </w:pPr>
    <w:rPr>
      <w:rFonts w:ascii="仿宋" w:hAnsi="仿宋" w:eastAsia="仿宋"/>
      <w:b/>
      <w:sz w:val="30"/>
      <w:szCs w:val="30"/>
    </w:rPr>
  </w:style>
  <w:style w:type="paragraph" w:styleId="4">
    <w:name w:val="heading 3"/>
    <w:basedOn w:val="1"/>
    <w:next w:val="1"/>
    <w:link w:val="38"/>
    <w:unhideWhenUsed/>
    <w:qFormat/>
    <w:uiPriority w:val="9"/>
    <w:pPr>
      <w:ind w:firstLine="602" w:firstLineChars="200"/>
      <w:outlineLvl w:val="2"/>
    </w:pPr>
    <w:rPr>
      <w:rFonts w:ascii="仿宋" w:hAnsi="仿宋" w:eastAsia="仿宋"/>
      <w:b/>
      <w:bCs/>
      <w:sz w:val="30"/>
      <w:szCs w:val="30"/>
    </w:rPr>
  </w:style>
  <w:style w:type="paragraph" w:styleId="5">
    <w:name w:val="heading 4"/>
    <w:basedOn w:val="4"/>
    <w:next w:val="1"/>
    <w:link w:val="39"/>
    <w:unhideWhenUsed/>
    <w:qFormat/>
    <w:uiPriority w:val="9"/>
    <w:pPr>
      <w:ind w:firstLine="562"/>
      <w:outlineLvl w:val="3"/>
    </w:pPr>
    <w:rPr>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23"/>
    <w:qFormat/>
    <w:uiPriority w:val="0"/>
    <w:pPr>
      <w:ind w:firstLine="372" w:firstLineChars="151"/>
    </w:pPr>
    <w:rPr>
      <w:sz w:val="24"/>
      <w:szCs w:val="20"/>
    </w:rPr>
  </w:style>
  <w:style w:type="paragraph" w:styleId="7">
    <w:name w:val="toc 3"/>
    <w:basedOn w:val="1"/>
    <w:next w:val="1"/>
    <w:unhideWhenUsed/>
    <w:qFormat/>
    <w:uiPriority w:val="39"/>
    <w:pPr>
      <w:ind w:left="840" w:leftChars="400"/>
    </w:pPr>
  </w:style>
  <w:style w:type="paragraph" w:styleId="8">
    <w:name w:val="Plain Text"/>
    <w:basedOn w:val="1"/>
    <w:link w:val="24"/>
    <w:qFormat/>
    <w:uiPriority w:val="0"/>
    <w:rPr>
      <w:rFonts w:ascii="宋体" w:hAnsi="Courier New" w:cs="Courier New"/>
      <w:szCs w:val="21"/>
    </w:rPr>
  </w:style>
  <w:style w:type="paragraph" w:styleId="9">
    <w:name w:val="Date"/>
    <w:basedOn w:val="1"/>
    <w:next w:val="1"/>
    <w:link w:val="25"/>
    <w:semiHidden/>
    <w:unhideWhenUsed/>
    <w:qFormat/>
    <w:uiPriority w:val="99"/>
    <w:pPr>
      <w:ind w:left="100" w:leftChars="25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tabs>
        <w:tab w:val="right" w:leader="dot" w:pos="8296"/>
      </w:tabs>
      <w:spacing w:line="360" w:lineRule="auto"/>
    </w:pPr>
    <w:rPr>
      <w:b/>
      <w:bCs/>
    </w:rPr>
  </w:style>
  <w:style w:type="paragraph" w:styleId="14">
    <w:name w:val="toc 2"/>
    <w:basedOn w:val="1"/>
    <w:next w:val="1"/>
    <w:unhideWhenUsed/>
    <w:qFormat/>
    <w:uiPriority w:val="39"/>
    <w:pPr>
      <w:tabs>
        <w:tab w:val="right" w:leader="dot" w:pos="8296"/>
      </w:tabs>
      <w:spacing w:line="360" w:lineRule="auto"/>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正文文本缩进 Char"/>
    <w:basedOn w:val="18"/>
    <w:link w:val="6"/>
    <w:qFormat/>
    <w:uiPriority w:val="0"/>
    <w:rPr>
      <w:rFonts w:ascii="Times New Roman" w:hAnsi="Times New Roman" w:eastAsia="宋体" w:cs="Times New Roman"/>
      <w:sz w:val="24"/>
      <w:szCs w:val="20"/>
    </w:rPr>
  </w:style>
  <w:style w:type="character" w:customStyle="1" w:styleId="24">
    <w:name w:val="纯文本 Char"/>
    <w:basedOn w:val="18"/>
    <w:link w:val="8"/>
    <w:qFormat/>
    <w:uiPriority w:val="0"/>
    <w:rPr>
      <w:rFonts w:ascii="宋体" w:hAnsi="Courier New" w:eastAsia="宋体" w:cs="Courier New"/>
      <w:szCs w:val="21"/>
    </w:rPr>
  </w:style>
  <w:style w:type="character" w:customStyle="1" w:styleId="25">
    <w:name w:val="日期 Char"/>
    <w:basedOn w:val="18"/>
    <w:link w:val="9"/>
    <w:semiHidden/>
    <w:qFormat/>
    <w:uiPriority w:val="99"/>
    <w:rPr>
      <w:rFonts w:ascii="Times New Roman" w:hAnsi="Times New Roman" w:eastAsia="宋体" w:cs="Times New Roman"/>
      <w:szCs w:val="24"/>
    </w:rPr>
  </w:style>
  <w:style w:type="character" w:customStyle="1" w:styleId="26">
    <w:name w:val="批注框文本 Char"/>
    <w:basedOn w:val="18"/>
    <w:link w:val="10"/>
    <w:semiHidden/>
    <w:qFormat/>
    <w:uiPriority w:val="99"/>
    <w:rPr>
      <w:rFonts w:ascii="Times New Roman" w:hAnsi="Times New Roman" w:eastAsia="宋体" w:cs="Times New Roman"/>
      <w:sz w:val="18"/>
      <w:szCs w:val="18"/>
    </w:rPr>
  </w:style>
  <w:style w:type="table" w:customStyle="1" w:styleId="27">
    <w:name w:val="网格型1"/>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表头"/>
    <w:basedOn w:val="1"/>
    <w:qFormat/>
    <w:uiPriority w:val="0"/>
    <w:pPr>
      <w:topLinePunct/>
      <w:adjustRightInd w:val="0"/>
      <w:snapToGrid w:val="0"/>
      <w:jc w:val="center"/>
    </w:pPr>
    <w:rPr>
      <w:rFonts w:ascii="方正兰亭黑简体" w:eastAsia="方正兰亭黑简体"/>
      <w:sz w:val="18"/>
      <w:szCs w:val="18"/>
    </w:rPr>
  </w:style>
  <w:style w:type="character" w:customStyle="1" w:styleId="29">
    <w:name w:val="apple-converted-space"/>
    <w:basedOn w:val="18"/>
    <w:qFormat/>
    <w:uiPriority w:val="0"/>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fontstyle01"/>
    <w:basedOn w:val="18"/>
    <w:qFormat/>
    <w:uiPriority w:val="0"/>
    <w:rPr>
      <w:rFonts w:hint="eastAsia" w:ascii="仿宋_GB2312" w:eastAsia="仿宋_GB2312"/>
      <w:color w:val="000000"/>
      <w:sz w:val="22"/>
      <w:szCs w:val="22"/>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p0"/>
    <w:basedOn w:val="1"/>
    <w:qFormat/>
    <w:uiPriority w:val="0"/>
    <w:pPr>
      <w:widowControl/>
    </w:pPr>
    <w:rPr>
      <w:kern w:val="0"/>
      <w:szCs w:val="21"/>
    </w:rPr>
  </w:style>
  <w:style w:type="character" w:customStyle="1" w:styleId="34">
    <w:name w:val="15"/>
    <w:basedOn w:val="18"/>
    <w:qFormat/>
    <w:uiPriority w:val="0"/>
    <w:rPr>
      <w:rFonts w:hint="default" w:ascii="Times New Roman" w:hAnsi="Times New Roman" w:cs="Times New Roman"/>
    </w:rPr>
  </w:style>
  <w:style w:type="character" w:customStyle="1" w:styleId="35">
    <w:name w:val="标题 1 Char"/>
    <w:basedOn w:val="18"/>
    <w:link w:val="2"/>
    <w:qFormat/>
    <w:uiPriority w:val="9"/>
    <w:rPr>
      <w:rFonts w:ascii="仿宋" w:hAnsi="仿宋" w:eastAsia="仿宋" w:cs="宋体"/>
      <w:b/>
      <w:kern w:val="0"/>
      <w:sz w:val="30"/>
      <w:szCs w:val="30"/>
      <w:shd w:val="clear" w:color="auto" w:fill="FFFFFF"/>
    </w:rPr>
  </w:style>
  <w:style w:type="paragraph" w:customStyle="1" w:styleId="36">
    <w:name w:val="TOC 标题1"/>
    <w:basedOn w:val="2"/>
    <w:next w:val="1"/>
    <w:unhideWhenUsed/>
    <w:qFormat/>
    <w:uiPriority w:val="39"/>
    <w:pPr>
      <w:spacing w:before="240" w:line="259" w:lineRule="auto"/>
      <w:outlineLvl w:val="9"/>
    </w:pPr>
    <w:rPr>
      <w:rFonts w:asciiTheme="majorHAnsi" w:hAnsiTheme="majorHAnsi" w:eastAsiaTheme="majorEastAsia" w:cstheme="majorBidi"/>
      <w:b w:val="0"/>
      <w:bCs/>
      <w:color w:val="2F5597" w:themeColor="accent1" w:themeShade="BF"/>
      <w:sz w:val="32"/>
      <w:szCs w:val="32"/>
    </w:rPr>
  </w:style>
  <w:style w:type="character" w:customStyle="1" w:styleId="37">
    <w:name w:val="标题 2 Char"/>
    <w:basedOn w:val="18"/>
    <w:link w:val="3"/>
    <w:qFormat/>
    <w:uiPriority w:val="9"/>
    <w:rPr>
      <w:rFonts w:ascii="仿宋" w:hAnsi="仿宋" w:eastAsia="仿宋" w:cs="宋体"/>
      <w:b/>
      <w:kern w:val="0"/>
      <w:sz w:val="30"/>
      <w:szCs w:val="30"/>
      <w:shd w:val="clear" w:color="auto" w:fill="FFFFFF"/>
    </w:rPr>
  </w:style>
  <w:style w:type="character" w:customStyle="1" w:styleId="38">
    <w:name w:val="标题 3 Char"/>
    <w:basedOn w:val="18"/>
    <w:link w:val="4"/>
    <w:qFormat/>
    <w:uiPriority w:val="9"/>
    <w:rPr>
      <w:rFonts w:ascii="仿宋" w:hAnsi="仿宋" w:eastAsia="仿宋" w:cs="Times New Roman"/>
      <w:b/>
      <w:bCs/>
      <w:sz w:val="30"/>
      <w:szCs w:val="30"/>
    </w:rPr>
  </w:style>
  <w:style w:type="character" w:customStyle="1" w:styleId="39">
    <w:name w:val="标题 4 Char"/>
    <w:basedOn w:val="18"/>
    <w:link w:val="5"/>
    <w:qFormat/>
    <w:uiPriority w:val="9"/>
    <w:rPr>
      <w:rFonts w:ascii="仿宋" w:hAnsi="仿宋" w:eastAsia="仿宋" w:cs="Times New Roman"/>
      <w:b/>
      <w:bCs/>
      <w:sz w:val="28"/>
      <w:szCs w:val="28"/>
    </w:rPr>
  </w:style>
  <w:style w:type="character" w:customStyle="1" w:styleId="40">
    <w:name w:val="font21"/>
    <w:basedOn w:val="18"/>
    <w:qFormat/>
    <w:uiPriority w:val="0"/>
    <w:rPr>
      <w:rFonts w:hint="eastAsia" w:ascii="宋体" w:hAnsi="宋体" w:eastAsia="宋体" w:cs="宋体"/>
      <w:color w:val="000000"/>
      <w:sz w:val="22"/>
      <w:szCs w:val="22"/>
      <w:u w:val="none"/>
    </w:rPr>
  </w:style>
  <w:style w:type="character" w:customStyle="1" w:styleId="41">
    <w:name w:val="font01"/>
    <w:basedOn w:val="18"/>
    <w:qFormat/>
    <w:uiPriority w:val="0"/>
    <w:rPr>
      <w:rFonts w:hint="eastAsia" w:ascii="宋体" w:hAnsi="宋体" w:eastAsia="宋体" w:cs="宋体"/>
      <w:color w:val="000000"/>
      <w:sz w:val="21"/>
      <w:szCs w:val="21"/>
      <w:u w:val="none"/>
    </w:rPr>
  </w:style>
  <w:style w:type="character" w:customStyle="1" w:styleId="42">
    <w:name w:val="font11"/>
    <w:basedOn w:val="18"/>
    <w:qFormat/>
    <w:uiPriority w:val="0"/>
    <w:rPr>
      <w:rFonts w:hint="eastAsia" w:ascii="宋体" w:hAnsi="宋体" w:eastAsia="宋体" w:cs="宋体"/>
      <w:color w:val="000000"/>
      <w:sz w:val="22"/>
      <w:szCs w:val="22"/>
      <w:u w:val="none"/>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0320F-737D-4AE0-BA2D-B562D2952A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6865</Words>
  <Characters>39135</Characters>
  <Lines>326</Lines>
  <Paragraphs>91</Paragraphs>
  <TotalTime>1</TotalTime>
  <ScaleCrop>false</ScaleCrop>
  <LinksUpToDate>false</LinksUpToDate>
  <CharactersWithSpaces>45909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2019-12-13T03:53:00Z</dcterms:created>
  <dc:creator>俞 敏</dc:creator>
  <cp:lastModifiedBy>203-1</cp:lastModifiedBy>
  <cp:lastPrinted>2020-12-21T07:27:00Z</cp:lastPrinted>
  <dcterms:modified xsi:type="dcterms:W3CDTF">2021-01-08T07:01:27Z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