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50" w:lineRule="atLeast"/>
        <w:jc w:val="center"/>
        <w:rPr>
          <w:rFonts w:ascii="宋体" w:hAnsi="宋体" w:cs="宋体"/>
          <w:b/>
          <w:bCs/>
          <w:color w:val="auto"/>
          <w:kern w:val="0"/>
          <w:sz w:val="45"/>
          <w:szCs w:val="45"/>
        </w:rPr>
      </w:pPr>
    </w:p>
    <w:p>
      <w:pPr>
        <w:widowControl/>
        <w:spacing w:line="450" w:lineRule="atLeast"/>
        <w:jc w:val="center"/>
        <w:rPr>
          <w:rFonts w:ascii="宋体" w:hAnsi="宋体" w:cs="宋体"/>
          <w:b/>
          <w:bCs/>
          <w:color w:val="auto"/>
          <w:kern w:val="0"/>
          <w:sz w:val="45"/>
          <w:szCs w:val="45"/>
        </w:rPr>
      </w:pPr>
    </w:p>
    <w:p>
      <w:pPr>
        <w:widowControl/>
        <w:spacing w:line="450" w:lineRule="atLeast"/>
        <w:jc w:val="center"/>
        <w:rPr>
          <w:rFonts w:ascii="黑体" w:hAnsi="黑体" w:eastAsia="黑体" w:cs="宋体"/>
          <w:b/>
          <w:bCs/>
          <w:color w:val="auto"/>
          <w:kern w:val="0"/>
          <w:sz w:val="52"/>
          <w:szCs w:val="52"/>
        </w:rPr>
      </w:pPr>
      <w:r>
        <w:rPr>
          <w:rFonts w:hint="eastAsia" w:ascii="黑体" w:hAnsi="黑体" w:eastAsia="黑体" w:cs="宋体"/>
          <w:b/>
          <w:bCs/>
          <w:color w:val="auto"/>
          <w:kern w:val="0"/>
          <w:sz w:val="52"/>
          <w:szCs w:val="52"/>
        </w:rPr>
        <w:t>浙江省安吉艺术高级中学</w:t>
      </w:r>
    </w:p>
    <w:p>
      <w:pPr>
        <w:widowControl/>
        <w:spacing w:line="450" w:lineRule="atLeast"/>
        <w:jc w:val="center"/>
        <w:rPr>
          <w:rFonts w:ascii="黑体" w:hAnsi="黑体" w:eastAsia="黑体" w:cs="宋体"/>
          <w:b/>
          <w:bCs/>
          <w:color w:val="auto"/>
          <w:kern w:val="0"/>
          <w:sz w:val="52"/>
          <w:szCs w:val="52"/>
        </w:rPr>
      </w:pPr>
    </w:p>
    <w:p>
      <w:pPr>
        <w:widowControl/>
        <w:spacing w:line="450" w:lineRule="atLeast"/>
        <w:jc w:val="center"/>
        <w:rPr>
          <w:rFonts w:ascii="黑体" w:hAnsi="黑体" w:eastAsia="黑体" w:cs="宋体"/>
          <w:b/>
          <w:bCs/>
          <w:color w:val="auto"/>
          <w:kern w:val="0"/>
          <w:sz w:val="52"/>
          <w:szCs w:val="52"/>
        </w:rPr>
      </w:pPr>
      <w:r>
        <w:rPr>
          <w:rFonts w:hint="eastAsia" w:ascii="黑体" w:hAnsi="黑体" w:eastAsia="黑体" w:cs="宋体"/>
          <w:b/>
          <w:bCs/>
          <w:color w:val="auto"/>
          <w:kern w:val="0"/>
          <w:sz w:val="52"/>
          <w:szCs w:val="52"/>
        </w:rPr>
        <w:t>教育质量年度报告</w:t>
      </w:r>
    </w:p>
    <w:p>
      <w:pPr>
        <w:widowControl/>
        <w:spacing w:line="450" w:lineRule="atLeast"/>
        <w:jc w:val="center"/>
        <w:rPr>
          <w:rFonts w:ascii="黑体" w:hAnsi="黑体" w:eastAsia="黑体" w:cs="宋体"/>
          <w:b/>
          <w:bCs/>
          <w:color w:val="auto"/>
          <w:kern w:val="0"/>
          <w:sz w:val="52"/>
          <w:szCs w:val="52"/>
        </w:rPr>
      </w:pPr>
    </w:p>
    <w:p>
      <w:pPr>
        <w:widowControl/>
        <w:spacing w:line="450" w:lineRule="atLeast"/>
        <w:jc w:val="center"/>
        <w:rPr>
          <w:rFonts w:ascii="宋体" w:hAnsi="宋体" w:cs="宋体"/>
          <w:b/>
          <w:bCs/>
          <w:color w:val="auto"/>
          <w:kern w:val="0"/>
          <w:sz w:val="45"/>
          <w:szCs w:val="45"/>
        </w:rPr>
      </w:pPr>
      <w:r>
        <w:rPr>
          <w:rFonts w:hint="eastAsia" w:ascii="宋体" w:hAnsi="宋体" w:cs="宋体"/>
          <w:b/>
          <w:bCs/>
          <w:color w:val="auto"/>
          <w:kern w:val="0"/>
          <w:sz w:val="45"/>
          <w:szCs w:val="45"/>
        </w:rPr>
        <w:t>（20</w:t>
      </w:r>
      <w:r>
        <w:rPr>
          <w:rFonts w:hint="eastAsia" w:ascii="宋体" w:hAnsi="宋体" w:cs="宋体"/>
          <w:b/>
          <w:bCs/>
          <w:color w:val="auto"/>
          <w:kern w:val="0"/>
          <w:sz w:val="45"/>
          <w:szCs w:val="45"/>
          <w:lang w:val="en-US" w:eastAsia="zh-CN"/>
        </w:rPr>
        <w:t>20</w:t>
      </w:r>
      <w:r>
        <w:rPr>
          <w:rFonts w:hint="eastAsia" w:ascii="宋体" w:hAnsi="宋体" w:cs="宋体"/>
          <w:b/>
          <w:bCs/>
          <w:color w:val="auto"/>
          <w:kern w:val="0"/>
          <w:sz w:val="45"/>
          <w:szCs w:val="45"/>
        </w:rPr>
        <w:t>年）</w:t>
      </w:r>
    </w:p>
    <w:p>
      <w:pPr>
        <w:widowControl/>
        <w:spacing w:line="560" w:lineRule="atLeast"/>
        <w:rPr>
          <w:rFonts w:ascii="楷体_GB2312" w:eastAsia="楷体_GB2312" w:cs="宋体"/>
          <w:b/>
          <w:bCs/>
          <w:color w:val="auto"/>
          <w:kern w:val="0"/>
          <w:sz w:val="36"/>
          <w:szCs w:val="36"/>
        </w:rPr>
      </w:pPr>
    </w:p>
    <w:p>
      <w:pPr>
        <w:widowControl/>
        <w:spacing w:line="560" w:lineRule="atLeast"/>
        <w:rPr>
          <w:rFonts w:ascii="楷体_GB2312" w:eastAsia="楷体_GB2312" w:cs="宋体"/>
          <w:b/>
          <w:bCs/>
          <w:color w:val="auto"/>
          <w:kern w:val="0"/>
          <w:sz w:val="36"/>
          <w:szCs w:val="36"/>
        </w:rPr>
      </w:pPr>
    </w:p>
    <w:p>
      <w:pPr>
        <w:widowControl/>
        <w:spacing w:line="560" w:lineRule="atLeast"/>
        <w:rPr>
          <w:rFonts w:ascii="楷体_GB2312" w:eastAsia="楷体_GB2312" w:cs="宋体"/>
          <w:b/>
          <w:bCs/>
          <w:color w:val="auto"/>
          <w:kern w:val="0"/>
          <w:sz w:val="36"/>
          <w:szCs w:val="36"/>
        </w:rPr>
      </w:pPr>
    </w:p>
    <w:p>
      <w:pPr>
        <w:widowControl/>
        <w:spacing w:line="560" w:lineRule="atLeast"/>
        <w:rPr>
          <w:rFonts w:ascii="楷体_GB2312" w:eastAsia="楷体_GB2312" w:cs="宋体"/>
          <w:b/>
          <w:bCs/>
          <w:color w:val="auto"/>
          <w:kern w:val="0"/>
          <w:sz w:val="36"/>
          <w:szCs w:val="36"/>
        </w:rPr>
      </w:pPr>
    </w:p>
    <w:p>
      <w:pPr>
        <w:widowControl/>
        <w:spacing w:line="560" w:lineRule="atLeast"/>
        <w:rPr>
          <w:rFonts w:ascii="楷体_GB2312" w:eastAsia="楷体_GB2312" w:cs="宋体"/>
          <w:b/>
          <w:bCs/>
          <w:color w:val="auto"/>
          <w:kern w:val="0"/>
          <w:sz w:val="36"/>
          <w:szCs w:val="36"/>
        </w:rPr>
      </w:pPr>
    </w:p>
    <w:p>
      <w:pPr>
        <w:widowControl/>
        <w:spacing w:line="560" w:lineRule="atLeast"/>
        <w:rPr>
          <w:rFonts w:cs="宋体"/>
          <w:color w:val="auto"/>
          <w:kern w:val="0"/>
          <w:szCs w:val="21"/>
        </w:rPr>
      </w:pPr>
      <w:r>
        <w:rPr>
          <w:rFonts w:cs="宋体"/>
          <w:color w:val="auto"/>
          <w:kern w:val="0"/>
          <w:szCs w:val="21"/>
        </w:rPr>
        <w:t> </w:t>
      </w:r>
    </w:p>
    <w:p>
      <w:pPr>
        <w:widowControl/>
        <w:spacing w:line="560" w:lineRule="atLeast"/>
        <w:rPr>
          <w:rFonts w:cs="宋体"/>
          <w:color w:val="auto"/>
          <w:kern w:val="0"/>
          <w:szCs w:val="21"/>
        </w:rPr>
      </w:pPr>
      <w:r>
        <w:rPr>
          <w:rFonts w:cs="宋体"/>
          <w:color w:val="auto"/>
          <w:kern w:val="0"/>
          <w:szCs w:val="21"/>
        </w:rPr>
        <w:t> </w:t>
      </w:r>
    </w:p>
    <w:p>
      <w:pPr>
        <w:widowControl/>
        <w:spacing w:line="840" w:lineRule="atLeast"/>
        <w:jc w:val="center"/>
        <w:rPr>
          <w:rFonts w:ascii="宋体" w:hAnsi="宋体" w:cs="宋体"/>
          <w:b/>
          <w:bCs/>
          <w:color w:val="auto"/>
          <w:kern w:val="0"/>
          <w:sz w:val="44"/>
          <w:szCs w:val="44"/>
        </w:rPr>
      </w:pPr>
      <w:r>
        <w:rPr>
          <w:rFonts w:hint="eastAsia" w:ascii="宋体" w:hAnsi="宋体" w:cs="宋体"/>
          <w:b/>
          <w:bCs/>
          <w:color w:val="auto"/>
          <w:kern w:val="0"/>
          <w:sz w:val="44"/>
          <w:szCs w:val="44"/>
        </w:rPr>
        <w:t>主管部门：</w:t>
      </w:r>
      <w:r>
        <w:rPr>
          <w:rFonts w:hint="eastAsia" w:ascii="宋体" w:hAnsi="宋体" w:cs="宋体"/>
          <w:b/>
          <w:bCs/>
          <w:color w:val="auto"/>
          <w:kern w:val="0"/>
          <w:sz w:val="44"/>
          <w:szCs w:val="44"/>
          <w:u w:val="single"/>
        </w:rPr>
        <w:t>安吉县教育局</w:t>
      </w:r>
    </w:p>
    <w:p>
      <w:pPr>
        <w:widowControl/>
        <w:spacing w:line="840" w:lineRule="atLeast"/>
        <w:jc w:val="center"/>
        <w:rPr>
          <w:rFonts w:ascii="宋体" w:hAnsi="宋体" w:cs="宋体"/>
          <w:b/>
          <w:bCs/>
          <w:color w:val="auto"/>
          <w:kern w:val="0"/>
          <w:sz w:val="44"/>
          <w:szCs w:val="44"/>
        </w:rPr>
      </w:pPr>
      <w:r>
        <w:rPr>
          <w:rFonts w:hint="eastAsia" w:ascii="宋体" w:hAnsi="宋体" w:cs="宋体"/>
          <w:b/>
          <w:bCs/>
          <w:color w:val="auto"/>
          <w:kern w:val="0"/>
          <w:sz w:val="44"/>
          <w:szCs w:val="44"/>
        </w:rPr>
        <w:t>二○</w:t>
      </w:r>
      <w:r>
        <w:rPr>
          <w:rFonts w:hint="eastAsia" w:ascii="宋体" w:hAnsi="宋体" w:cs="宋体"/>
          <w:b/>
          <w:bCs/>
          <w:color w:val="auto"/>
          <w:kern w:val="0"/>
          <w:sz w:val="44"/>
          <w:szCs w:val="44"/>
          <w:lang w:eastAsia="zh-CN"/>
        </w:rPr>
        <w:t>二一</w:t>
      </w:r>
      <w:r>
        <w:rPr>
          <w:rFonts w:hint="eastAsia" w:ascii="宋体" w:hAnsi="宋体" w:cs="宋体"/>
          <w:b/>
          <w:bCs/>
          <w:color w:val="auto"/>
          <w:kern w:val="0"/>
          <w:sz w:val="44"/>
          <w:szCs w:val="44"/>
        </w:rPr>
        <w:t>年</w:t>
      </w:r>
      <w:r>
        <w:rPr>
          <w:rFonts w:hint="eastAsia" w:ascii="宋体" w:hAnsi="宋体" w:cs="宋体"/>
          <w:b/>
          <w:bCs/>
          <w:color w:val="auto"/>
          <w:kern w:val="0"/>
          <w:sz w:val="44"/>
          <w:szCs w:val="44"/>
          <w:lang w:eastAsia="zh-CN"/>
        </w:rPr>
        <w:t>一</w:t>
      </w:r>
      <w:r>
        <w:rPr>
          <w:rFonts w:hint="eastAsia" w:ascii="宋体" w:hAnsi="宋体" w:cs="宋体"/>
          <w:b/>
          <w:bCs/>
          <w:color w:val="auto"/>
          <w:kern w:val="0"/>
          <w:sz w:val="44"/>
          <w:szCs w:val="44"/>
        </w:rPr>
        <w:t>月</w:t>
      </w:r>
      <w:r>
        <w:rPr>
          <w:rFonts w:hint="eastAsia" w:ascii="宋体" w:hAnsi="宋体" w:cs="宋体"/>
          <w:b/>
          <w:bCs/>
          <w:color w:val="auto"/>
          <w:kern w:val="0"/>
          <w:sz w:val="44"/>
          <w:szCs w:val="44"/>
          <w:lang w:eastAsia="zh-CN"/>
        </w:rPr>
        <w:t>十二</w:t>
      </w:r>
      <w:r>
        <w:rPr>
          <w:rFonts w:hint="eastAsia" w:ascii="宋体" w:hAnsi="宋体" w:cs="宋体"/>
          <w:b/>
          <w:bCs/>
          <w:color w:val="auto"/>
          <w:kern w:val="0"/>
          <w:sz w:val="44"/>
          <w:szCs w:val="44"/>
        </w:rPr>
        <w:t>日</w:t>
      </w:r>
    </w:p>
    <w:p>
      <w:pPr>
        <w:widowControl/>
        <w:spacing w:line="840" w:lineRule="atLeast"/>
        <w:jc w:val="center"/>
        <w:rPr>
          <w:rFonts w:cs="宋体"/>
          <w:color w:val="auto"/>
          <w:kern w:val="0"/>
          <w:szCs w:val="21"/>
        </w:rPr>
      </w:pPr>
    </w:p>
    <w:p>
      <w:pPr>
        <w:widowControl/>
        <w:spacing w:line="840" w:lineRule="atLeast"/>
        <w:jc w:val="center"/>
        <w:rPr>
          <w:rFonts w:cs="宋体"/>
          <w:color w:val="auto"/>
          <w:kern w:val="0"/>
          <w:szCs w:val="21"/>
        </w:rPr>
      </w:pPr>
    </w:p>
    <w:p>
      <w:pPr>
        <w:pStyle w:val="33"/>
        <w:jc w:val="center"/>
        <w:rPr>
          <w:color w:val="auto"/>
        </w:rPr>
      </w:pPr>
      <w:r>
        <w:rPr>
          <w:color w:val="auto"/>
          <w:spacing w:val="200"/>
          <w:lang w:val="zh-CN"/>
        </w:rPr>
        <w:t>目录</w:t>
      </w:r>
    </w:p>
    <w:p>
      <w:pPr>
        <w:pStyle w:val="9"/>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TOC \o "1-3" \h \z \u </w:instrText>
      </w:r>
      <w:r>
        <w:rPr>
          <w:color w:val="auto"/>
        </w:rPr>
        <w:fldChar w:fldCharType="separate"/>
      </w:r>
      <w:r>
        <w:rPr>
          <w:color w:val="auto"/>
        </w:rPr>
        <w:fldChar w:fldCharType="begin"/>
      </w:r>
      <w:r>
        <w:rPr>
          <w:color w:val="auto"/>
        </w:rPr>
        <w:instrText xml:space="preserve"> HYPERLINK \l "_Toc28958320" </w:instrText>
      </w:r>
      <w:r>
        <w:rPr>
          <w:color w:val="auto"/>
        </w:rPr>
        <w:fldChar w:fldCharType="separate"/>
      </w:r>
      <w:r>
        <w:rPr>
          <w:rStyle w:val="19"/>
          <w:color w:val="auto"/>
        </w:rPr>
        <w:t>1.</w:t>
      </w:r>
      <w:r>
        <w:rPr>
          <w:rStyle w:val="19"/>
          <w:rFonts w:hint="eastAsia"/>
          <w:color w:val="auto"/>
        </w:rPr>
        <w:t>学校情况</w:t>
      </w:r>
      <w:r>
        <w:rPr>
          <w:color w:val="auto"/>
        </w:rPr>
        <w:tab/>
      </w:r>
      <w:r>
        <w:rPr>
          <w:color w:val="auto"/>
        </w:rPr>
        <w:fldChar w:fldCharType="begin"/>
      </w:r>
      <w:r>
        <w:rPr>
          <w:color w:val="auto"/>
        </w:rPr>
        <w:instrText xml:space="preserve"> PAGEREF _Toc28958320 \h </w:instrText>
      </w:r>
      <w:r>
        <w:rPr>
          <w:color w:val="auto"/>
        </w:rPr>
        <w:fldChar w:fldCharType="separate"/>
      </w:r>
      <w:r>
        <w:rPr>
          <w:color w:val="auto"/>
        </w:rPr>
        <w:t>1</w:t>
      </w:r>
      <w:r>
        <w:rPr>
          <w:color w:val="auto"/>
        </w:rPr>
        <w:fldChar w:fldCharType="end"/>
      </w:r>
      <w:r>
        <w:rPr>
          <w:color w:val="auto"/>
        </w:rPr>
        <w:fldChar w:fldCharType="end"/>
      </w:r>
    </w:p>
    <w:p>
      <w:pPr>
        <w:pStyle w:val="9"/>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HYPERLINK \l "_Toc28958321" </w:instrText>
      </w:r>
      <w:r>
        <w:rPr>
          <w:color w:val="auto"/>
        </w:rPr>
        <w:fldChar w:fldCharType="separate"/>
      </w:r>
      <w:r>
        <w:rPr>
          <w:rStyle w:val="19"/>
          <w:color w:val="auto"/>
        </w:rPr>
        <w:t>1.1</w:t>
      </w:r>
      <w:r>
        <w:rPr>
          <w:rStyle w:val="19"/>
          <w:rFonts w:hint="eastAsia"/>
          <w:color w:val="auto"/>
        </w:rPr>
        <w:t>学校概况</w:t>
      </w:r>
      <w:r>
        <w:rPr>
          <w:color w:val="auto"/>
        </w:rPr>
        <w:tab/>
      </w:r>
      <w:r>
        <w:rPr>
          <w:color w:val="auto"/>
        </w:rPr>
        <w:fldChar w:fldCharType="begin"/>
      </w:r>
      <w:r>
        <w:rPr>
          <w:color w:val="auto"/>
        </w:rPr>
        <w:instrText xml:space="preserve"> PAGEREF _Toc28958321 \h </w:instrText>
      </w:r>
      <w:r>
        <w:rPr>
          <w:color w:val="auto"/>
        </w:rPr>
        <w:fldChar w:fldCharType="separate"/>
      </w:r>
      <w:r>
        <w:rPr>
          <w:color w:val="auto"/>
        </w:rPr>
        <w:t>1</w:t>
      </w:r>
      <w:r>
        <w:rPr>
          <w:color w:val="auto"/>
        </w:rPr>
        <w:fldChar w:fldCharType="end"/>
      </w:r>
      <w:r>
        <w:rPr>
          <w:color w:val="auto"/>
        </w:rPr>
        <w:fldChar w:fldCharType="end"/>
      </w:r>
    </w:p>
    <w:p>
      <w:pPr>
        <w:pStyle w:val="9"/>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HYPERLINK \l "_Toc28958322" </w:instrText>
      </w:r>
      <w:r>
        <w:rPr>
          <w:color w:val="auto"/>
        </w:rPr>
        <w:fldChar w:fldCharType="separate"/>
      </w:r>
      <w:r>
        <w:rPr>
          <w:rStyle w:val="19"/>
          <w:color w:val="auto"/>
        </w:rPr>
        <w:t>1.2</w:t>
      </w:r>
      <w:r>
        <w:rPr>
          <w:rStyle w:val="19"/>
          <w:rFonts w:hint="eastAsia"/>
          <w:color w:val="auto"/>
        </w:rPr>
        <w:t>学生情况</w:t>
      </w:r>
      <w:r>
        <w:rPr>
          <w:color w:val="auto"/>
        </w:rPr>
        <w:tab/>
      </w:r>
      <w:r>
        <w:rPr>
          <w:color w:val="auto"/>
        </w:rPr>
        <w:fldChar w:fldCharType="begin"/>
      </w:r>
      <w:r>
        <w:rPr>
          <w:color w:val="auto"/>
        </w:rPr>
        <w:instrText xml:space="preserve"> PAGEREF _Toc28958322 \h </w:instrText>
      </w:r>
      <w:r>
        <w:rPr>
          <w:color w:val="auto"/>
        </w:rPr>
        <w:fldChar w:fldCharType="separate"/>
      </w:r>
      <w:r>
        <w:rPr>
          <w:color w:val="auto"/>
        </w:rPr>
        <w:t>2</w:t>
      </w:r>
      <w:r>
        <w:rPr>
          <w:color w:val="auto"/>
        </w:rPr>
        <w:fldChar w:fldCharType="end"/>
      </w:r>
      <w:r>
        <w:rPr>
          <w:color w:val="auto"/>
        </w:rPr>
        <w:fldChar w:fldCharType="end"/>
      </w:r>
    </w:p>
    <w:p>
      <w:pPr>
        <w:pStyle w:val="9"/>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HYPERLINK \l "_Toc28958323" </w:instrText>
      </w:r>
      <w:r>
        <w:rPr>
          <w:color w:val="auto"/>
        </w:rPr>
        <w:fldChar w:fldCharType="separate"/>
      </w:r>
      <w:r>
        <w:rPr>
          <w:rStyle w:val="19"/>
          <w:color w:val="auto"/>
        </w:rPr>
        <w:t>1.3</w:t>
      </w:r>
      <w:r>
        <w:rPr>
          <w:rStyle w:val="19"/>
          <w:rFonts w:hint="eastAsia"/>
          <w:color w:val="auto"/>
        </w:rPr>
        <w:t>教师队伍</w:t>
      </w:r>
      <w:r>
        <w:rPr>
          <w:color w:val="auto"/>
        </w:rPr>
        <w:tab/>
      </w:r>
      <w:r>
        <w:rPr>
          <w:color w:val="auto"/>
        </w:rPr>
        <w:fldChar w:fldCharType="begin"/>
      </w:r>
      <w:r>
        <w:rPr>
          <w:color w:val="auto"/>
        </w:rPr>
        <w:instrText xml:space="preserve"> PAGEREF _Toc28958323 \h </w:instrText>
      </w:r>
      <w:r>
        <w:rPr>
          <w:color w:val="auto"/>
        </w:rPr>
        <w:fldChar w:fldCharType="separate"/>
      </w:r>
      <w:r>
        <w:rPr>
          <w:color w:val="auto"/>
        </w:rPr>
        <w:t>2</w:t>
      </w:r>
      <w:r>
        <w:rPr>
          <w:color w:val="auto"/>
        </w:rPr>
        <w:fldChar w:fldCharType="end"/>
      </w:r>
      <w:r>
        <w:rPr>
          <w:color w:val="auto"/>
        </w:rPr>
        <w:fldChar w:fldCharType="end"/>
      </w:r>
    </w:p>
    <w:p>
      <w:pPr>
        <w:pStyle w:val="9"/>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HYPERLINK \l "_Toc28958324" </w:instrText>
      </w:r>
      <w:r>
        <w:rPr>
          <w:color w:val="auto"/>
        </w:rPr>
        <w:fldChar w:fldCharType="separate"/>
      </w:r>
      <w:r>
        <w:rPr>
          <w:rStyle w:val="19"/>
          <w:color w:val="auto"/>
        </w:rPr>
        <w:t>1.4</w:t>
      </w:r>
      <w:r>
        <w:rPr>
          <w:rStyle w:val="19"/>
          <w:rFonts w:hint="eastAsia"/>
          <w:color w:val="auto"/>
        </w:rPr>
        <w:t>设施设备</w:t>
      </w:r>
      <w:r>
        <w:rPr>
          <w:color w:val="auto"/>
        </w:rPr>
        <w:tab/>
      </w:r>
      <w:r>
        <w:rPr>
          <w:color w:val="auto"/>
        </w:rPr>
        <w:fldChar w:fldCharType="begin"/>
      </w:r>
      <w:r>
        <w:rPr>
          <w:color w:val="auto"/>
        </w:rPr>
        <w:instrText xml:space="preserve"> PAGEREF _Toc28958324 \h </w:instrText>
      </w:r>
      <w:r>
        <w:rPr>
          <w:color w:val="auto"/>
        </w:rPr>
        <w:fldChar w:fldCharType="separate"/>
      </w:r>
      <w:r>
        <w:rPr>
          <w:color w:val="auto"/>
        </w:rPr>
        <w:t>3</w:t>
      </w:r>
      <w:r>
        <w:rPr>
          <w:color w:val="auto"/>
        </w:rPr>
        <w:fldChar w:fldCharType="end"/>
      </w:r>
      <w:r>
        <w:rPr>
          <w:color w:val="auto"/>
        </w:rPr>
        <w:fldChar w:fldCharType="end"/>
      </w:r>
    </w:p>
    <w:p>
      <w:pPr>
        <w:pStyle w:val="9"/>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HYPERLINK \l "_Toc28958325" </w:instrText>
      </w:r>
      <w:r>
        <w:rPr>
          <w:color w:val="auto"/>
        </w:rPr>
        <w:fldChar w:fldCharType="separate"/>
      </w:r>
      <w:r>
        <w:rPr>
          <w:rStyle w:val="19"/>
          <w:color w:val="auto"/>
        </w:rPr>
        <w:t>2.</w:t>
      </w:r>
      <w:r>
        <w:rPr>
          <w:rStyle w:val="19"/>
          <w:rFonts w:hint="eastAsia"/>
          <w:color w:val="auto"/>
        </w:rPr>
        <w:t>学生发展</w:t>
      </w:r>
      <w:r>
        <w:rPr>
          <w:color w:val="auto"/>
        </w:rPr>
        <w:tab/>
      </w:r>
      <w:r>
        <w:rPr>
          <w:color w:val="auto"/>
        </w:rPr>
        <w:fldChar w:fldCharType="begin"/>
      </w:r>
      <w:r>
        <w:rPr>
          <w:color w:val="auto"/>
        </w:rPr>
        <w:instrText xml:space="preserve"> PAGEREF _Toc28958325 \h </w:instrText>
      </w:r>
      <w:r>
        <w:rPr>
          <w:color w:val="auto"/>
        </w:rPr>
        <w:fldChar w:fldCharType="separate"/>
      </w:r>
      <w:r>
        <w:rPr>
          <w:color w:val="auto"/>
        </w:rPr>
        <w:t>3</w:t>
      </w:r>
      <w:r>
        <w:rPr>
          <w:color w:val="auto"/>
        </w:rPr>
        <w:fldChar w:fldCharType="end"/>
      </w:r>
      <w:r>
        <w:rPr>
          <w:color w:val="auto"/>
        </w:rPr>
        <w:fldChar w:fldCharType="end"/>
      </w:r>
    </w:p>
    <w:p>
      <w:pPr>
        <w:pStyle w:val="9"/>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HYPERLINK \l "_Toc28958326" </w:instrText>
      </w:r>
      <w:r>
        <w:rPr>
          <w:color w:val="auto"/>
        </w:rPr>
        <w:fldChar w:fldCharType="separate"/>
      </w:r>
      <w:r>
        <w:rPr>
          <w:rStyle w:val="19"/>
          <w:color w:val="auto"/>
        </w:rPr>
        <w:t>2.1</w:t>
      </w:r>
      <w:r>
        <w:rPr>
          <w:rStyle w:val="19"/>
          <w:rFonts w:hint="eastAsia"/>
          <w:color w:val="auto"/>
        </w:rPr>
        <w:t>学生素质</w:t>
      </w:r>
      <w:r>
        <w:rPr>
          <w:color w:val="auto"/>
        </w:rPr>
        <w:tab/>
      </w:r>
      <w:r>
        <w:rPr>
          <w:color w:val="auto"/>
        </w:rPr>
        <w:fldChar w:fldCharType="begin"/>
      </w:r>
      <w:r>
        <w:rPr>
          <w:color w:val="auto"/>
        </w:rPr>
        <w:instrText xml:space="preserve"> PAGEREF _Toc28958326 \h </w:instrText>
      </w:r>
      <w:r>
        <w:rPr>
          <w:color w:val="auto"/>
        </w:rPr>
        <w:fldChar w:fldCharType="separate"/>
      </w:r>
      <w:r>
        <w:rPr>
          <w:color w:val="auto"/>
        </w:rPr>
        <w:t>3</w:t>
      </w:r>
      <w:r>
        <w:rPr>
          <w:color w:val="auto"/>
        </w:rPr>
        <w:fldChar w:fldCharType="end"/>
      </w:r>
      <w:r>
        <w:rPr>
          <w:color w:val="auto"/>
        </w:rPr>
        <w:fldChar w:fldCharType="end"/>
      </w:r>
    </w:p>
    <w:p>
      <w:pPr>
        <w:pStyle w:val="10"/>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HYPERLINK \l "_Toc28958327" </w:instrText>
      </w:r>
      <w:r>
        <w:rPr>
          <w:color w:val="auto"/>
        </w:rPr>
        <w:fldChar w:fldCharType="separate"/>
      </w:r>
      <w:r>
        <w:rPr>
          <w:rStyle w:val="19"/>
          <w:rFonts w:asciiTheme="minorEastAsia" w:hAnsiTheme="minorEastAsia"/>
          <w:color w:val="auto"/>
        </w:rPr>
        <w:t>2.1.1</w:t>
      </w:r>
      <w:r>
        <w:rPr>
          <w:rStyle w:val="19"/>
          <w:rFonts w:hint="eastAsia" w:asciiTheme="minorEastAsia" w:hAnsiTheme="minorEastAsia"/>
          <w:color w:val="auto"/>
        </w:rPr>
        <w:t>思想政治状况</w:t>
      </w:r>
      <w:r>
        <w:rPr>
          <w:color w:val="auto"/>
        </w:rPr>
        <w:tab/>
      </w:r>
      <w:r>
        <w:rPr>
          <w:color w:val="auto"/>
        </w:rPr>
        <w:fldChar w:fldCharType="begin"/>
      </w:r>
      <w:r>
        <w:rPr>
          <w:color w:val="auto"/>
        </w:rPr>
        <w:instrText xml:space="preserve"> PAGEREF _Toc28958327 \h </w:instrText>
      </w:r>
      <w:r>
        <w:rPr>
          <w:color w:val="auto"/>
        </w:rPr>
        <w:fldChar w:fldCharType="separate"/>
      </w:r>
      <w:r>
        <w:rPr>
          <w:color w:val="auto"/>
        </w:rPr>
        <w:t>3</w:t>
      </w:r>
      <w:r>
        <w:rPr>
          <w:color w:val="auto"/>
        </w:rPr>
        <w:fldChar w:fldCharType="end"/>
      </w:r>
      <w:r>
        <w:rPr>
          <w:color w:val="auto"/>
        </w:rPr>
        <w:fldChar w:fldCharType="end"/>
      </w:r>
    </w:p>
    <w:p>
      <w:pPr>
        <w:pStyle w:val="10"/>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HYPERLINK \l "_Toc28958328" </w:instrText>
      </w:r>
      <w:r>
        <w:rPr>
          <w:color w:val="auto"/>
        </w:rPr>
        <w:fldChar w:fldCharType="separate"/>
      </w:r>
      <w:r>
        <w:rPr>
          <w:rStyle w:val="19"/>
          <w:rFonts w:asciiTheme="minorEastAsia" w:hAnsiTheme="minorEastAsia"/>
          <w:color w:val="auto"/>
        </w:rPr>
        <w:t>2.1.2</w:t>
      </w:r>
      <w:r>
        <w:rPr>
          <w:rStyle w:val="19"/>
          <w:rFonts w:hint="eastAsia" w:asciiTheme="minorEastAsia" w:hAnsiTheme="minorEastAsia"/>
          <w:color w:val="auto"/>
        </w:rPr>
        <w:t>文化课合格率</w:t>
      </w:r>
      <w:r>
        <w:rPr>
          <w:color w:val="auto"/>
        </w:rPr>
        <w:tab/>
      </w:r>
      <w:r>
        <w:rPr>
          <w:color w:val="auto"/>
        </w:rPr>
        <w:fldChar w:fldCharType="begin"/>
      </w:r>
      <w:r>
        <w:rPr>
          <w:color w:val="auto"/>
        </w:rPr>
        <w:instrText xml:space="preserve"> PAGEREF _Toc28958328 \h </w:instrText>
      </w:r>
      <w:r>
        <w:rPr>
          <w:color w:val="auto"/>
        </w:rPr>
        <w:fldChar w:fldCharType="separate"/>
      </w:r>
      <w:r>
        <w:rPr>
          <w:color w:val="auto"/>
        </w:rPr>
        <w:t>4</w:t>
      </w:r>
      <w:r>
        <w:rPr>
          <w:color w:val="auto"/>
        </w:rPr>
        <w:fldChar w:fldCharType="end"/>
      </w:r>
      <w:r>
        <w:rPr>
          <w:color w:val="auto"/>
        </w:rPr>
        <w:fldChar w:fldCharType="end"/>
      </w:r>
    </w:p>
    <w:p>
      <w:pPr>
        <w:pStyle w:val="10"/>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HYPERLINK \l "_Toc28958329" </w:instrText>
      </w:r>
      <w:r>
        <w:rPr>
          <w:color w:val="auto"/>
        </w:rPr>
        <w:fldChar w:fldCharType="separate"/>
      </w:r>
      <w:r>
        <w:rPr>
          <w:rStyle w:val="19"/>
          <w:rFonts w:asciiTheme="minorEastAsia" w:hAnsiTheme="minorEastAsia"/>
          <w:color w:val="auto"/>
        </w:rPr>
        <w:t>2.1.3</w:t>
      </w:r>
      <w:r>
        <w:rPr>
          <w:rStyle w:val="19"/>
          <w:rFonts w:hint="eastAsia" w:asciiTheme="minorEastAsia" w:hAnsiTheme="minorEastAsia"/>
          <w:color w:val="auto"/>
        </w:rPr>
        <w:t>专业技能合格率</w:t>
      </w:r>
      <w:r>
        <w:rPr>
          <w:color w:val="auto"/>
        </w:rPr>
        <w:tab/>
      </w:r>
      <w:r>
        <w:rPr>
          <w:color w:val="auto"/>
        </w:rPr>
        <w:fldChar w:fldCharType="begin"/>
      </w:r>
      <w:r>
        <w:rPr>
          <w:color w:val="auto"/>
        </w:rPr>
        <w:instrText xml:space="preserve"> PAGEREF _Toc28958329 \h </w:instrText>
      </w:r>
      <w:r>
        <w:rPr>
          <w:color w:val="auto"/>
        </w:rPr>
        <w:fldChar w:fldCharType="separate"/>
      </w:r>
      <w:r>
        <w:rPr>
          <w:color w:val="auto"/>
        </w:rPr>
        <w:t>4</w:t>
      </w:r>
      <w:r>
        <w:rPr>
          <w:color w:val="auto"/>
        </w:rPr>
        <w:fldChar w:fldCharType="end"/>
      </w:r>
      <w:r>
        <w:rPr>
          <w:color w:val="auto"/>
        </w:rPr>
        <w:fldChar w:fldCharType="end"/>
      </w:r>
    </w:p>
    <w:p>
      <w:pPr>
        <w:pStyle w:val="10"/>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HYPERLINK \l "_Toc28958330" </w:instrText>
      </w:r>
      <w:r>
        <w:rPr>
          <w:color w:val="auto"/>
        </w:rPr>
        <w:fldChar w:fldCharType="separate"/>
      </w:r>
      <w:r>
        <w:rPr>
          <w:rStyle w:val="19"/>
          <w:rFonts w:asciiTheme="minorEastAsia" w:hAnsiTheme="minorEastAsia"/>
          <w:color w:val="auto"/>
        </w:rPr>
        <w:t>2.1.4</w:t>
      </w:r>
      <w:r>
        <w:rPr>
          <w:rStyle w:val="19"/>
          <w:rFonts w:hint="eastAsia" w:asciiTheme="minorEastAsia" w:hAnsiTheme="minorEastAsia"/>
          <w:color w:val="auto"/>
        </w:rPr>
        <w:t>体质测评合格率</w:t>
      </w:r>
      <w:r>
        <w:rPr>
          <w:color w:val="auto"/>
        </w:rPr>
        <w:tab/>
      </w:r>
      <w:r>
        <w:rPr>
          <w:color w:val="auto"/>
        </w:rPr>
        <w:fldChar w:fldCharType="begin"/>
      </w:r>
      <w:r>
        <w:rPr>
          <w:color w:val="auto"/>
        </w:rPr>
        <w:instrText xml:space="preserve"> PAGEREF _Toc28958330 \h </w:instrText>
      </w:r>
      <w:r>
        <w:rPr>
          <w:color w:val="auto"/>
        </w:rPr>
        <w:fldChar w:fldCharType="separate"/>
      </w:r>
      <w:r>
        <w:rPr>
          <w:color w:val="auto"/>
        </w:rPr>
        <w:t>4</w:t>
      </w:r>
      <w:r>
        <w:rPr>
          <w:color w:val="auto"/>
        </w:rPr>
        <w:fldChar w:fldCharType="end"/>
      </w:r>
      <w:r>
        <w:rPr>
          <w:color w:val="auto"/>
        </w:rPr>
        <w:fldChar w:fldCharType="end"/>
      </w:r>
    </w:p>
    <w:p>
      <w:pPr>
        <w:pStyle w:val="10"/>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HYPERLINK \l "_Toc28958331" </w:instrText>
      </w:r>
      <w:r>
        <w:rPr>
          <w:color w:val="auto"/>
        </w:rPr>
        <w:fldChar w:fldCharType="separate"/>
      </w:r>
      <w:r>
        <w:rPr>
          <w:rStyle w:val="19"/>
          <w:rFonts w:asciiTheme="minorEastAsia" w:hAnsiTheme="minorEastAsia"/>
          <w:color w:val="auto"/>
        </w:rPr>
        <w:t>2.1.5</w:t>
      </w:r>
      <w:r>
        <w:rPr>
          <w:rStyle w:val="19"/>
          <w:rFonts w:hint="eastAsia" w:asciiTheme="minorEastAsia" w:hAnsiTheme="minorEastAsia"/>
          <w:color w:val="auto"/>
        </w:rPr>
        <w:t>毕业率</w:t>
      </w:r>
      <w:r>
        <w:rPr>
          <w:color w:val="auto"/>
        </w:rPr>
        <w:tab/>
      </w:r>
      <w:r>
        <w:rPr>
          <w:color w:val="auto"/>
        </w:rPr>
        <w:fldChar w:fldCharType="begin"/>
      </w:r>
      <w:r>
        <w:rPr>
          <w:color w:val="auto"/>
        </w:rPr>
        <w:instrText xml:space="preserve"> PAGEREF _Toc28958331 \h </w:instrText>
      </w:r>
      <w:r>
        <w:rPr>
          <w:color w:val="auto"/>
        </w:rPr>
        <w:fldChar w:fldCharType="separate"/>
      </w:r>
      <w:r>
        <w:rPr>
          <w:color w:val="auto"/>
        </w:rPr>
        <w:t>4</w:t>
      </w:r>
      <w:r>
        <w:rPr>
          <w:color w:val="auto"/>
        </w:rPr>
        <w:fldChar w:fldCharType="end"/>
      </w:r>
      <w:r>
        <w:rPr>
          <w:color w:val="auto"/>
        </w:rPr>
        <w:fldChar w:fldCharType="end"/>
      </w:r>
    </w:p>
    <w:p>
      <w:pPr>
        <w:pStyle w:val="9"/>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HYPERLINK \l "_Toc28958332" </w:instrText>
      </w:r>
      <w:r>
        <w:rPr>
          <w:color w:val="auto"/>
        </w:rPr>
        <w:fldChar w:fldCharType="separate"/>
      </w:r>
      <w:r>
        <w:rPr>
          <w:rStyle w:val="19"/>
          <w:color w:val="auto"/>
        </w:rPr>
        <w:t>2.2</w:t>
      </w:r>
      <w:r>
        <w:rPr>
          <w:rStyle w:val="19"/>
          <w:rFonts w:hint="eastAsia"/>
          <w:color w:val="auto"/>
        </w:rPr>
        <w:t>在校体验。</w:t>
      </w:r>
      <w:r>
        <w:rPr>
          <w:color w:val="auto"/>
        </w:rPr>
        <w:tab/>
      </w:r>
      <w:r>
        <w:rPr>
          <w:color w:val="auto"/>
        </w:rPr>
        <w:fldChar w:fldCharType="begin"/>
      </w:r>
      <w:r>
        <w:rPr>
          <w:color w:val="auto"/>
        </w:rPr>
        <w:instrText xml:space="preserve"> PAGEREF _Toc28958332 \h </w:instrText>
      </w:r>
      <w:r>
        <w:rPr>
          <w:color w:val="auto"/>
        </w:rPr>
        <w:fldChar w:fldCharType="separate"/>
      </w:r>
      <w:r>
        <w:rPr>
          <w:color w:val="auto"/>
        </w:rPr>
        <w:t>4</w:t>
      </w:r>
      <w:r>
        <w:rPr>
          <w:color w:val="auto"/>
        </w:rPr>
        <w:fldChar w:fldCharType="end"/>
      </w:r>
      <w:r>
        <w:rPr>
          <w:color w:val="auto"/>
        </w:rPr>
        <w:fldChar w:fldCharType="end"/>
      </w:r>
    </w:p>
    <w:p>
      <w:pPr>
        <w:pStyle w:val="10"/>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HYPERLINK \l "_Toc28958333" </w:instrText>
      </w:r>
      <w:r>
        <w:rPr>
          <w:color w:val="auto"/>
        </w:rPr>
        <w:fldChar w:fldCharType="separate"/>
      </w:r>
      <w:r>
        <w:rPr>
          <w:rStyle w:val="19"/>
          <w:rFonts w:asciiTheme="minorEastAsia" w:hAnsiTheme="minorEastAsia"/>
          <w:color w:val="auto"/>
        </w:rPr>
        <w:t>2.2.1</w:t>
      </w:r>
      <w:r>
        <w:rPr>
          <w:rStyle w:val="19"/>
          <w:rFonts w:hint="eastAsia" w:asciiTheme="minorEastAsia" w:hAnsiTheme="minorEastAsia"/>
          <w:color w:val="auto"/>
        </w:rPr>
        <w:t>在校生满意度</w:t>
      </w:r>
      <w:r>
        <w:rPr>
          <w:color w:val="auto"/>
        </w:rPr>
        <w:tab/>
      </w:r>
      <w:r>
        <w:rPr>
          <w:color w:val="auto"/>
        </w:rPr>
        <w:fldChar w:fldCharType="begin"/>
      </w:r>
      <w:r>
        <w:rPr>
          <w:color w:val="auto"/>
        </w:rPr>
        <w:instrText xml:space="preserve"> PAGEREF _Toc28958333 \h </w:instrText>
      </w:r>
      <w:r>
        <w:rPr>
          <w:color w:val="auto"/>
        </w:rPr>
        <w:fldChar w:fldCharType="separate"/>
      </w:r>
      <w:r>
        <w:rPr>
          <w:color w:val="auto"/>
        </w:rPr>
        <w:t>4</w:t>
      </w:r>
      <w:r>
        <w:rPr>
          <w:color w:val="auto"/>
        </w:rPr>
        <w:fldChar w:fldCharType="end"/>
      </w:r>
      <w:r>
        <w:rPr>
          <w:color w:val="auto"/>
        </w:rPr>
        <w:fldChar w:fldCharType="end"/>
      </w:r>
    </w:p>
    <w:p>
      <w:pPr>
        <w:pStyle w:val="9"/>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HYPERLINK \l "_Toc28958334" </w:instrText>
      </w:r>
      <w:r>
        <w:rPr>
          <w:color w:val="auto"/>
        </w:rPr>
        <w:fldChar w:fldCharType="separate"/>
      </w:r>
      <w:r>
        <w:rPr>
          <w:rStyle w:val="19"/>
          <w:color w:val="auto"/>
        </w:rPr>
        <w:t>2.3</w:t>
      </w:r>
      <w:r>
        <w:rPr>
          <w:rStyle w:val="19"/>
          <w:rFonts w:hint="eastAsia"/>
          <w:color w:val="auto"/>
        </w:rPr>
        <w:t>资助情况</w:t>
      </w:r>
      <w:r>
        <w:rPr>
          <w:color w:val="auto"/>
        </w:rPr>
        <w:tab/>
      </w:r>
      <w:r>
        <w:rPr>
          <w:color w:val="auto"/>
        </w:rPr>
        <w:fldChar w:fldCharType="begin"/>
      </w:r>
      <w:r>
        <w:rPr>
          <w:color w:val="auto"/>
        </w:rPr>
        <w:instrText xml:space="preserve"> PAGEREF _Toc28958334 \h </w:instrText>
      </w:r>
      <w:r>
        <w:rPr>
          <w:color w:val="auto"/>
        </w:rPr>
        <w:fldChar w:fldCharType="separate"/>
      </w:r>
      <w:r>
        <w:rPr>
          <w:color w:val="auto"/>
        </w:rPr>
        <w:t>5</w:t>
      </w:r>
      <w:r>
        <w:rPr>
          <w:color w:val="auto"/>
        </w:rPr>
        <w:fldChar w:fldCharType="end"/>
      </w:r>
      <w:r>
        <w:rPr>
          <w:color w:val="auto"/>
        </w:rPr>
        <w:fldChar w:fldCharType="end"/>
      </w:r>
    </w:p>
    <w:p>
      <w:pPr>
        <w:pStyle w:val="9"/>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HYPERLINK \l "_Toc28958335" </w:instrText>
      </w:r>
      <w:r>
        <w:rPr>
          <w:color w:val="auto"/>
        </w:rPr>
        <w:fldChar w:fldCharType="separate"/>
      </w:r>
      <w:r>
        <w:rPr>
          <w:rStyle w:val="19"/>
          <w:color w:val="auto"/>
        </w:rPr>
        <w:t>2.4</w:t>
      </w:r>
      <w:r>
        <w:rPr>
          <w:rStyle w:val="19"/>
          <w:rFonts w:hint="eastAsia"/>
          <w:color w:val="auto"/>
        </w:rPr>
        <w:t>就业质量</w:t>
      </w:r>
      <w:r>
        <w:rPr>
          <w:color w:val="auto"/>
        </w:rPr>
        <w:tab/>
      </w:r>
      <w:r>
        <w:rPr>
          <w:color w:val="auto"/>
        </w:rPr>
        <w:fldChar w:fldCharType="begin"/>
      </w:r>
      <w:r>
        <w:rPr>
          <w:color w:val="auto"/>
        </w:rPr>
        <w:instrText xml:space="preserve"> PAGEREF _Toc28958335 \h </w:instrText>
      </w:r>
      <w:r>
        <w:rPr>
          <w:color w:val="auto"/>
        </w:rPr>
        <w:fldChar w:fldCharType="separate"/>
      </w:r>
      <w:r>
        <w:rPr>
          <w:color w:val="auto"/>
        </w:rPr>
        <w:t>5</w:t>
      </w:r>
      <w:r>
        <w:rPr>
          <w:color w:val="auto"/>
        </w:rPr>
        <w:fldChar w:fldCharType="end"/>
      </w:r>
      <w:r>
        <w:rPr>
          <w:color w:val="auto"/>
        </w:rPr>
        <w:fldChar w:fldCharType="end"/>
      </w:r>
    </w:p>
    <w:p>
      <w:pPr>
        <w:pStyle w:val="9"/>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HYPERLINK \l "_Toc28958336" </w:instrText>
      </w:r>
      <w:r>
        <w:rPr>
          <w:color w:val="auto"/>
        </w:rPr>
        <w:fldChar w:fldCharType="separate"/>
      </w:r>
      <w:r>
        <w:rPr>
          <w:rStyle w:val="19"/>
          <w:color w:val="auto"/>
        </w:rPr>
        <w:t>3.</w:t>
      </w:r>
      <w:r>
        <w:rPr>
          <w:rStyle w:val="19"/>
          <w:rFonts w:hint="eastAsia"/>
          <w:color w:val="auto"/>
        </w:rPr>
        <w:t>质量保障措施</w:t>
      </w:r>
      <w:r>
        <w:rPr>
          <w:color w:val="auto"/>
        </w:rPr>
        <w:tab/>
      </w:r>
      <w:r>
        <w:rPr>
          <w:color w:val="auto"/>
        </w:rPr>
        <w:fldChar w:fldCharType="begin"/>
      </w:r>
      <w:r>
        <w:rPr>
          <w:color w:val="auto"/>
        </w:rPr>
        <w:instrText xml:space="preserve"> PAGEREF _Toc28958336 \h </w:instrText>
      </w:r>
      <w:r>
        <w:rPr>
          <w:color w:val="auto"/>
        </w:rPr>
        <w:fldChar w:fldCharType="separate"/>
      </w:r>
      <w:r>
        <w:rPr>
          <w:color w:val="auto"/>
        </w:rPr>
        <w:t>6</w:t>
      </w:r>
      <w:r>
        <w:rPr>
          <w:color w:val="auto"/>
        </w:rPr>
        <w:fldChar w:fldCharType="end"/>
      </w:r>
      <w:r>
        <w:rPr>
          <w:color w:val="auto"/>
        </w:rPr>
        <w:fldChar w:fldCharType="end"/>
      </w:r>
    </w:p>
    <w:p>
      <w:pPr>
        <w:pStyle w:val="9"/>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HYPERLINK \l "_Toc28958337" </w:instrText>
      </w:r>
      <w:r>
        <w:rPr>
          <w:color w:val="auto"/>
        </w:rPr>
        <w:fldChar w:fldCharType="separate"/>
      </w:r>
      <w:r>
        <w:rPr>
          <w:rStyle w:val="19"/>
          <w:color w:val="auto"/>
        </w:rPr>
        <w:t>3.1</w:t>
      </w:r>
      <w:r>
        <w:rPr>
          <w:rStyle w:val="19"/>
          <w:rFonts w:hint="eastAsia"/>
          <w:color w:val="auto"/>
        </w:rPr>
        <w:t>专业动态调整</w:t>
      </w:r>
      <w:r>
        <w:rPr>
          <w:color w:val="auto"/>
        </w:rPr>
        <w:tab/>
      </w:r>
      <w:r>
        <w:rPr>
          <w:color w:val="auto"/>
        </w:rPr>
        <w:fldChar w:fldCharType="begin"/>
      </w:r>
      <w:r>
        <w:rPr>
          <w:color w:val="auto"/>
        </w:rPr>
        <w:instrText xml:space="preserve"> PAGEREF _Toc28958337 \h </w:instrText>
      </w:r>
      <w:r>
        <w:rPr>
          <w:color w:val="auto"/>
        </w:rPr>
        <w:fldChar w:fldCharType="separate"/>
      </w:r>
      <w:r>
        <w:rPr>
          <w:color w:val="auto"/>
        </w:rPr>
        <w:t>6</w:t>
      </w:r>
      <w:r>
        <w:rPr>
          <w:color w:val="auto"/>
        </w:rPr>
        <w:fldChar w:fldCharType="end"/>
      </w:r>
      <w:r>
        <w:rPr>
          <w:color w:val="auto"/>
        </w:rPr>
        <w:fldChar w:fldCharType="end"/>
      </w:r>
    </w:p>
    <w:p>
      <w:pPr>
        <w:pStyle w:val="10"/>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HYPERLINK \l "_Toc28958338" </w:instrText>
      </w:r>
      <w:r>
        <w:rPr>
          <w:color w:val="auto"/>
        </w:rPr>
        <w:fldChar w:fldCharType="separate"/>
      </w:r>
      <w:r>
        <w:rPr>
          <w:rStyle w:val="19"/>
          <w:rFonts w:asciiTheme="minorEastAsia" w:hAnsiTheme="minorEastAsia"/>
          <w:color w:val="auto"/>
        </w:rPr>
        <w:t>3.1.1</w:t>
      </w:r>
      <w:r>
        <w:rPr>
          <w:rStyle w:val="19"/>
          <w:rFonts w:hint="eastAsia" w:asciiTheme="minorEastAsia" w:hAnsiTheme="minorEastAsia"/>
          <w:color w:val="auto"/>
        </w:rPr>
        <w:t>优化专业结构调整</w:t>
      </w:r>
      <w:r>
        <w:rPr>
          <w:color w:val="auto"/>
        </w:rPr>
        <w:tab/>
      </w:r>
      <w:r>
        <w:rPr>
          <w:color w:val="auto"/>
        </w:rPr>
        <w:fldChar w:fldCharType="begin"/>
      </w:r>
      <w:r>
        <w:rPr>
          <w:color w:val="auto"/>
        </w:rPr>
        <w:instrText xml:space="preserve"> PAGEREF _Toc28958338 \h </w:instrText>
      </w:r>
      <w:r>
        <w:rPr>
          <w:color w:val="auto"/>
        </w:rPr>
        <w:fldChar w:fldCharType="separate"/>
      </w:r>
      <w:r>
        <w:rPr>
          <w:color w:val="auto"/>
        </w:rPr>
        <w:t>6</w:t>
      </w:r>
      <w:r>
        <w:rPr>
          <w:color w:val="auto"/>
        </w:rPr>
        <w:fldChar w:fldCharType="end"/>
      </w:r>
      <w:r>
        <w:rPr>
          <w:color w:val="auto"/>
        </w:rPr>
        <w:fldChar w:fldCharType="end"/>
      </w:r>
    </w:p>
    <w:p>
      <w:pPr>
        <w:pStyle w:val="10"/>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HYPERLINK \l "_Toc28958339" </w:instrText>
      </w:r>
      <w:r>
        <w:rPr>
          <w:color w:val="auto"/>
        </w:rPr>
        <w:fldChar w:fldCharType="separate"/>
      </w:r>
      <w:r>
        <w:rPr>
          <w:rStyle w:val="19"/>
          <w:rFonts w:asciiTheme="minorEastAsia" w:hAnsiTheme="minorEastAsia"/>
          <w:color w:val="auto"/>
        </w:rPr>
        <w:t xml:space="preserve">3.1.2 </w:t>
      </w:r>
      <w:r>
        <w:rPr>
          <w:rStyle w:val="19"/>
          <w:rFonts w:hint="eastAsia" w:asciiTheme="minorEastAsia" w:hAnsiTheme="minorEastAsia"/>
          <w:color w:val="auto"/>
        </w:rPr>
        <w:t>人才培养方案调整</w:t>
      </w:r>
      <w:r>
        <w:rPr>
          <w:color w:val="auto"/>
        </w:rPr>
        <w:tab/>
      </w:r>
      <w:r>
        <w:rPr>
          <w:color w:val="auto"/>
        </w:rPr>
        <w:fldChar w:fldCharType="begin"/>
      </w:r>
      <w:r>
        <w:rPr>
          <w:color w:val="auto"/>
        </w:rPr>
        <w:instrText xml:space="preserve"> PAGEREF _Toc28958339 \h </w:instrText>
      </w:r>
      <w:r>
        <w:rPr>
          <w:color w:val="auto"/>
        </w:rPr>
        <w:fldChar w:fldCharType="separate"/>
      </w:r>
      <w:r>
        <w:rPr>
          <w:color w:val="auto"/>
        </w:rPr>
        <w:t>6</w:t>
      </w:r>
      <w:r>
        <w:rPr>
          <w:color w:val="auto"/>
        </w:rPr>
        <w:fldChar w:fldCharType="end"/>
      </w:r>
      <w:r>
        <w:rPr>
          <w:color w:val="auto"/>
        </w:rPr>
        <w:fldChar w:fldCharType="end"/>
      </w:r>
    </w:p>
    <w:p>
      <w:pPr>
        <w:pStyle w:val="9"/>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HYPERLINK \l "_Toc28958340" </w:instrText>
      </w:r>
      <w:r>
        <w:rPr>
          <w:color w:val="auto"/>
        </w:rPr>
        <w:fldChar w:fldCharType="separate"/>
      </w:r>
      <w:r>
        <w:rPr>
          <w:rStyle w:val="19"/>
          <w:color w:val="auto"/>
        </w:rPr>
        <w:t>3.2</w:t>
      </w:r>
      <w:r>
        <w:rPr>
          <w:rStyle w:val="19"/>
          <w:rFonts w:hint="eastAsia"/>
          <w:color w:val="auto"/>
        </w:rPr>
        <w:t>教育教学改革</w:t>
      </w:r>
      <w:r>
        <w:rPr>
          <w:color w:val="auto"/>
        </w:rPr>
        <w:tab/>
      </w:r>
      <w:r>
        <w:rPr>
          <w:color w:val="auto"/>
        </w:rPr>
        <w:fldChar w:fldCharType="begin"/>
      </w:r>
      <w:r>
        <w:rPr>
          <w:color w:val="auto"/>
        </w:rPr>
        <w:instrText xml:space="preserve"> PAGEREF _Toc28958340 \h </w:instrText>
      </w:r>
      <w:r>
        <w:rPr>
          <w:color w:val="auto"/>
        </w:rPr>
        <w:fldChar w:fldCharType="separate"/>
      </w:r>
      <w:r>
        <w:rPr>
          <w:color w:val="auto"/>
        </w:rPr>
        <w:t>6</w:t>
      </w:r>
      <w:r>
        <w:rPr>
          <w:color w:val="auto"/>
        </w:rPr>
        <w:fldChar w:fldCharType="end"/>
      </w:r>
      <w:r>
        <w:rPr>
          <w:color w:val="auto"/>
        </w:rPr>
        <w:fldChar w:fldCharType="end"/>
      </w:r>
    </w:p>
    <w:p>
      <w:pPr>
        <w:pStyle w:val="10"/>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HYPERLINK \l "_Toc28958341" </w:instrText>
      </w:r>
      <w:r>
        <w:rPr>
          <w:color w:val="auto"/>
        </w:rPr>
        <w:fldChar w:fldCharType="separate"/>
      </w:r>
      <w:r>
        <w:rPr>
          <w:rStyle w:val="19"/>
          <w:rFonts w:asciiTheme="minorEastAsia" w:hAnsiTheme="minorEastAsia"/>
          <w:color w:val="auto"/>
        </w:rPr>
        <w:t>3.2.1</w:t>
      </w:r>
      <w:r>
        <w:rPr>
          <w:rStyle w:val="19"/>
          <w:rFonts w:hint="eastAsia" w:asciiTheme="minorEastAsia" w:hAnsiTheme="minorEastAsia"/>
          <w:color w:val="auto"/>
        </w:rPr>
        <w:t>公共基础课</w:t>
      </w:r>
      <w:r>
        <w:rPr>
          <w:color w:val="auto"/>
        </w:rPr>
        <w:tab/>
      </w:r>
      <w:r>
        <w:rPr>
          <w:color w:val="auto"/>
        </w:rPr>
        <w:fldChar w:fldCharType="begin"/>
      </w:r>
      <w:r>
        <w:rPr>
          <w:color w:val="auto"/>
        </w:rPr>
        <w:instrText xml:space="preserve"> PAGEREF _Toc28958341 \h </w:instrText>
      </w:r>
      <w:r>
        <w:rPr>
          <w:color w:val="auto"/>
        </w:rPr>
        <w:fldChar w:fldCharType="separate"/>
      </w:r>
      <w:r>
        <w:rPr>
          <w:color w:val="auto"/>
        </w:rPr>
        <w:t>6</w:t>
      </w:r>
      <w:r>
        <w:rPr>
          <w:color w:val="auto"/>
        </w:rPr>
        <w:fldChar w:fldCharType="end"/>
      </w:r>
      <w:r>
        <w:rPr>
          <w:color w:val="auto"/>
        </w:rPr>
        <w:fldChar w:fldCharType="end"/>
      </w:r>
    </w:p>
    <w:p>
      <w:pPr>
        <w:pStyle w:val="10"/>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HYPERLINK \l "_Toc28958342" </w:instrText>
      </w:r>
      <w:r>
        <w:rPr>
          <w:color w:val="auto"/>
        </w:rPr>
        <w:fldChar w:fldCharType="separate"/>
      </w:r>
      <w:r>
        <w:rPr>
          <w:rStyle w:val="19"/>
          <w:rFonts w:asciiTheme="minorEastAsia" w:hAnsiTheme="minorEastAsia"/>
          <w:color w:val="auto"/>
        </w:rPr>
        <w:t>3.2.2</w:t>
      </w:r>
      <w:r>
        <w:rPr>
          <w:rStyle w:val="19"/>
          <w:rFonts w:hint="eastAsia" w:asciiTheme="minorEastAsia" w:hAnsiTheme="minorEastAsia"/>
          <w:color w:val="auto"/>
        </w:rPr>
        <w:t>专业设置</w:t>
      </w:r>
      <w:r>
        <w:rPr>
          <w:color w:val="auto"/>
        </w:rPr>
        <w:tab/>
      </w:r>
      <w:r>
        <w:rPr>
          <w:color w:val="auto"/>
        </w:rPr>
        <w:fldChar w:fldCharType="begin"/>
      </w:r>
      <w:r>
        <w:rPr>
          <w:color w:val="auto"/>
        </w:rPr>
        <w:instrText xml:space="preserve"> PAGEREF _Toc28958342 \h </w:instrText>
      </w:r>
      <w:r>
        <w:rPr>
          <w:color w:val="auto"/>
        </w:rPr>
        <w:fldChar w:fldCharType="separate"/>
      </w:r>
      <w:r>
        <w:rPr>
          <w:color w:val="auto"/>
        </w:rPr>
        <w:t>7</w:t>
      </w:r>
      <w:r>
        <w:rPr>
          <w:color w:val="auto"/>
        </w:rPr>
        <w:fldChar w:fldCharType="end"/>
      </w:r>
      <w:r>
        <w:rPr>
          <w:color w:val="auto"/>
        </w:rPr>
        <w:fldChar w:fldCharType="end"/>
      </w:r>
    </w:p>
    <w:p>
      <w:pPr>
        <w:pStyle w:val="10"/>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HYPERLINK \l "_Toc28958343" </w:instrText>
      </w:r>
      <w:r>
        <w:rPr>
          <w:color w:val="auto"/>
        </w:rPr>
        <w:fldChar w:fldCharType="separate"/>
      </w:r>
      <w:r>
        <w:rPr>
          <w:rStyle w:val="19"/>
          <w:rFonts w:asciiTheme="minorEastAsia" w:hAnsiTheme="minorEastAsia"/>
          <w:color w:val="auto"/>
        </w:rPr>
        <w:t>3.2.3</w:t>
      </w:r>
      <w:r>
        <w:rPr>
          <w:rStyle w:val="19"/>
          <w:rFonts w:hint="eastAsia" w:asciiTheme="minorEastAsia" w:hAnsiTheme="minorEastAsia"/>
          <w:color w:val="auto"/>
        </w:rPr>
        <w:t>课程建设</w:t>
      </w:r>
      <w:r>
        <w:rPr>
          <w:color w:val="auto"/>
        </w:rPr>
        <w:tab/>
      </w:r>
      <w:r>
        <w:rPr>
          <w:color w:val="auto"/>
        </w:rPr>
        <w:fldChar w:fldCharType="begin"/>
      </w:r>
      <w:r>
        <w:rPr>
          <w:color w:val="auto"/>
        </w:rPr>
        <w:instrText xml:space="preserve"> PAGEREF _Toc28958343 \h </w:instrText>
      </w:r>
      <w:r>
        <w:rPr>
          <w:color w:val="auto"/>
        </w:rPr>
        <w:fldChar w:fldCharType="separate"/>
      </w:r>
      <w:r>
        <w:rPr>
          <w:color w:val="auto"/>
        </w:rPr>
        <w:t>7</w:t>
      </w:r>
      <w:r>
        <w:rPr>
          <w:color w:val="auto"/>
        </w:rPr>
        <w:fldChar w:fldCharType="end"/>
      </w:r>
      <w:r>
        <w:rPr>
          <w:color w:val="auto"/>
        </w:rPr>
        <w:fldChar w:fldCharType="end"/>
      </w:r>
    </w:p>
    <w:p>
      <w:pPr>
        <w:pStyle w:val="10"/>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HYPERLINK \l "_Toc28958344" </w:instrText>
      </w:r>
      <w:r>
        <w:rPr>
          <w:color w:val="auto"/>
        </w:rPr>
        <w:fldChar w:fldCharType="separate"/>
      </w:r>
      <w:r>
        <w:rPr>
          <w:rStyle w:val="19"/>
          <w:rFonts w:asciiTheme="minorEastAsia" w:hAnsiTheme="minorEastAsia"/>
          <w:color w:val="auto"/>
        </w:rPr>
        <w:t>3.2.4</w:t>
      </w:r>
      <w:r>
        <w:rPr>
          <w:rStyle w:val="19"/>
          <w:rFonts w:hint="eastAsia" w:asciiTheme="minorEastAsia" w:hAnsiTheme="minorEastAsia"/>
          <w:color w:val="auto"/>
        </w:rPr>
        <w:t>人才培养模式改革</w:t>
      </w:r>
      <w:r>
        <w:rPr>
          <w:color w:val="auto"/>
        </w:rPr>
        <w:tab/>
      </w:r>
      <w:r>
        <w:rPr>
          <w:color w:val="auto"/>
        </w:rPr>
        <w:fldChar w:fldCharType="begin"/>
      </w:r>
      <w:r>
        <w:rPr>
          <w:color w:val="auto"/>
        </w:rPr>
        <w:instrText xml:space="preserve"> PAGEREF _Toc28958344 \h </w:instrText>
      </w:r>
      <w:r>
        <w:rPr>
          <w:color w:val="auto"/>
        </w:rPr>
        <w:fldChar w:fldCharType="separate"/>
      </w:r>
      <w:r>
        <w:rPr>
          <w:color w:val="auto"/>
        </w:rPr>
        <w:t>7</w:t>
      </w:r>
      <w:r>
        <w:rPr>
          <w:color w:val="auto"/>
        </w:rPr>
        <w:fldChar w:fldCharType="end"/>
      </w:r>
      <w:r>
        <w:rPr>
          <w:color w:val="auto"/>
        </w:rPr>
        <w:fldChar w:fldCharType="end"/>
      </w:r>
    </w:p>
    <w:p>
      <w:pPr>
        <w:pStyle w:val="10"/>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HYPERLINK \l "_Toc28958345" </w:instrText>
      </w:r>
      <w:r>
        <w:rPr>
          <w:color w:val="auto"/>
        </w:rPr>
        <w:fldChar w:fldCharType="separate"/>
      </w:r>
      <w:r>
        <w:rPr>
          <w:rStyle w:val="19"/>
          <w:rFonts w:asciiTheme="minorEastAsia" w:hAnsiTheme="minorEastAsia"/>
          <w:color w:val="auto"/>
        </w:rPr>
        <w:t>3.2.5</w:t>
      </w:r>
      <w:r>
        <w:rPr>
          <w:rStyle w:val="19"/>
          <w:rFonts w:hint="eastAsia" w:asciiTheme="minorEastAsia" w:hAnsiTheme="minorEastAsia"/>
          <w:color w:val="auto"/>
        </w:rPr>
        <w:t>实训基地</w:t>
      </w:r>
      <w:r>
        <w:rPr>
          <w:color w:val="auto"/>
        </w:rPr>
        <w:tab/>
      </w:r>
      <w:r>
        <w:rPr>
          <w:color w:val="auto"/>
        </w:rPr>
        <w:fldChar w:fldCharType="begin"/>
      </w:r>
      <w:r>
        <w:rPr>
          <w:color w:val="auto"/>
        </w:rPr>
        <w:instrText xml:space="preserve"> PAGEREF _Toc28958345 \h </w:instrText>
      </w:r>
      <w:r>
        <w:rPr>
          <w:color w:val="auto"/>
        </w:rPr>
        <w:fldChar w:fldCharType="separate"/>
      </w:r>
      <w:r>
        <w:rPr>
          <w:color w:val="auto"/>
        </w:rPr>
        <w:t>7</w:t>
      </w:r>
      <w:r>
        <w:rPr>
          <w:color w:val="auto"/>
        </w:rPr>
        <w:fldChar w:fldCharType="end"/>
      </w:r>
      <w:r>
        <w:rPr>
          <w:color w:val="auto"/>
        </w:rPr>
        <w:fldChar w:fldCharType="end"/>
      </w:r>
    </w:p>
    <w:p>
      <w:pPr>
        <w:pStyle w:val="10"/>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HYPERLINK \l "_Toc28958346" </w:instrText>
      </w:r>
      <w:r>
        <w:rPr>
          <w:color w:val="auto"/>
        </w:rPr>
        <w:fldChar w:fldCharType="separate"/>
      </w:r>
      <w:r>
        <w:rPr>
          <w:rStyle w:val="19"/>
          <w:rFonts w:asciiTheme="minorEastAsia" w:hAnsiTheme="minorEastAsia"/>
          <w:color w:val="auto"/>
        </w:rPr>
        <w:t xml:space="preserve">3.2.6 </w:t>
      </w:r>
      <w:r>
        <w:rPr>
          <w:rStyle w:val="19"/>
          <w:rFonts w:hint="eastAsia" w:asciiTheme="minorEastAsia" w:hAnsiTheme="minorEastAsia"/>
          <w:color w:val="auto"/>
        </w:rPr>
        <w:t>教材选用</w:t>
      </w:r>
      <w:r>
        <w:rPr>
          <w:color w:val="auto"/>
        </w:rPr>
        <w:tab/>
      </w:r>
      <w:r>
        <w:rPr>
          <w:color w:val="auto"/>
        </w:rPr>
        <w:fldChar w:fldCharType="begin"/>
      </w:r>
      <w:r>
        <w:rPr>
          <w:color w:val="auto"/>
        </w:rPr>
        <w:instrText xml:space="preserve"> PAGEREF _Toc28958346 \h </w:instrText>
      </w:r>
      <w:r>
        <w:rPr>
          <w:color w:val="auto"/>
        </w:rPr>
        <w:fldChar w:fldCharType="separate"/>
      </w:r>
      <w:r>
        <w:rPr>
          <w:color w:val="auto"/>
        </w:rPr>
        <w:t>8</w:t>
      </w:r>
      <w:r>
        <w:rPr>
          <w:color w:val="auto"/>
        </w:rPr>
        <w:fldChar w:fldCharType="end"/>
      </w:r>
      <w:r>
        <w:rPr>
          <w:color w:val="auto"/>
        </w:rPr>
        <w:fldChar w:fldCharType="end"/>
      </w:r>
    </w:p>
    <w:p>
      <w:pPr>
        <w:pStyle w:val="9"/>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HYPERLINK \l "_Toc28958347" </w:instrText>
      </w:r>
      <w:r>
        <w:rPr>
          <w:color w:val="auto"/>
        </w:rPr>
        <w:fldChar w:fldCharType="separate"/>
      </w:r>
      <w:r>
        <w:rPr>
          <w:rStyle w:val="19"/>
          <w:color w:val="auto"/>
        </w:rPr>
        <w:t>3.3</w:t>
      </w:r>
      <w:r>
        <w:rPr>
          <w:rStyle w:val="19"/>
          <w:rFonts w:hint="eastAsia"/>
          <w:color w:val="auto"/>
        </w:rPr>
        <w:t>教师培养培训</w:t>
      </w:r>
      <w:r>
        <w:rPr>
          <w:color w:val="auto"/>
        </w:rPr>
        <w:tab/>
      </w:r>
      <w:r>
        <w:rPr>
          <w:color w:val="auto"/>
        </w:rPr>
        <w:fldChar w:fldCharType="begin"/>
      </w:r>
      <w:r>
        <w:rPr>
          <w:color w:val="auto"/>
        </w:rPr>
        <w:instrText xml:space="preserve"> PAGEREF _Toc28958347 \h </w:instrText>
      </w:r>
      <w:r>
        <w:rPr>
          <w:color w:val="auto"/>
        </w:rPr>
        <w:fldChar w:fldCharType="separate"/>
      </w:r>
      <w:r>
        <w:rPr>
          <w:color w:val="auto"/>
        </w:rPr>
        <w:t>8</w:t>
      </w:r>
      <w:r>
        <w:rPr>
          <w:color w:val="auto"/>
        </w:rPr>
        <w:fldChar w:fldCharType="end"/>
      </w:r>
      <w:r>
        <w:rPr>
          <w:color w:val="auto"/>
        </w:rPr>
        <w:fldChar w:fldCharType="end"/>
      </w:r>
    </w:p>
    <w:p>
      <w:pPr>
        <w:pStyle w:val="9"/>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HYPERLINK \l "_Toc28958348" </w:instrText>
      </w:r>
      <w:r>
        <w:rPr>
          <w:color w:val="auto"/>
        </w:rPr>
        <w:fldChar w:fldCharType="separate"/>
      </w:r>
      <w:r>
        <w:rPr>
          <w:rStyle w:val="19"/>
          <w:color w:val="auto"/>
        </w:rPr>
        <w:t>3.4</w:t>
      </w:r>
      <w:r>
        <w:rPr>
          <w:rStyle w:val="19"/>
          <w:rFonts w:hint="eastAsia"/>
          <w:color w:val="auto"/>
        </w:rPr>
        <w:t>规范管理情况</w:t>
      </w:r>
      <w:r>
        <w:rPr>
          <w:color w:val="auto"/>
        </w:rPr>
        <w:tab/>
      </w:r>
      <w:r>
        <w:rPr>
          <w:color w:val="auto"/>
        </w:rPr>
        <w:fldChar w:fldCharType="begin"/>
      </w:r>
      <w:r>
        <w:rPr>
          <w:color w:val="auto"/>
        </w:rPr>
        <w:instrText xml:space="preserve"> PAGEREF _Toc28958348 \h </w:instrText>
      </w:r>
      <w:r>
        <w:rPr>
          <w:color w:val="auto"/>
        </w:rPr>
        <w:fldChar w:fldCharType="separate"/>
      </w:r>
      <w:r>
        <w:rPr>
          <w:color w:val="auto"/>
        </w:rPr>
        <w:t>8</w:t>
      </w:r>
      <w:r>
        <w:rPr>
          <w:color w:val="auto"/>
        </w:rPr>
        <w:fldChar w:fldCharType="end"/>
      </w:r>
      <w:r>
        <w:rPr>
          <w:color w:val="auto"/>
        </w:rPr>
        <w:fldChar w:fldCharType="end"/>
      </w:r>
    </w:p>
    <w:p>
      <w:pPr>
        <w:pStyle w:val="10"/>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HYPERLINK \l "_Toc28958349" </w:instrText>
      </w:r>
      <w:r>
        <w:rPr>
          <w:color w:val="auto"/>
        </w:rPr>
        <w:fldChar w:fldCharType="separate"/>
      </w:r>
      <w:r>
        <w:rPr>
          <w:rStyle w:val="19"/>
          <w:rFonts w:asciiTheme="minorEastAsia" w:hAnsiTheme="minorEastAsia"/>
          <w:color w:val="auto"/>
        </w:rPr>
        <w:t xml:space="preserve">3.4.1 </w:t>
      </w:r>
      <w:r>
        <w:rPr>
          <w:rStyle w:val="19"/>
          <w:rFonts w:hint="eastAsia" w:asciiTheme="minorEastAsia" w:hAnsiTheme="minorEastAsia"/>
          <w:color w:val="auto"/>
        </w:rPr>
        <w:t>教学管理情况</w:t>
      </w:r>
      <w:r>
        <w:rPr>
          <w:color w:val="auto"/>
        </w:rPr>
        <w:tab/>
      </w:r>
      <w:r>
        <w:rPr>
          <w:color w:val="auto"/>
        </w:rPr>
        <w:fldChar w:fldCharType="begin"/>
      </w:r>
      <w:r>
        <w:rPr>
          <w:color w:val="auto"/>
        </w:rPr>
        <w:instrText xml:space="preserve"> PAGEREF _Toc28958349 \h </w:instrText>
      </w:r>
      <w:r>
        <w:rPr>
          <w:color w:val="auto"/>
        </w:rPr>
        <w:fldChar w:fldCharType="separate"/>
      </w:r>
      <w:r>
        <w:rPr>
          <w:color w:val="auto"/>
        </w:rPr>
        <w:t>8</w:t>
      </w:r>
      <w:r>
        <w:rPr>
          <w:color w:val="auto"/>
        </w:rPr>
        <w:fldChar w:fldCharType="end"/>
      </w:r>
      <w:r>
        <w:rPr>
          <w:color w:val="auto"/>
        </w:rPr>
        <w:fldChar w:fldCharType="end"/>
      </w:r>
    </w:p>
    <w:p>
      <w:pPr>
        <w:pStyle w:val="10"/>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HYPERLINK \l "_Toc28958350" </w:instrText>
      </w:r>
      <w:r>
        <w:rPr>
          <w:color w:val="auto"/>
        </w:rPr>
        <w:fldChar w:fldCharType="separate"/>
      </w:r>
      <w:r>
        <w:rPr>
          <w:rStyle w:val="19"/>
          <w:rFonts w:asciiTheme="minorEastAsia" w:hAnsiTheme="minorEastAsia"/>
          <w:color w:val="auto"/>
        </w:rPr>
        <w:t>3.4.2</w:t>
      </w:r>
      <w:r>
        <w:rPr>
          <w:rStyle w:val="19"/>
          <w:rFonts w:hint="eastAsia" w:asciiTheme="minorEastAsia" w:hAnsiTheme="minorEastAsia"/>
          <w:color w:val="auto"/>
        </w:rPr>
        <w:t>学生管理</w:t>
      </w:r>
      <w:r>
        <w:rPr>
          <w:color w:val="auto"/>
        </w:rPr>
        <w:tab/>
      </w:r>
      <w:r>
        <w:rPr>
          <w:color w:val="auto"/>
        </w:rPr>
        <w:fldChar w:fldCharType="begin"/>
      </w:r>
      <w:r>
        <w:rPr>
          <w:color w:val="auto"/>
        </w:rPr>
        <w:instrText xml:space="preserve"> PAGEREF _Toc28958350 \h </w:instrText>
      </w:r>
      <w:r>
        <w:rPr>
          <w:color w:val="auto"/>
        </w:rPr>
        <w:fldChar w:fldCharType="separate"/>
      </w:r>
      <w:r>
        <w:rPr>
          <w:color w:val="auto"/>
        </w:rPr>
        <w:t>9</w:t>
      </w:r>
      <w:r>
        <w:rPr>
          <w:color w:val="auto"/>
        </w:rPr>
        <w:fldChar w:fldCharType="end"/>
      </w:r>
      <w:r>
        <w:rPr>
          <w:color w:val="auto"/>
        </w:rPr>
        <w:fldChar w:fldCharType="end"/>
      </w:r>
    </w:p>
    <w:p>
      <w:pPr>
        <w:pStyle w:val="10"/>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HYPERLINK \l "_Toc28958351" </w:instrText>
      </w:r>
      <w:r>
        <w:rPr>
          <w:color w:val="auto"/>
        </w:rPr>
        <w:fldChar w:fldCharType="separate"/>
      </w:r>
      <w:r>
        <w:rPr>
          <w:rStyle w:val="19"/>
          <w:rFonts w:asciiTheme="minorEastAsia" w:hAnsiTheme="minorEastAsia"/>
          <w:color w:val="auto"/>
        </w:rPr>
        <w:t>3.4.3</w:t>
      </w:r>
      <w:r>
        <w:rPr>
          <w:rStyle w:val="19"/>
          <w:rFonts w:hint="eastAsia" w:asciiTheme="minorEastAsia" w:hAnsiTheme="minorEastAsia"/>
          <w:color w:val="auto"/>
        </w:rPr>
        <w:t>后勤服务</w:t>
      </w:r>
      <w:r>
        <w:rPr>
          <w:color w:val="auto"/>
        </w:rPr>
        <w:tab/>
      </w:r>
      <w:r>
        <w:rPr>
          <w:color w:val="auto"/>
        </w:rPr>
        <w:fldChar w:fldCharType="begin"/>
      </w:r>
      <w:r>
        <w:rPr>
          <w:color w:val="auto"/>
        </w:rPr>
        <w:instrText xml:space="preserve"> PAGEREF _Toc28958351 \h </w:instrText>
      </w:r>
      <w:r>
        <w:rPr>
          <w:color w:val="auto"/>
        </w:rPr>
        <w:fldChar w:fldCharType="separate"/>
      </w:r>
      <w:r>
        <w:rPr>
          <w:color w:val="auto"/>
        </w:rPr>
        <w:t>9</w:t>
      </w:r>
      <w:r>
        <w:rPr>
          <w:color w:val="auto"/>
        </w:rPr>
        <w:fldChar w:fldCharType="end"/>
      </w:r>
      <w:r>
        <w:rPr>
          <w:color w:val="auto"/>
        </w:rPr>
        <w:fldChar w:fldCharType="end"/>
      </w:r>
    </w:p>
    <w:p>
      <w:pPr>
        <w:pStyle w:val="10"/>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HYPERLINK \l "_Toc28958352" </w:instrText>
      </w:r>
      <w:r>
        <w:rPr>
          <w:color w:val="auto"/>
        </w:rPr>
        <w:fldChar w:fldCharType="separate"/>
      </w:r>
      <w:r>
        <w:rPr>
          <w:rStyle w:val="19"/>
          <w:rFonts w:asciiTheme="minorEastAsia" w:hAnsiTheme="minorEastAsia"/>
          <w:color w:val="auto"/>
        </w:rPr>
        <w:t>3.4.4</w:t>
      </w:r>
      <w:r>
        <w:rPr>
          <w:rStyle w:val="19"/>
          <w:rFonts w:hint="eastAsia" w:asciiTheme="minorEastAsia" w:hAnsiTheme="minorEastAsia"/>
          <w:color w:val="auto"/>
        </w:rPr>
        <w:t>安全教育</w:t>
      </w:r>
      <w:r>
        <w:rPr>
          <w:color w:val="auto"/>
        </w:rPr>
        <w:tab/>
      </w:r>
      <w:r>
        <w:rPr>
          <w:color w:val="auto"/>
        </w:rPr>
        <w:fldChar w:fldCharType="begin"/>
      </w:r>
      <w:r>
        <w:rPr>
          <w:color w:val="auto"/>
        </w:rPr>
        <w:instrText xml:space="preserve"> PAGEREF _Toc28958352 \h </w:instrText>
      </w:r>
      <w:r>
        <w:rPr>
          <w:color w:val="auto"/>
        </w:rPr>
        <w:fldChar w:fldCharType="separate"/>
      </w:r>
      <w:r>
        <w:rPr>
          <w:color w:val="auto"/>
        </w:rPr>
        <w:t>10</w:t>
      </w:r>
      <w:r>
        <w:rPr>
          <w:color w:val="auto"/>
        </w:rPr>
        <w:fldChar w:fldCharType="end"/>
      </w:r>
      <w:r>
        <w:rPr>
          <w:color w:val="auto"/>
        </w:rPr>
        <w:fldChar w:fldCharType="end"/>
      </w:r>
    </w:p>
    <w:p>
      <w:pPr>
        <w:pStyle w:val="10"/>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HYPERLINK \l "_Toc28958353" </w:instrText>
      </w:r>
      <w:r>
        <w:rPr>
          <w:color w:val="auto"/>
        </w:rPr>
        <w:fldChar w:fldCharType="separate"/>
      </w:r>
      <w:r>
        <w:rPr>
          <w:rStyle w:val="19"/>
          <w:rFonts w:asciiTheme="minorEastAsia" w:hAnsiTheme="minorEastAsia"/>
          <w:color w:val="auto"/>
        </w:rPr>
        <w:t>3.4.5</w:t>
      </w:r>
      <w:r>
        <w:rPr>
          <w:rStyle w:val="19"/>
          <w:rFonts w:hint="eastAsia" w:asciiTheme="minorEastAsia" w:hAnsiTheme="minorEastAsia"/>
          <w:color w:val="auto"/>
        </w:rPr>
        <w:t>科研管理</w:t>
      </w:r>
      <w:r>
        <w:rPr>
          <w:color w:val="auto"/>
        </w:rPr>
        <w:tab/>
      </w:r>
      <w:r>
        <w:rPr>
          <w:color w:val="auto"/>
        </w:rPr>
        <w:fldChar w:fldCharType="begin"/>
      </w:r>
      <w:r>
        <w:rPr>
          <w:color w:val="auto"/>
        </w:rPr>
        <w:instrText xml:space="preserve"> PAGEREF _Toc28958353 \h </w:instrText>
      </w:r>
      <w:r>
        <w:rPr>
          <w:color w:val="auto"/>
        </w:rPr>
        <w:fldChar w:fldCharType="separate"/>
      </w:r>
      <w:r>
        <w:rPr>
          <w:color w:val="auto"/>
        </w:rPr>
        <w:t>10</w:t>
      </w:r>
      <w:r>
        <w:rPr>
          <w:color w:val="auto"/>
        </w:rPr>
        <w:fldChar w:fldCharType="end"/>
      </w:r>
      <w:r>
        <w:rPr>
          <w:color w:val="auto"/>
        </w:rPr>
        <w:fldChar w:fldCharType="end"/>
      </w:r>
    </w:p>
    <w:p>
      <w:pPr>
        <w:pStyle w:val="9"/>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HYPERLINK \l "_Toc28958354" </w:instrText>
      </w:r>
      <w:r>
        <w:rPr>
          <w:color w:val="auto"/>
        </w:rPr>
        <w:fldChar w:fldCharType="separate"/>
      </w:r>
      <w:r>
        <w:rPr>
          <w:rStyle w:val="19"/>
          <w:color w:val="auto"/>
        </w:rPr>
        <w:t>3.5</w:t>
      </w:r>
      <w:r>
        <w:rPr>
          <w:rStyle w:val="19"/>
          <w:rFonts w:hint="eastAsia"/>
          <w:color w:val="auto"/>
        </w:rPr>
        <w:t>德育工作情况</w:t>
      </w:r>
      <w:r>
        <w:rPr>
          <w:color w:val="auto"/>
        </w:rPr>
        <w:tab/>
      </w:r>
      <w:r>
        <w:rPr>
          <w:color w:val="auto"/>
        </w:rPr>
        <w:fldChar w:fldCharType="begin"/>
      </w:r>
      <w:r>
        <w:rPr>
          <w:color w:val="auto"/>
        </w:rPr>
        <w:instrText xml:space="preserve"> PAGEREF _Toc28958354 \h </w:instrText>
      </w:r>
      <w:r>
        <w:rPr>
          <w:color w:val="auto"/>
        </w:rPr>
        <w:fldChar w:fldCharType="separate"/>
      </w:r>
      <w:r>
        <w:rPr>
          <w:color w:val="auto"/>
        </w:rPr>
        <w:t>11</w:t>
      </w:r>
      <w:r>
        <w:rPr>
          <w:color w:val="auto"/>
        </w:rPr>
        <w:fldChar w:fldCharType="end"/>
      </w:r>
      <w:r>
        <w:rPr>
          <w:color w:val="auto"/>
        </w:rPr>
        <w:fldChar w:fldCharType="end"/>
      </w:r>
    </w:p>
    <w:p>
      <w:pPr>
        <w:pStyle w:val="10"/>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HYPERLINK \l "_Toc28958355" </w:instrText>
      </w:r>
      <w:r>
        <w:rPr>
          <w:color w:val="auto"/>
        </w:rPr>
        <w:fldChar w:fldCharType="separate"/>
      </w:r>
      <w:r>
        <w:rPr>
          <w:rStyle w:val="19"/>
          <w:rFonts w:ascii="宋体" w:hAnsi="宋体"/>
          <w:color w:val="auto"/>
        </w:rPr>
        <w:t>3.5.1</w:t>
      </w:r>
      <w:r>
        <w:rPr>
          <w:rStyle w:val="19"/>
          <w:rFonts w:hint="eastAsia" w:ascii="宋体" w:hAnsi="宋体"/>
          <w:color w:val="auto"/>
        </w:rPr>
        <w:t>明确职责，精心打造学校的德育队伍</w:t>
      </w:r>
      <w:r>
        <w:rPr>
          <w:color w:val="auto"/>
        </w:rPr>
        <w:tab/>
      </w:r>
      <w:r>
        <w:rPr>
          <w:color w:val="auto"/>
        </w:rPr>
        <w:fldChar w:fldCharType="begin"/>
      </w:r>
      <w:r>
        <w:rPr>
          <w:color w:val="auto"/>
        </w:rPr>
        <w:instrText xml:space="preserve"> PAGEREF _Toc28958355 \h </w:instrText>
      </w:r>
      <w:r>
        <w:rPr>
          <w:color w:val="auto"/>
        </w:rPr>
        <w:fldChar w:fldCharType="separate"/>
      </w:r>
      <w:r>
        <w:rPr>
          <w:color w:val="auto"/>
        </w:rPr>
        <w:t>11</w:t>
      </w:r>
      <w:r>
        <w:rPr>
          <w:color w:val="auto"/>
        </w:rPr>
        <w:fldChar w:fldCharType="end"/>
      </w:r>
      <w:r>
        <w:rPr>
          <w:color w:val="auto"/>
        </w:rPr>
        <w:fldChar w:fldCharType="end"/>
      </w:r>
    </w:p>
    <w:p>
      <w:pPr>
        <w:pStyle w:val="10"/>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HYPERLINK \l "_Toc28958356" </w:instrText>
      </w:r>
      <w:r>
        <w:rPr>
          <w:color w:val="auto"/>
        </w:rPr>
        <w:fldChar w:fldCharType="separate"/>
      </w:r>
      <w:r>
        <w:rPr>
          <w:rStyle w:val="19"/>
          <w:rFonts w:ascii="宋体" w:hAnsi="宋体"/>
          <w:color w:val="auto"/>
        </w:rPr>
        <w:t>3.5.2</w:t>
      </w:r>
      <w:r>
        <w:rPr>
          <w:rStyle w:val="19"/>
          <w:rFonts w:hint="eastAsia" w:ascii="宋体" w:hAnsi="宋体"/>
          <w:color w:val="auto"/>
        </w:rPr>
        <w:t>积极创设多样平台，扎实开展学校各项德育工作</w:t>
      </w:r>
      <w:r>
        <w:rPr>
          <w:color w:val="auto"/>
        </w:rPr>
        <w:tab/>
      </w:r>
      <w:r>
        <w:rPr>
          <w:color w:val="auto"/>
        </w:rPr>
        <w:fldChar w:fldCharType="begin"/>
      </w:r>
      <w:r>
        <w:rPr>
          <w:color w:val="auto"/>
        </w:rPr>
        <w:instrText xml:space="preserve"> PAGEREF _Toc28958356 \h </w:instrText>
      </w:r>
      <w:r>
        <w:rPr>
          <w:color w:val="auto"/>
        </w:rPr>
        <w:fldChar w:fldCharType="separate"/>
      </w:r>
      <w:r>
        <w:rPr>
          <w:color w:val="auto"/>
        </w:rPr>
        <w:t>11</w:t>
      </w:r>
      <w:r>
        <w:rPr>
          <w:color w:val="auto"/>
        </w:rPr>
        <w:fldChar w:fldCharType="end"/>
      </w:r>
      <w:r>
        <w:rPr>
          <w:color w:val="auto"/>
        </w:rPr>
        <w:fldChar w:fldCharType="end"/>
      </w:r>
    </w:p>
    <w:p>
      <w:pPr>
        <w:pStyle w:val="10"/>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HYPERLINK \l "_Toc28958357" </w:instrText>
      </w:r>
      <w:r>
        <w:rPr>
          <w:color w:val="auto"/>
        </w:rPr>
        <w:fldChar w:fldCharType="separate"/>
      </w:r>
      <w:r>
        <w:rPr>
          <w:rStyle w:val="19"/>
          <w:rFonts w:ascii="宋体" w:hAnsi="宋体"/>
          <w:color w:val="auto"/>
        </w:rPr>
        <w:t>3.5.3</w:t>
      </w:r>
      <w:r>
        <w:rPr>
          <w:rStyle w:val="19"/>
          <w:rFonts w:hint="eastAsia" w:ascii="宋体" w:hAnsi="宋体"/>
          <w:color w:val="auto"/>
        </w:rPr>
        <w:t>德育课和校园文化建设</w:t>
      </w:r>
      <w:r>
        <w:rPr>
          <w:color w:val="auto"/>
        </w:rPr>
        <w:tab/>
      </w:r>
      <w:r>
        <w:rPr>
          <w:color w:val="auto"/>
        </w:rPr>
        <w:fldChar w:fldCharType="begin"/>
      </w:r>
      <w:r>
        <w:rPr>
          <w:color w:val="auto"/>
        </w:rPr>
        <w:instrText xml:space="preserve"> PAGEREF _Toc28958357 \h </w:instrText>
      </w:r>
      <w:r>
        <w:rPr>
          <w:color w:val="auto"/>
        </w:rPr>
        <w:fldChar w:fldCharType="separate"/>
      </w:r>
      <w:r>
        <w:rPr>
          <w:color w:val="auto"/>
        </w:rPr>
        <w:t>11</w:t>
      </w:r>
      <w:r>
        <w:rPr>
          <w:color w:val="auto"/>
        </w:rPr>
        <w:fldChar w:fldCharType="end"/>
      </w:r>
      <w:r>
        <w:rPr>
          <w:color w:val="auto"/>
        </w:rPr>
        <w:fldChar w:fldCharType="end"/>
      </w:r>
    </w:p>
    <w:p>
      <w:pPr>
        <w:pStyle w:val="10"/>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HYPERLINK \l "_Toc28958358" </w:instrText>
      </w:r>
      <w:r>
        <w:rPr>
          <w:color w:val="auto"/>
        </w:rPr>
        <w:fldChar w:fldCharType="separate"/>
      </w:r>
      <w:r>
        <w:rPr>
          <w:rStyle w:val="19"/>
          <w:rFonts w:ascii="宋体" w:hAnsi="宋体"/>
          <w:color w:val="auto"/>
        </w:rPr>
        <w:t>3.5.4</w:t>
      </w:r>
      <w:r>
        <w:rPr>
          <w:rStyle w:val="19"/>
          <w:rFonts w:hint="eastAsia" w:ascii="宋体" w:hAnsi="宋体"/>
          <w:color w:val="auto"/>
        </w:rPr>
        <w:t>团队建设活动</w:t>
      </w:r>
      <w:r>
        <w:rPr>
          <w:color w:val="auto"/>
        </w:rPr>
        <w:tab/>
      </w:r>
      <w:r>
        <w:rPr>
          <w:color w:val="auto"/>
        </w:rPr>
        <w:fldChar w:fldCharType="begin"/>
      </w:r>
      <w:r>
        <w:rPr>
          <w:color w:val="auto"/>
        </w:rPr>
        <w:instrText xml:space="preserve"> PAGEREF _Toc28958358 \h </w:instrText>
      </w:r>
      <w:r>
        <w:rPr>
          <w:color w:val="auto"/>
        </w:rPr>
        <w:fldChar w:fldCharType="separate"/>
      </w:r>
      <w:r>
        <w:rPr>
          <w:color w:val="auto"/>
        </w:rPr>
        <w:t>12</w:t>
      </w:r>
      <w:r>
        <w:rPr>
          <w:color w:val="auto"/>
        </w:rPr>
        <w:fldChar w:fldCharType="end"/>
      </w:r>
      <w:r>
        <w:rPr>
          <w:color w:val="auto"/>
        </w:rPr>
        <w:fldChar w:fldCharType="end"/>
      </w:r>
    </w:p>
    <w:p>
      <w:pPr>
        <w:pStyle w:val="9"/>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HYPERLINK \l "_Toc28958359" </w:instrText>
      </w:r>
      <w:r>
        <w:rPr>
          <w:color w:val="auto"/>
        </w:rPr>
        <w:fldChar w:fldCharType="separate"/>
      </w:r>
      <w:r>
        <w:rPr>
          <w:rStyle w:val="19"/>
          <w:color w:val="auto"/>
        </w:rPr>
        <w:t>3.6</w:t>
      </w:r>
      <w:r>
        <w:rPr>
          <w:rStyle w:val="19"/>
          <w:rFonts w:hint="eastAsia"/>
          <w:color w:val="auto"/>
        </w:rPr>
        <w:t>党建情况</w:t>
      </w:r>
      <w:r>
        <w:rPr>
          <w:color w:val="auto"/>
        </w:rPr>
        <w:tab/>
      </w:r>
      <w:r>
        <w:rPr>
          <w:color w:val="auto"/>
        </w:rPr>
        <w:fldChar w:fldCharType="begin"/>
      </w:r>
      <w:r>
        <w:rPr>
          <w:color w:val="auto"/>
        </w:rPr>
        <w:instrText xml:space="preserve"> PAGEREF _Toc28958359 \h </w:instrText>
      </w:r>
      <w:r>
        <w:rPr>
          <w:color w:val="auto"/>
        </w:rPr>
        <w:fldChar w:fldCharType="separate"/>
      </w:r>
      <w:r>
        <w:rPr>
          <w:color w:val="auto"/>
        </w:rPr>
        <w:t>12</w:t>
      </w:r>
      <w:r>
        <w:rPr>
          <w:color w:val="auto"/>
        </w:rPr>
        <w:fldChar w:fldCharType="end"/>
      </w:r>
      <w:r>
        <w:rPr>
          <w:color w:val="auto"/>
        </w:rPr>
        <w:fldChar w:fldCharType="end"/>
      </w:r>
    </w:p>
    <w:p>
      <w:pPr>
        <w:pStyle w:val="10"/>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HYPERLINK \l "_Toc28958360" </w:instrText>
      </w:r>
      <w:r>
        <w:rPr>
          <w:color w:val="auto"/>
        </w:rPr>
        <w:fldChar w:fldCharType="separate"/>
      </w:r>
      <w:r>
        <w:rPr>
          <w:rStyle w:val="19"/>
          <w:rFonts w:asciiTheme="minorEastAsia" w:hAnsiTheme="minorEastAsia"/>
          <w:color w:val="auto"/>
        </w:rPr>
        <w:t>3.6.1</w:t>
      </w:r>
      <w:r>
        <w:rPr>
          <w:rStyle w:val="19"/>
          <w:rFonts w:hint="eastAsia" w:asciiTheme="minorEastAsia" w:hAnsiTheme="minorEastAsia"/>
          <w:color w:val="auto"/>
        </w:rPr>
        <w:t>主要工作</w:t>
      </w:r>
      <w:r>
        <w:rPr>
          <w:color w:val="auto"/>
        </w:rPr>
        <w:tab/>
      </w:r>
      <w:r>
        <w:rPr>
          <w:color w:val="auto"/>
        </w:rPr>
        <w:fldChar w:fldCharType="begin"/>
      </w:r>
      <w:r>
        <w:rPr>
          <w:color w:val="auto"/>
        </w:rPr>
        <w:instrText xml:space="preserve"> PAGEREF _Toc28958360 \h </w:instrText>
      </w:r>
      <w:r>
        <w:rPr>
          <w:color w:val="auto"/>
        </w:rPr>
        <w:fldChar w:fldCharType="separate"/>
      </w:r>
      <w:r>
        <w:rPr>
          <w:color w:val="auto"/>
        </w:rPr>
        <w:t>12</w:t>
      </w:r>
      <w:r>
        <w:rPr>
          <w:color w:val="auto"/>
        </w:rPr>
        <w:fldChar w:fldCharType="end"/>
      </w:r>
      <w:r>
        <w:rPr>
          <w:color w:val="auto"/>
        </w:rPr>
        <w:fldChar w:fldCharType="end"/>
      </w:r>
    </w:p>
    <w:p>
      <w:pPr>
        <w:pStyle w:val="10"/>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HYPERLINK \l "_Toc28958361" </w:instrText>
      </w:r>
      <w:r>
        <w:rPr>
          <w:color w:val="auto"/>
        </w:rPr>
        <w:fldChar w:fldCharType="separate"/>
      </w:r>
      <w:r>
        <w:rPr>
          <w:rStyle w:val="19"/>
          <w:rFonts w:asciiTheme="minorEastAsia" w:hAnsiTheme="minorEastAsia"/>
          <w:color w:val="auto"/>
        </w:rPr>
        <w:t>3.6.2</w:t>
      </w:r>
      <w:r>
        <w:rPr>
          <w:rStyle w:val="19"/>
          <w:rFonts w:hint="eastAsia" w:asciiTheme="minorEastAsia" w:hAnsiTheme="minorEastAsia"/>
          <w:color w:val="auto"/>
        </w:rPr>
        <w:t>重点工作</w:t>
      </w:r>
      <w:r>
        <w:rPr>
          <w:color w:val="auto"/>
        </w:rPr>
        <w:tab/>
      </w:r>
      <w:r>
        <w:rPr>
          <w:color w:val="auto"/>
        </w:rPr>
        <w:fldChar w:fldCharType="begin"/>
      </w:r>
      <w:r>
        <w:rPr>
          <w:color w:val="auto"/>
        </w:rPr>
        <w:instrText xml:space="preserve"> PAGEREF _Toc28958361 \h </w:instrText>
      </w:r>
      <w:r>
        <w:rPr>
          <w:color w:val="auto"/>
        </w:rPr>
        <w:fldChar w:fldCharType="separate"/>
      </w:r>
      <w:r>
        <w:rPr>
          <w:color w:val="auto"/>
        </w:rPr>
        <w:t>14</w:t>
      </w:r>
      <w:r>
        <w:rPr>
          <w:color w:val="auto"/>
        </w:rPr>
        <w:fldChar w:fldCharType="end"/>
      </w:r>
      <w:r>
        <w:rPr>
          <w:color w:val="auto"/>
        </w:rPr>
        <w:fldChar w:fldCharType="end"/>
      </w:r>
    </w:p>
    <w:p>
      <w:pPr>
        <w:pStyle w:val="10"/>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HYPERLINK \l "_Toc28958362" </w:instrText>
      </w:r>
      <w:r>
        <w:rPr>
          <w:color w:val="auto"/>
        </w:rPr>
        <w:fldChar w:fldCharType="separate"/>
      </w:r>
      <w:r>
        <w:rPr>
          <w:rStyle w:val="19"/>
          <w:rFonts w:asciiTheme="minorEastAsia" w:hAnsiTheme="minorEastAsia"/>
          <w:color w:val="auto"/>
        </w:rPr>
        <w:t>3.6.3</w:t>
      </w:r>
      <w:r>
        <w:rPr>
          <w:rStyle w:val="19"/>
          <w:rFonts w:hint="eastAsia" w:asciiTheme="minorEastAsia" w:hAnsiTheme="minorEastAsia"/>
          <w:color w:val="auto"/>
        </w:rPr>
        <w:t>亮点和特色工作</w:t>
      </w:r>
      <w:r>
        <w:rPr>
          <w:color w:val="auto"/>
        </w:rPr>
        <w:tab/>
      </w:r>
      <w:r>
        <w:rPr>
          <w:color w:val="auto"/>
        </w:rPr>
        <w:fldChar w:fldCharType="begin"/>
      </w:r>
      <w:r>
        <w:rPr>
          <w:color w:val="auto"/>
        </w:rPr>
        <w:instrText xml:space="preserve"> PAGEREF _Toc28958362 \h </w:instrText>
      </w:r>
      <w:r>
        <w:rPr>
          <w:color w:val="auto"/>
        </w:rPr>
        <w:fldChar w:fldCharType="separate"/>
      </w:r>
      <w:r>
        <w:rPr>
          <w:color w:val="auto"/>
        </w:rPr>
        <w:t>15</w:t>
      </w:r>
      <w:r>
        <w:rPr>
          <w:color w:val="auto"/>
        </w:rPr>
        <w:fldChar w:fldCharType="end"/>
      </w:r>
      <w:r>
        <w:rPr>
          <w:color w:val="auto"/>
        </w:rPr>
        <w:fldChar w:fldCharType="end"/>
      </w:r>
    </w:p>
    <w:p>
      <w:pPr>
        <w:pStyle w:val="9"/>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HYPERLINK \l "_Toc28958363" </w:instrText>
      </w:r>
      <w:r>
        <w:rPr>
          <w:color w:val="auto"/>
        </w:rPr>
        <w:fldChar w:fldCharType="separate"/>
      </w:r>
      <w:r>
        <w:rPr>
          <w:rStyle w:val="19"/>
          <w:color w:val="auto"/>
        </w:rPr>
        <w:t>4.</w:t>
      </w:r>
      <w:r>
        <w:rPr>
          <w:rStyle w:val="19"/>
          <w:rFonts w:hint="eastAsia"/>
          <w:color w:val="auto"/>
        </w:rPr>
        <w:t>校企合作</w:t>
      </w:r>
      <w:r>
        <w:rPr>
          <w:color w:val="auto"/>
        </w:rPr>
        <w:tab/>
      </w:r>
      <w:r>
        <w:rPr>
          <w:color w:val="auto"/>
        </w:rPr>
        <w:fldChar w:fldCharType="begin"/>
      </w:r>
      <w:r>
        <w:rPr>
          <w:color w:val="auto"/>
        </w:rPr>
        <w:instrText xml:space="preserve"> PAGEREF _Toc28958363 \h </w:instrText>
      </w:r>
      <w:r>
        <w:rPr>
          <w:color w:val="auto"/>
        </w:rPr>
        <w:fldChar w:fldCharType="separate"/>
      </w:r>
      <w:r>
        <w:rPr>
          <w:color w:val="auto"/>
        </w:rPr>
        <w:t>15</w:t>
      </w:r>
      <w:r>
        <w:rPr>
          <w:color w:val="auto"/>
        </w:rPr>
        <w:fldChar w:fldCharType="end"/>
      </w:r>
      <w:r>
        <w:rPr>
          <w:color w:val="auto"/>
        </w:rPr>
        <w:fldChar w:fldCharType="end"/>
      </w:r>
    </w:p>
    <w:p>
      <w:pPr>
        <w:pStyle w:val="9"/>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HYPERLINK \l "_Toc28958364" </w:instrText>
      </w:r>
      <w:r>
        <w:rPr>
          <w:color w:val="auto"/>
        </w:rPr>
        <w:fldChar w:fldCharType="separate"/>
      </w:r>
      <w:r>
        <w:rPr>
          <w:rStyle w:val="19"/>
          <w:color w:val="auto"/>
        </w:rPr>
        <w:t>4.1</w:t>
      </w:r>
      <w:r>
        <w:rPr>
          <w:rStyle w:val="19"/>
          <w:rFonts w:hint="eastAsia"/>
          <w:color w:val="auto"/>
        </w:rPr>
        <w:t>校企合作开展情况和效果。</w:t>
      </w:r>
      <w:r>
        <w:rPr>
          <w:color w:val="auto"/>
        </w:rPr>
        <w:tab/>
      </w:r>
      <w:r>
        <w:rPr>
          <w:color w:val="auto"/>
        </w:rPr>
        <w:fldChar w:fldCharType="begin"/>
      </w:r>
      <w:r>
        <w:rPr>
          <w:color w:val="auto"/>
        </w:rPr>
        <w:instrText xml:space="preserve"> PAGEREF _Toc28958364 \h </w:instrText>
      </w:r>
      <w:r>
        <w:rPr>
          <w:color w:val="auto"/>
        </w:rPr>
        <w:fldChar w:fldCharType="separate"/>
      </w:r>
      <w:r>
        <w:rPr>
          <w:color w:val="auto"/>
        </w:rPr>
        <w:t>15</w:t>
      </w:r>
      <w:r>
        <w:rPr>
          <w:color w:val="auto"/>
        </w:rPr>
        <w:fldChar w:fldCharType="end"/>
      </w:r>
      <w:r>
        <w:rPr>
          <w:color w:val="auto"/>
        </w:rPr>
        <w:fldChar w:fldCharType="end"/>
      </w:r>
    </w:p>
    <w:p>
      <w:pPr>
        <w:pStyle w:val="9"/>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HYPERLINK \l "_Toc28958365" </w:instrText>
      </w:r>
      <w:r>
        <w:rPr>
          <w:color w:val="auto"/>
        </w:rPr>
        <w:fldChar w:fldCharType="separate"/>
      </w:r>
      <w:r>
        <w:rPr>
          <w:rStyle w:val="19"/>
          <w:color w:val="auto"/>
        </w:rPr>
        <w:t>4.2</w:t>
      </w:r>
      <w:r>
        <w:rPr>
          <w:rStyle w:val="19"/>
          <w:rFonts w:hint="eastAsia"/>
          <w:color w:val="auto"/>
        </w:rPr>
        <w:t>学生实习情况。</w:t>
      </w:r>
      <w:r>
        <w:rPr>
          <w:color w:val="auto"/>
        </w:rPr>
        <w:tab/>
      </w:r>
      <w:r>
        <w:rPr>
          <w:color w:val="auto"/>
        </w:rPr>
        <w:fldChar w:fldCharType="begin"/>
      </w:r>
      <w:r>
        <w:rPr>
          <w:color w:val="auto"/>
        </w:rPr>
        <w:instrText xml:space="preserve"> PAGEREF _Toc28958365 \h </w:instrText>
      </w:r>
      <w:r>
        <w:rPr>
          <w:color w:val="auto"/>
        </w:rPr>
        <w:fldChar w:fldCharType="separate"/>
      </w:r>
      <w:r>
        <w:rPr>
          <w:color w:val="auto"/>
        </w:rPr>
        <w:t>15</w:t>
      </w:r>
      <w:r>
        <w:rPr>
          <w:color w:val="auto"/>
        </w:rPr>
        <w:fldChar w:fldCharType="end"/>
      </w:r>
      <w:r>
        <w:rPr>
          <w:color w:val="auto"/>
        </w:rPr>
        <w:fldChar w:fldCharType="end"/>
      </w:r>
    </w:p>
    <w:p>
      <w:pPr>
        <w:pStyle w:val="9"/>
        <w:tabs>
          <w:tab w:val="right" w:leader="dot" w:pos="8380"/>
        </w:tabs>
        <w:spacing w:line="360" w:lineRule="auto"/>
        <w:rPr>
          <w:rFonts w:hint="default" w:eastAsia="宋体"/>
          <w:color w:val="auto"/>
          <w:lang w:val="en-US" w:eastAsia="zh-CN"/>
        </w:rPr>
      </w:pPr>
      <w:r>
        <w:rPr>
          <w:rFonts w:hint="eastAsia"/>
          <w:color w:val="auto"/>
          <w:lang w:val="en-US" w:eastAsia="zh-CN"/>
        </w:rPr>
        <w:t>5.社会贡献.</w:t>
      </w:r>
      <w:r>
        <w:rPr>
          <w:color w:val="auto"/>
        </w:rPr>
        <w:tab/>
      </w:r>
      <w:r>
        <w:rPr>
          <w:rFonts w:hint="eastAsia"/>
          <w:color w:val="auto"/>
          <w:lang w:val="en-US" w:eastAsia="zh-CN"/>
        </w:rPr>
        <w:t>16</w:t>
      </w:r>
    </w:p>
    <w:p>
      <w:pPr>
        <w:rPr>
          <w:rFonts w:hint="default" w:eastAsia="宋体"/>
          <w:color w:val="auto"/>
          <w:lang w:val="en-US" w:eastAsia="zh-CN"/>
        </w:rPr>
      </w:pPr>
      <w:r>
        <w:rPr>
          <w:rFonts w:hint="eastAsia"/>
          <w:color w:val="auto"/>
          <w:lang w:val="en-US" w:eastAsia="zh-CN"/>
        </w:rPr>
        <w:t>5.1技术技能人才培养...........................................................................................16</w:t>
      </w:r>
    </w:p>
    <w:p>
      <w:pPr>
        <w:rPr>
          <w:rFonts w:hint="default"/>
          <w:color w:val="auto"/>
          <w:lang w:val="en-US" w:eastAsia="zh-CN"/>
        </w:rPr>
      </w:pPr>
      <w:r>
        <w:rPr>
          <w:rFonts w:hint="eastAsia"/>
          <w:color w:val="auto"/>
          <w:lang w:val="en-US" w:eastAsia="zh-CN"/>
        </w:rPr>
        <w:t>5.2社会服务.......................................................................................................16</w:t>
      </w:r>
    </w:p>
    <w:p>
      <w:pPr>
        <w:rPr>
          <w:rFonts w:hint="default"/>
          <w:color w:val="auto"/>
          <w:lang w:val="en-US" w:eastAsia="zh-CN"/>
        </w:rPr>
      </w:pPr>
      <w:r>
        <w:rPr>
          <w:rFonts w:hint="eastAsia"/>
          <w:color w:val="auto"/>
          <w:lang w:val="en-US" w:eastAsia="zh-CN"/>
        </w:rPr>
        <w:t>5.3服务抗疫.......................................................................................................16</w:t>
      </w:r>
    </w:p>
    <w:p>
      <w:pPr>
        <w:pStyle w:val="9"/>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HYPERLINK \l "_Toc28958366" </w:instrText>
      </w:r>
      <w:r>
        <w:rPr>
          <w:color w:val="auto"/>
        </w:rPr>
        <w:fldChar w:fldCharType="separate"/>
      </w:r>
      <w:r>
        <w:rPr>
          <w:rStyle w:val="19"/>
          <w:color w:val="auto"/>
        </w:rPr>
        <w:t>6.</w:t>
      </w:r>
      <w:r>
        <w:rPr>
          <w:rStyle w:val="19"/>
          <w:rFonts w:hint="eastAsia"/>
          <w:color w:val="auto"/>
        </w:rPr>
        <w:t>举办者履责</w:t>
      </w:r>
      <w:r>
        <w:rPr>
          <w:color w:val="auto"/>
        </w:rPr>
        <w:tab/>
      </w:r>
      <w:r>
        <w:rPr>
          <w:color w:val="auto"/>
        </w:rPr>
        <w:fldChar w:fldCharType="begin"/>
      </w:r>
      <w:r>
        <w:rPr>
          <w:color w:val="auto"/>
        </w:rPr>
        <w:instrText xml:space="preserve"> PAGEREF _Toc28958366 \h </w:instrText>
      </w:r>
      <w:r>
        <w:rPr>
          <w:color w:val="auto"/>
        </w:rPr>
        <w:fldChar w:fldCharType="separate"/>
      </w:r>
      <w:r>
        <w:rPr>
          <w:color w:val="auto"/>
        </w:rPr>
        <w:t>16</w:t>
      </w:r>
      <w:r>
        <w:rPr>
          <w:color w:val="auto"/>
        </w:rPr>
        <w:fldChar w:fldCharType="end"/>
      </w:r>
      <w:r>
        <w:rPr>
          <w:color w:val="auto"/>
        </w:rPr>
        <w:fldChar w:fldCharType="end"/>
      </w:r>
    </w:p>
    <w:p>
      <w:pPr>
        <w:pStyle w:val="9"/>
        <w:tabs>
          <w:tab w:val="right" w:leader="dot" w:pos="8380"/>
        </w:tabs>
        <w:spacing w:line="360" w:lineRule="auto"/>
        <w:rPr>
          <w:rFonts w:asciiTheme="minorHAnsi" w:hAnsiTheme="minorHAnsi" w:eastAsiaTheme="minorEastAsia" w:cstheme="minorBidi"/>
          <w:color w:val="auto"/>
        </w:rPr>
      </w:pPr>
      <w:r>
        <w:rPr>
          <w:color w:val="auto"/>
        </w:rPr>
        <w:fldChar w:fldCharType="begin"/>
      </w:r>
      <w:r>
        <w:rPr>
          <w:color w:val="auto"/>
        </w:rPr>
        <w:instrText xml:space="preserve"> HYPERLINK \l "_Toc28958367" </w:instrText>
      </w:r>
      <w:r>
        <w:rPr>
          <w:color w:val="auto"/>
        </w:rPr>
        <w:fldChar w:fldCharType="separate"/>
      </w:r>
      <w:r>
        <w:rPr>
          <w:rStyle w:val="19"/>
          <w:color w:val="auto"/>
        </w:rPr>
        <w:t>6.1</w:t>
      </w:r>
      <w:r>
        <w:rPr>
          <w:rStyle w:val="19"/>
          <w:rFonts w:hint="eastAsia"/>
          <w:color w:val="auto"/>
        </w:rPr>
        <w:t>经费</w:t>
      </w:r>
      <w:r>
        <w:rPr>
          <w:color w:val="auto"/>
        </w:rPr>
        <w:tab/>
      </w:r>
      <w:r>
        <w:rPr>
          <w:color w:val="auto"/>
        </w:rPr>
        <w:fldChar w:fldCharType="begin"/>
      </w:r>
      <w:r>
        <w:rPr>
          <w:color w:val="auto"/>
        </w:rPr>
        <w:instrText xml:space="preserve"> PAGEREF _Toc28958367 \h </w:instrText>
      </w:r>
      <w:r>
        <w:rPr>
          <w:color w:val="auto"/>
        </w:rPr>
        <w:fldChar w:fldCharType="separate"/>
      </w:r>
      <w:r>
        <w:rPr>
          <w:color w:val="auto"/>
        </w:rPr>
        <w:t>16</w:t>
      </w:r>
      <w:r>
        <w:rPr>
          <w:color w:val="auto"/>
        </w:rPr>
        <w:fldChar w:fldCharType="end"/>
      </w:r>
      <w:r>
        <w:rPr>
          <w:color w:val="auto"/>
        </w:rPr>
        <w:fldChar w:fldCharType="end"/>
      </w:r>
    </w:p>
    <w:p>
      <w:pPr>
        <w:pStyle w:val="9"/>
        <w:tabs>
          <w:tab w:val="right" w:leader="dot" w:pos="8380"/>
        </w:tabs>
        <w:spacing w:line="360" w:lineRule="auto"/>
        <w:rPr>
          <w:rFonts w:hint="eastAsia" w:eastAsia="宋体" w:asciiTheme="minorHAnsi" w:hAnsiTheme="minorHAnsi" w:cstheme="minorBidi"/>
          <w:color w:val="auto"/>
          <w:lang w:val="en-US" w:eastAsia="zh-CN"/>
        </w:rPr>
      </w:pPr>
      <w:r>
        <w:rPr>
          <w:color w:val="auto"/>
        </w:rPr>
        <w:fldChar w:fldCharType="begin"/>
      </w:r>
      <w:r>
        <w:rPr>
          <w:color w:val="auto"/>
        </w:rPr>
        <w:instrText xml:space="preserve"> HYPERLINK \l "_Toc28958368" </w:instrText>
      </w:r>
      <w:r>
        <w:rPr>
          <w:color w:val="auto"/>
        </w:rPr>
        <w:fldChar w:fldCharType="separate"/>
      </w:r>
      <w:r>
        <w:rPr>
          <w:rStyle w:val="19"/>
          <w:color w:val="auto"/>
        </w:rPr>
        <w:t>6.2</w:t>
      </w:r>
      <w:r>
        <w:rPr>
          <w:rStyle w:val="19"/>
          <w:rFonts w:hint="eastAsia"/>
          <w:color w:val="auto"/>
        </w:rPr>
        <w:t>政策措施</w:t>
      </w:r>
      <w:r>
        <w:rPr>
          <w:color w:val="auto"/>
        </w:rPr>
        <w:tab/>
      </w:r>
      <w:r>
        <w:rPr>
          <w:rFonts w:hint="eastAsia"/>
          <w:color w:val="auto"/>
          <w:lang w:val="en-US" w:eastAsia="zh-CN"/>
        </w:rPr>
        <w:t>1</w:t>
      </w:r>
      <w:r>
        <w:rPr>
          <w:color w:val="auto"/>
        </w:rPr>
        <w:fldChar w:fldCharType="end"/>
      </w:r>
      <w:r>
        <w:rPr>
          <w:rFonts w:hint="eastAsia"/>
          <w:color w:val="auto"/>
          <w:lang w:val="en-US" w:eastAsia="zh-CN"/>
        </w:rPr>
        <w:t>7</w:t>
      </w:r>
    </w:p>
    <w:p>
      <w:pPr>
        <w:pStyle w:val="9"/>
        <w:tabs>
          <w:tab w:val="right" w:leader="dot" w:pos="8380"/>
        </w:tabs>
        <w:spacing w:line="360" w:lineRule="auto"/>
        <w:rPr>
          <w:rFonts w:hint="eastAsia" w:eastAsia="宋体" w:asciiTheme="minorHAnsi" w:hAnsiTheme="minorHAnsi" w:cstheme="minorBidi"/>
          <w:color w:val="auto"/>
          <w:lang w:val="en-US" w:eastAsia="zh-CN"/>
        </w:rPr>
      </w:pPr>
      <w:r>
        <w:rPr>
          <w:color w:val="auto"/>
        </w:rPr>
        <w:fldChar w:fldCharType="begin"/>
      </w:r>
      <w:r>
        <w:rPr>
          <w:color w:val="auto"/>
        </w:rPr>
        <w:instrText xml:space="preserve"> HYPERLINK \l "_Toc28958369" </w:instrText>
      </w:r>
      <w:r>
        <w:rPr>
          <w:color w:val="auto"/>
        </w:rPr>
        <w:fldChar w:fldCharType="separate"/>
      </w:r>
      <w:r>
        <w:rPr>
          <w:rStyle w:val="19"/>
          <w:color w:val="auto"/>
        </w:rPr>
        <w:t>7.</w:t>
      </w:r>
      <w:r>
        <w:rPr>
          <w:rStyle w:val="19"/>
          <w:rFonts w:hint="eastAsia"/>
          <w:color w:val="auto"/>
        </w:rPr>
        <w:t>特色创新</w:t>
      </w:r>
      <w:r>
        <w:rPr>
          <w:color w:val="auto"/>
        </w:rPr>
        <w:tab/>
      </w:r>
      <w:r>
        <w:rPr>
          <w:rFonts w:hint="eastAsia"/>
          <w:color w:val="auto"/>
          <w:lang w:val="en-US" w:eastAsia="zh-CN"/>
        </w:rPr>
        <w:t>1</w:t>
      </w:r>
      <w:r>
        <w:rPr>
          <w:color w:val="auto"/>
        </w:rPr>
        <w:fldChar w:fldCharType="end"/>
      </w:r>
      <w:r>
        <w:rPr>
          <w:rFonts w:hint="eastAsia"/>
          <w:color w:val="auto"/>
          <w:lang w:val="en-US" w:eastAsia="zh-CN"/>
        </w:rPr>
        <w:t>7</w:t>
      </w:r>
    </w:p>
    <w:p>
      <w:pPr>
        <w:pStyle w:val="9"/>
        <w:tabs>
          <w:tab w:val="right" w:leader="dot" w:pos="8380"/>
        </w:tabs>
        <w:spacing w:line="360" w:lineRule="auto"/>
        <w:rPr>
          <w:rFonts w:hint="eastAsia" w:eastAsia="宋体" w:asciiTheme="minorHAnsi" w:hAnsiTheme="minorHAnsi" w:cstheme="minorBidi"/>
          <w:color w:val="auto"/>
          <w:lang w:val="en-US" w:eastAsia="zh-CN"/>
        </w:rPr>
      </w:pPr>
      <w:r>
        <w:rPr>
          <w:color w:val="auto"/>
        </w:rPr>
        <w:fldChar w:fldCharType="begin"/>
      </w:r>
      <w:r>
        <w:rPr>
          <w:color w:val="auto"/>
        </w:rPr>
        <w:instrText xml:space="preserve"> HYPERLINK \l "_Toc28958370" </w:instrText>
      </w:r>
      <w:r>
        <w:rPr>
          <w:color w:val="auto"/>
        </w:rPr>
        <w:fldChar w:fldCharType="separate"/>
      </w:r>
      <w:r>
        <w:rPr>
          <w:rStyle w:val="19"/>
          <w:color w:val="auto"/>
        </w:rPr>
        <w:t>8.</w:t>
      </w:r>
      <w:r>
        <w:rPr>
          <w:rStyle w:val="19"/>
          <w:rFonts w:hint="eastAsia"/>
          <w:color w:val="auto"/>
        </w:rPr>
        <w:t>主要问题和改进措施</w:t>
      </w:r>
      <w:r>
        <w:rPr>
          <w:color w:val="auto"/>
        </w:rPr>
        <w:tab/>
      </w:r>
      <w:r>
        <w:rPr>
          <w:rFonts w:hint="eastAsia"/>
          <w:color w:val="auto"/>
          <w:lang w:val="en-US" w:eastAsia="zh-CN"/>
        </w:rPr>
        <w:t>1</w:t>
      </w:r>
      <w:r>
        <w:rPr>
          <w:color w:val="auto"/>
        </w:rPr>
        <w:fldChar w:fldCharType="end"/>
      </w:r>
      <w:r>
        <w:rPr>
          <w:rFonts w:hint="eastAsia"/>
          <w:color w:val="auto"/>
          <w:lang w:val="en-US" w:eastAsia="zh-CN"/>
        </w:rPr>
        <w:t>8</w:t>
      </w:r>
    </w:p>
    <w:p>
      <w:pPr>
        <w:spacing w:line="360" w:lineRule="auto"/>
        <w:rPr>
          <w:rFonts w:ascii="黑体" w:hAnsi="黑体" w:eastAsia="黑体" w:cs="宋体"/>
          <w:b/>
          <w:bCs/>
          <w:color w:val="auto"/>
          <w:kern w:val="0"/>
          <w:sz w:val="32"/>
          <w:szCs w:val="32"/>
        </w:rPr>
        <w:sectPr>
          <w:footerReference r:id="rId4" w:type="first"/>
          <w:footerReference r:id="rId3" w:type="default"/>
          <w:pgSz w:w="11906" w:h="16838"/>
          <w:pgMar w:top="1440" w:right="1758" w:bottom="1440" w:left="1758" w:header="851" w:footer="992" w:gutter="0"/>
          <w:pgNumType w:start="1"/>
          <w:cols w:space="425" w:num="1"/>
          <w:titlePg/>
          <w:docGrid w:type="lines" w:linePitch="312" w:charSpace="0"/>
        </w:sectPr>
      </w:pPr>
      <w:r>
        <w:rPr>
          <w:color w:val="auto"/>
        </w:rPr>
        <w:fldChar w:fldCharType="end"/>
      </w:r>
    </w:p>
    <w:p>
      <w:pPr>
        <w:adjustRightInd w:val="0"/>
        <w:snapToGrid w:val="0"/>
        <w:spacing w:line="380" w:lineRule="exact"/>
        <w:jc w:val="center"/>
        <w:rPr>
          <w:rFonts w:ascii="宋体" w:hAnsi="宋体" w:cs="宋体"/>
          <w:color w:val="auto"/>
          <w:kern w:val="0"/>
          <w:sz w:val="24"/>
          <w:szCs w:val="24"/>
        </w:rPr>
      </w:pPr>
      <w:r>
        <w:rPr>
          <w:rFonts w:hint="eastAsia" w:ascii="黑体" w:hAnsi="黑体" w:eastAsia="黑体" w:cs="宋体"/>
          <w:b/>
          <w:bCs/>
          <w:color w:val="auto"/>
          <w:kern w:val="0"/>
          <w:sz w:val="32"/>
          <w:szCs w:val="32"/>
        </w:rPr>
        <w:t>浙江省安吉艺术高级中学教育质量年度报告</w:t>
      </w:r>
    </w:p>
    <w:p>
      <w:pPr>
        <w:widowControl/>
        <w:spacing w:line="500" w:lineRule="exact"/>
        <w:jc w:val="center"/>
        <w:rPr>
          <w:rFonts w:ascii="黑体" w:hAnsi="黑体" w:eastAsia="黑体" w:cs="宋体"/>
          <w:b/>
          <w:color w:val="auto"/>
          <w:kern w:val="0"/>
          <w:sz w:val="32"/>
          <w:szCs w:val="32"/>
        </w:rPr>
      </w:pPr>
      <w:r>
        <w:rPr>
          <w:rFonts w:hint="eastAsia" w:ascii="黑体" w:hAnsi="黑体" w:eastAsia="黑体" w:cs="宋体"/>
          <w:b/>
          <w:bCs/>
          <w:color w:val="auto"/>
          <w:kern w:val="0"/>
          <w:sz w:val="32"/>
          <w:szCs w:val="32"/>
        </w:rPr>
        <w:t>（20</w:t>
      </w:r>
      <w:r>
        <w:rPr>
          <w:rFonts w:hint="eastAsia" w:ascii="黑体" w:hAnsi="黑体" w:eastAsia="黑体" w:cs="宋体"/>
          <w:b/>
          <w:bCs/>
          <w:color w:val="auto"/>
          <w:kern w:val="0"/>
          <w:sz w:val="32"/>
          <w:szCs w:val="32"/>
          <w:lang w:val="en-US" w:eastAsia="zh-CN"/>
        </w:rPr>
        <w:t>20</w:t>
      </w:r>
      <w:r>
        <w:rPr>
          <w:rFonts w:hint="eastAsia" w:ascii="黑体" w:hAnsi="黑体" w:eastAsia="黑体" w:cs="宋体"/>
          <w:b/>
          <w:bCs/>
          <w:color w:val="auto"/>
          <w:kern w:val="0"/>
          <w:sz w:val="32"/>
          <w:szCs w:val="32"/>
        </w:rPr>
        <w:t>年）</w:t>
      </w:r>
    </w:p>
    <w:p>
      <w:pPr>
        <w:widowControl/>
        <w:adjustRightInd w:val="0"/>
        <w:snapToGrid w:val="0"/>
        <w:spacing w:line="600" w:lineRule="exac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根据湖州市教育局《关于编制和发布20</w:t>
      </w:r>
      <w:r>
        <w:rPr>
          <w:rFonts w:hint="eastAsia" w:ascii="宋体" w:hAnsi="宋体" w:cs="宋体"/>
          <w:color w:val="auto"/>
          <w:kern w:val="0"/>
          <w:sz w:val="28"/>
          <w:szCs w:val="28"/>
          <w:lang w:val="en-US" w:eastAsia="zh-CN"/>
        </w:rPr>
        <w:t>20</w:t>
      </w:r>
      <w:r>
        <w:rPr>
          <w:rFonts w:hint="eastAsia" w:ascii="宋体" w:hAnsi="宋体" w:cs="宋体"/>
          <w:color w:val="auto"/>
          <w:kern w:val="0"/>
          <w:sz w:val="28"/>
          <w:szCs w:val="28"/>
        </w:rPr>
        <w:t>年度中等职业教育</w:t>
      </w:r>
    </w:p>
    <w:p>
      <w:pPr>
        <w:widowControl/>
        <w:adjustRightInd w:val="0"/>
        <w:snapToGrid w:val="0"/>
        <w:spacing w:line="600" w:lineRule="exact"/>
        <w:jc w:val="left"/>
        <w:rPr>
          <w:rFonts w:ascii="黑体" w:eastAsia="黑体" w:hAnsiTheme="minorEastAsia"/>
          <w:color w:val="auto"/>
          <w:sz w:val="28"/>
          <w:szCs w:val="28"/>
        </w:rPr>
      </w:pPr>
      <w:r>
        <w:rPr>
          <w:rFonts w:hint="eastAsia" w:ascii="宋体" w:hAnsi="宋体" w:cs="宋体"/>
          <w:color w:val="auto"/>
          <w:kern w:val="0"/>
          <w:sz w:val="28"/>
          <w:szCs w:val="28"/>
        </w:rPr>
        <w:t>质量报告的通知》现将本校20</w:t>
      </w:r>
      <w:r>
        <w:rPr>
          <w:rFonts w:hint="eastAsia" w:ascii="宋体" w:hAnsi="宋体" w:cs="宋体"/>
          <w:color w:val="auto"/>
          <w:kern w:val="0"/>
          <w:sz w:val="28"/>
          <w:szCs w:val="28"/>
          <w:lang w:val="en-US" w:eastAsia="zh-CN"/>
        </w:rPr>
        <w:t>20</w:t>
      </w:r>
      <w:r>
        <w:rPr>
          <w:rFonts w:hint="eastAsia" w:ascii="宋体" w:hAnsi="宋体" w:cs="宋体"/>
          <w:color w:val="auto"/>
          <w:kern w:val="0"/>
          <w:sz w:val="28"/>
          <w:szCs w:val="28"/>
        </w:rPr>
        <w:t>年度中等职业学校教育质量报告如下。</w:t>
      </w:r>
    </w:p>
    <w:p>
      <w:pPr>
        <w:pStyle w:val="12"/>
        <w:ind w:firstLine="562" w:firstLineChars="200"/>
        <w:jc w:val="left"/>
        <w:rPr>
          <w:color w:val="auto"/>
          <w:sz w:val="28"/>
          <w:szCs w:val="28"/>
        </w:rPr>
      </w:pPr>
      <w:bookmarkStart w:id="0" w:name="_Toc28958320"/>
      <w:r>
        <w:rPr>
          <w:rFonts w:hint="eastAsia"/>
          <w:color w:val="auto"/>
          <w:sz w:val="28"/>
          <w:szCs w:val="28"/>
        </w:rPr>
        <w:t>1.学校情况</w:t>
      </w:r>
      <w:bookmarkEnd w:id="0"/>
    </w:p>
    <w:p>
      <w:pPr>
        <w:pStyle w:val="2"/>
        <w:spacing w:before="0" w:after="0"/>
        <w:ind w:firstLine="560" w:firstLineChars="200"/>
        <w:rPr>
          <w:b w:val="0"/>
          <w:color w:val="auto"/>
          <w:sz w:val="28"/>
          <w:szCs w:val="28"/>
        </w:rPr>
      </w:pPr>
      <w:bookmarkStart w:id="1" w:name="_Toc28958321"/>
      <w:r>
        <w:rPr>
          <w:rFonts w:hint="eastAsia"/>
          <w:b w:val="0"/>
          <w:color w:val="auto"/>
          <w:sz w:val="28"/>
          <w:szCs w:val="28"/>
        </w:rPr>
        <w:t>1.1学校概况</w:t>
      </w:r>
      <w:bookmarkEnd w:id="1"/>
    </w:p>
    <w:p>
      <w:pPr>
        <w:spacing w:line="360" w:lineRule="auto"/>
        <w:ind w:firstLine="560" w:firstLineChars="200"/>
        <w:rPr>
          <w:color w:val="auto"/>
          <w:sz w:val="28"/>
          <w:szCs w:val="28"/>
        </w:rPr>
      </w:pPr>
      <w:r>
        <w:rPr>
          <w:rFonts w:hint="eastAsia" w:asciiTheme="minorEastAsia" w:hAnsiTheme="minorEastAsia"/>
          <w:color w:val="auto"/>
          <w:sz w:val="28"/>
          <w:szCs w:val="28"/>
        </w:rPr>
        <w:t>安吉艺术高级中学，</w:t>
      </w:r>
      <w:r>
        <w:rPr>
          <w:rFonts w:hint="eastAsia" w:ascii="宋体" w:hAnsi="宋体" w:cs="宋体"/>
          <w:color w:val="auto"/>
          <w:kern w:val="0"/>
          <w:sz w:val="28"/>
          <w:szCs w:val="28"/>
        </w:rPr>
        <w:t>是安吉县人民政府举办的公办职业学校，位于安吉县孝源街道的教科文新区职教路</w:t>
      </w:r>
      <w:r>
        <w:rPr>
          <w:rFonts w:hint="eastAsia" w:ascii="宋体" w:hAnsi="宋体" w:cs="宋体"/>
          <w:color w:val="auto"/>
          <w:kern w:val="0"/>
          <w:sz w:val="28"/>
          <w:szCs w:val="28"/>
          <w:lang w:val="en-US" w:eastAsia="zh-CN"/>
        </w:rPr>
        <w:t>1号</w:t>
      </w:r>
      <w:r>
        <w:rPr>
          <w:rFonts w:hint="eastAsia" w:ascii="宋体" w:hAnsi="宋体" w:cs="宋体"/>
          <w:color w:val="auto"/>
          <w:kern w:val="0"/>
          <w:sz w:val="28"/>
          <w:szCs w:val="28"/>
        </w:rPr>
        <w:t>，属于全民事业单位。</w:t>
      </w:r>
      <w:r>
        <w:rPr>
          <w:rFonts w:hint="eastAsia"/>
          <w:color w:val="auto"/>
          <w:sz w:val="28"/>
          <w:szCs w:val="28"/>
        </w:rPr>
        <w:t>学校是省艺术特色学校，中国美院首批生源培育实验学校，省首批工艺美术实训基地，省依法治校示范学校，市首批行为规范示范学校，市德育先进集体，是一所在省、市、县享有较高声誉的艺术特色鲜明的精品学校。学校设有工艺美术、学前教育和音乐舞蹈三大专业，其中工艺美术专业是“浙江省示范专业”。</w:t>
      </w:r>
    </w:p>
    <w:p>
      <w:pPr>
        <w:spacing w:line="360" w:lineRule="auto"/>
        <w:ind w:firstLine="560" w:firstLineChars="200"/>
        <w:rPr>
          <w:rFonts w:hint="default" w:eastAsia="宋体"/>
          <w:color w:val="auto"/>
          <w:sz w:val="28"/>
          <w:szCs w:val="28"/>
          <w:lang w:val="en-US" w:eastAsia="zh-CN"/>
        </w:rPr>
      </w:pPr>
      <w:r>
        <w:rPr>
          <w:rFonts w:hint="eastAsia" w:ascii="宋体" w:hAnsi="宋体" w:cs="宋体"/>
          <w:color w:val="auto"/>
          <w:kern w:val="0"/>
          <w:sz w:val="28"/>
          <w:szCs w:val="28"/>
        </w:rPr>
        <w:t>20</w:t>
      </w:r>
      <w:r>
        <w:rPr>
          <w:rFonts w:hint="eastAsia" w:ascii="宋体" w:hAnsi="宋体" w:cs="宋体"/>
          <w:color w:val="auto"/>
          <w:kern w:val="0"/>
          <w:sz w:val="28"/>
          <w:szCs w:val="28"/>
          <w:lang w:val="en-US" w:eastAsia="zh-CN"/>
        </w:rPr>
        <w:t>20</w:t>
      </w:r>
      <w:r>
        <w:rPr>
          <w:rFonts w:hint="eastAsia" w:ascii="宋体" w:hAnsi="宋体" w:cs="宋体"/>
          <w:color w:val="auto"/>
          <w:kern w:val="0"/>
          <w:sz w:val="28"/>
          <w:szCs w:val="28"/>
        </w:rPr>
        <w:t>年，学校以浙江省中职质量提升行动计划为契机，以“三名工程”建设为平台，积极创建工艺美术专业为浙江省“品牌专业”，顺利通过浙江省教育评估院对省品牌专业的年度考核检查。</w:t>
      </w:r>
      <w:r>
        <w:rPr>
          <w:rFonts w:hint="eastAsia" w:ascii="宋体" w:hAnsi="宋体" w:cs="宋体"/>
          <w:color w:val="auto"/>
          <w:kern w:val="0"/>
          <w:sz w:val="28"/>
          <w:szCs w:val="28"/>
          <w:lang w:val="en-US" w:eastAsia="zh-CN"/>
        </w:rPr>
        <w:t>2020年12月，学校抓住浙江省</w:t>
      </w:r>
      <w:r>
        <w:rPr>
          <w:rFonts w:hint="eastAsia" w:ascii="宋体" w:hAnsi="宋体" w:cs="宋体"/>
          <w:color w:val="auto"/>
          <w:kern w:val="0"/>
          <w:sz w:val="28"/>
          <w:szCs w:val="28"/>
        </w:rPr>
        <w:t>开展高水平职业院校和专业(群)建设工作</w:t>
      </w:r>
      <w:r>
        <w:rPr>
          <w:rFonts w:hint="eastAsia" w:ascii="宋体" w:hAnsi="宋体" w:cs="宋体"/>
          <w:color w:val="auto"/>
          <w:kern w:val="0"/>
          <w:sz w:val="28"/>
          <w:szCs w:val="28"/>
          <w:lang w:val="en-US" w:eastAsia="zh-CN"/>
        </w:rPr>
        <w:t>的发展良机，乘势而上，两大主干专业工艺美术和学前教育专业顺利入围“浙江省高水平专业建设”名单，将进一步提升我校这两大专业的办学质量。</w:t>
      </w:r>
    </w:p>
    <w:p>
      <w:pPr>
        <w:ind w:firstLine="560" w:firstLineChars="200"/>
        <w:rPr>
          <w:rFonts w:ascii="宋体" w:hAnsi="宋体"/>
          <w:color w:val="auto"/>
          <w:sz w:val="28"/>
          <w:szCs w:val="28"/>
        </w:rPr>
      </w:pPr>
      <w:r>
        <w:rPr>
          <w:rFonts w:hint="eastAsia" w:ascii="宋体" w:hAnsi="宋体" w:cs="宋体"/>
          <w:color w:val="auto"/>
          <w:kern w:val="0"/>
          <w:sz w:val="28"/>
          <w:szCs w:val="28"/>
        </w:rPr>
        <w:t>近年来，学校以“崇德尚美”为校训，在“德育为先会做人，技能为</w:t>
      </w:r>
      <w:r>
        <w:rPr>
          <w:rFonts w:hint="eastAsia"/>
          <w:color w:val="auto"/>
          <w:sz w:val="28"/>
          <w:szCs w:val="28"/>
        </w:rPr>
        <w:t>本会做事”的育人理念指导下，坚持以质量立校，特色办学，不仅每年高考成绩喜人，而且为社会输送了一批应用型人才。</w:t>
      </w:r>
      <w:r>
        <w:rPr>
          <w:rFonts w:hint="eastAsia" w:ascii="宋体" w:hAnsi="宋体"/>
          <w:color w:val="auto"/>
          <w:sz w:val="28"/>
          <w:szCs w:val="28"/>
        </w:rPr>
        <w:t>2015年新校区启动时教育局对校园进行分配，我校建设面积40000.2平方，绿化面积14440.47平方；新校园资产分配1亿元，均挂着职教中心资产账上。但我校固定资产总计</w:t>
      </w:r>
      <w:r>
        <w:rPr>
          <w:rFonts w:hint="eastAsia" w:ascii="宋体" w:hAnsi="宋体" w:cs="宋体"/>
          <w:color w:val="auto"/>
          <w:kern w:val="0"/>
          <w:sz w:val="28"/>
          <w:szCs w:val="28"/>
          <w:lang w:val="en-US" w:eastAsia="zh-CN"/>
        </w:rPr>
        <w:t>1086</w:t>
      </w:r>
      <w:r>
        <w:rPr>
          <w:rFonts w:hint="eastAsia" w:ascii="宋体" w:hAnsi="宋体" w:cs="宋体"/>
          <w:color w:val="auto"/>
          <w:kern w:val="0"/>
          <w:sz w:val="28"/>
          <w:szCs w:val="28"/>
        </w:rPr>
        <w:t>.</w:t>
      </w:r>
      <w:r>
        <w:rPr>
          <w:rFonts w:hint="eastAsia" w:ascii="宋体" w:hAnsi="宋体" w:cs="宋体"/>
          <w:color w:val="auto"/>
          <w:kern w:val="0"/>
          <w:sz w:val="28"/>
          <w:szCs w:val="28"/>
          <w:lang w:val="en-US" w:eastAsia="zh-CN"/>
        </w:rPr>
        <w:t>22</w:t>
      </w:r>
      <w:r>
        <w:rPr>
          <w:rFonts w:hint="eastAsia" w:ascii="宋体" w:hAnsi="宋体"/>
          <w:color w:val="auto"/>
          <w:sz w:val="28"/>
          <w:szCs w:val="28"/>
        </w:rPr>
        <w:t>万元，20</w:t>
      </w:r>
      <w:r>
        <w:rPr>
          <w:rFonts w:hint="eastAsia" w:ascii="宋体" w:hAnsi="宋体"/>
          <w:color w:val="auto"/>
          <w:sz w:val="28"/>
          <w:szCs w:val="28"/>
          <w:lang w:val="en-US" w:eastAsia="zh-CN"/>
        </w:rPr>
        <w:t>20</w:t>
      </w:r>
      <w:r>
        <w:rPr>
          <w:rFonts w:hint="eastAsia" w:ascii="宋体" w:hAnsi="宋体"/>
          <w:color w:val="auto"/>
          <w:sz w:val="28"/>
          <w:szCs w:val="28"/>
        </w:rPr>
        <w:t>年新增固定资产</w:t>
      </w:r>
      <w:r>
        <w:rPr>
          <w:rFonts w:hint="eastAsia" w:ascii="宋体" w:hAnsi="宋体"/>
          <w:color w:val="auto"/>
          <w:sz w:val="28"/>
          <w:szCs w:val="28"/>
          <w:lang w:val="en-US" w:eastAsia="zh-CN"/>
        </w:rPr>
        <w:t>124.64</w:t>
      </w:r>
      <w:r>
        <w:rPr>
          <w:rFonts w:hint="eastAsia" w:ascii="宋体" w:hAnsi="宋体"/>
          <w:color w:val="auto"/>
          <w:sz w:val="28"/>
          <w:szCs w:val="28"/>
        </w:rPr>
        <w:t>万元。</w:t>
      </w:r>
    </w:p>
    <w:p>
      <w:pPr>
        <w:spacing w:line="360" w:lineRule="auto"/>
        <w:ind w:firstLine="560" w:firstLineChars="200"/>
        <w:rPr>
          <w:rFonts w:asciiTheme="minorEastAsia" w:hAnsiTheme="minorEastAsia"/>
          <w:color w:val="auto"/>
          <w:sz w:val="28"/>
          <w:szCs w:val="28"/>
        </w:rPr>
      </w:pPr>
      <w:r>
        <w:rPr>
          <w:rFonts w:hint="eastAsia" w:asciiTheme="minorEastAsia" w:hAnsiTheme="minorEastAsia"/>
          <w:color w:val="auto"/>
          <w:sz w:val="28"/>
          <w:szCs w:val="28"/>
        </w:rPr>
        <w:t> 2020届高考成绩喜人，普高美术一段上线78%（超省均1</w:t>
      </w:r>
      <w:bookmarkStart w:id="52" w:name="_GoBack"/>
      <w:bookmarkEnd w:id="52"/>
      <w:r>
        <w:rPr>
          <w:rFonts w:hint="eastAsia" w:asciiTheme="minorEastAsia" w:hAnsiTheme="minorEastAsia"/>
          <w:color w:val="auto"/>
          <w:sz w:val="28"/>
          <w:szCs w:val="28"/>
        </w:rPr>
        <w:t>8个百分点），共有7人跻身省普高美术前2000名（共计2万余人参考）。艺术类名校上线29人，其中中国美院上线14人，四川美院、西安美院、湖北美院等八大美院上线13人；苏州大学（211）上线2人。高职本科上线5人，其中高佳艺居省学前教育专业11名；骆婧怡居省学前教育专业37名。嘉兴学院3升4学前教育专业百分百上线，全省前10名喜拥4席，另有数学、乐理、总分三项均分居榜首。</w:t>
      </w:r>
      <w:r>
        <w:rPr>
          <w:rFonts w:asciiTheme="minorEastAsia" w:hAnsiTheme="minorEastAsia"/>
          <w:color w:val="auto"/>
          <w:sz w:val="28"/>
          <w:szCs w:val="28"/>
        </w:rPr>
        <w:t xml:space="preserve"> </w:t>
      </w:r>
    </w:p>
    <w:p>
      <w:pPr>
        <w:pStyle w:val="2"/>
        <w:spacing w:before="0" w:after="0"/>
        <w:ind w:firstLine="560" w:firstLineChars="200"/>
        <w:rPr>
          <w:b w:val="0"/>
          <w:color w:val="auto"/>
          <w:sz w:val="28"/>
          <w:szCs w:val="28"/>
        </w:rPr>
      </w:pPr>
      <w:bookmarkStart w:id="2" w:name="_Toc28958322"/>
      <w:r>
        <w:rPr>
          <w:rFonts w:hint="eastAsia"/>
          <w:b w:val="0"/>
          <w:color w:val="auto"/>
          <w:sz w:val="28"/>
          <w:szCs w:val="28"/>
        </w:rPr>
        <w:t>1.2学生情况</w:t>
      </w:r>
      <w:bookmarkEnd w:id="2"/>
    </w:p>
    <w:p>
      <w:pPr>
        <w:pStyle w:val="11"/>
        <w:shd w:val="clear" w:color="auto" w:fill="FFFFFF"/>
        <w:adjustRightInd w:val="0"/>
        <w:snapToGrid w:val="0"/>
        <w:spacing w:before="0" w:beforeAutospacing="0" w:after="0" w:afterAutospacing="0" w:line="360" w:lineRule="auto"/>
        <w:ind w:firstLine="480"/>
        <w:rPr>
          <w:rFonts w:asciiTheme="minorEastAsia" w:hAnsiTheme="minorEastAsia"/>
          <w:color w:val="auto"/>
          <w:sz w:val="28"/>
          <w:szCs w:val="28"/>
        </w:rPr>
      </w:pPr>
      <w:r>
        <w:rPr>
          <w:rFonts w:hint="eastAsia" w:asciiTheme="minorEastAsia" w:hAnsiTheme="minorEastAsia"/>
          <w:color w:val="auto"/>
          <w:sz w:val="28"/>
          <w:szCs w:val="28"/>
        </w:rPr>
        <w:t>学校现有</w:t>
      </w:r>
      <w:r>
        <w:rPr>
          <w:rFonts w:hint="eastAsia" w:asciiTheme="minorEastAsia" w:hAnsiTheme="minorEastAsia" w:eastAsiaTheme="minorEastAsia"/>
          <w:color w:val="auto"/>
          <w:sz w:val="28"/>
          <w:szCs w:val="28"/>
        </w:rPr>
        <w:t>招生</w:t>
      </w:r>
      <w:r>
        <w:rPr>
          <w:rFonts w:hint="eastAsia" w:asciiTheme="minorEastAsia" w:hAnsiTheme="minorEastAsia" w:eastAsiaTheme="minorEastAsia"/>
          <w:color w:val="auto"/>
          <w:sz w:val="28"/>
          <w:szCs w:val="28"/>
          <w:lang w:eastAsia="zh-CN"/>
        </w:rPr>
        <w:t>专业</w:t>
      </w:r>
      <w:r>
        <w:rPr>
          <w:rFonts w:hint="eastAsia" w:asciiTheme="minorEastAsia" w:hAnsiTheme="minorEastAsia" w:eastAsiaTheme="minorEastAsia"/>
          <w:color w:val="auto"/>
          <w:sz w:val="28"/>
          <w:szCs w:val="28"/>
        </w:rPr>
        <w:t>3</w:t>
      </w:r>
      <w:r>
        <w:rPr>
          <w:rFonts w:hint="eastAsia" w:asciiTheme="minorEastAsia" w:hAnsiTheme="minorEastAsia" w:eastAsiaTheme="minorEastAsia"/>
          <w:color w:val="auto"/>
          <w:sz w:val="28"/>
          <w:szCs w:val="28"/>
          <w:lang w:eastAsia="zh-CN"/>
        </w:rPr>
        <w:t>个</w:t>
      </w:r>
      <w:r>
        <w:rPr>
          <w:rFonts w:hint="eastAsia" w:asciiTheme="minorEastAsia" w:hAnsiTheme="minorEastAsia" w:eastAsiaTheme="minorEastAsia"/>
          <w:color w:val="auto"/>
          <w:sz w:val="28"/>
          <w:szCs w:val="28"/>
        </w:rPr>
        <w:t>（工艺美术、学前教育和音乐舞蹈），其中工艺美术分为普高方向和高职考方向</w:t>
      </w:r>
      <w:r>
        <w:rPr>
          <w:rFonts w:hint="eastAsia" w:asciiTheme="minorEastAsia" w:hAnsiTheme="minorEastAsia" w:eastAsiaTheme="minorEastAsia"/>
          <w:color w:val="auto"/>
          <w:sz w:val="28"/>
          <w:szCs w:val="28"/>
          <w:lang w:eastAsia="zh-CN"/>
        </w:rPr>
        <w:t>；</w:t>
      </w:r>
      <w:r>
        <w:rPr>
          <w:rFonts w:hint="eastAsia" w:asciiTheme="minorEastAsia" w:hAnsiTheme="minorEastAsia" w:eastAsiaTheme="minorEastAsia"/>
          <w:color w:val="auto"/>
          <w:sz w:val="28"/>
          <w:szCs w:val="28"/>
        </w:rPr>
        <w:t>学前教育</w:t>
      </w:r>
      <w:r>
        <w:rPr>
          <w:rFonts w:hint="eastAsia" w:asciiTheme="minorEastAsia" w:hAnsiTheme="minorEastAsia" w:eastAsiaTheme="minorEastAsia"/>
          <w:color w:val="auto"/>
          <w:sz w:val="28"/>
          <w:szCs w:val="28"/>
          <w:lang w:eastAsia="zh-CN"/>
        </w:rPr>
        <w:t>施行</w:t>
      </w:r>
      <w:r>
        <w:rPr>
          <w:rFonts w:hint="eastAsia" w:asciiTheme="minorEastAsia" w:hAnsiTheme="minorEastAsia" w:eastAsiaTheme="minorEastAsia"/>
          <w:color w:val="auto"/>
          <w:sz w:val="28"/>
          <w:szCs w:val="28"/>
          <w:lang w:val="en-US" w:eastAsia="zh-CN"/>
        </w:rPr>
        <w:t>3+2学制</w:t>
      </w:r>
      <w:r>
        <w:rPr>
          <w:rFonts w:hint="eastAsia" w:asciiTheme="minorEastAsia" w:hAnsiTheme="minorEastAsia" w:eastAsiaTheme="minorEastAsia"/>
          <w:color w:val="auto"/>
          <w:sz w:val="28"/>
          <w:szCs w:val="28"/>
          <w:lang w:eastAsia="zh-CN"/>
        </w:rPr>
        <w:t>与嘉兴学院合作办学；</w:t>
      </w:r>
      <w:r>
        <w:rPr>
          <w:rFonts w:hint="eastAsia" w:asciiTheme="minorEastAsia" w:hAnsiTheme="minorEastAsia" w:eastAsiaTheme="minorEastAsia"/>
          <w:color w:val="auto"/>
          <w:sz w:val="28"/>
          <w:szCs w:val="28"/>
        </w:rPr>
        <w:t>音乐舞蹈专业为普高方向。</w:t>
      </w:r>
      <w:r>
        <w:rPr>
          <w:rFonts w:hint="eastAsia" w:asciiTheme="minorEastAsia" w:hAnsiTheme="minorEastAsia" w:eastAsiaTheme="minorEastAsia"/>
          <w:color w:val="auto"/>
          <w:sz w:val="28"/>
          <w:szCs w:val="28"/>
          <w:lang w:val="en-US" w:eastAsia="zh-CN"/>
        </w:rPr>
        <w:t>2020年</w:t>
      </w:r>
      <w:r>
        <w:rPr>
          <w:rFonts w:hint="eastAsia" w:asciiTheme="minorEastAsia" w:hAnsiTheme="minorEastAsia" w:eastAsiaTheme="minorEastAsia"/>
          <w:color w:val="auto"/>
          <w:sz w:val="28"/>
          <w:szCs w:val="28"/>
        </w:rPr>
        <w:t>工艺美术专业招生1</w:t>
      </w:r>
      <w:r>
        <w:rPr>
          <w:rFonts w:hint="eastAsia" w:asciiTheme="minorEastAsia" w:hAnsiTheme="minorEastAsia" w:eastAsiaTheme="minorEastAsia"/>
          <w:color w:val="auto"/>
          <w:sz w:val="28"/>
          <w:szCs w:val="28"/>
          <w:lang w:val="en-US" w:eastAsia="zh-CN"/>
        </w:rPr>
        <w:t>88</w:t>
      </w:r>
      <w:r>
        <w:rPr>
          <w:rFonts w:hint="eastAsia" w:asciiTheme="minorEastAsia" w:hAnsiTheme="minorEastAsia" w:eastAsiaTheme="minorEastAsia"/>
          <w:color w:val="auto"/>
          <w:sz w:val="28"/>
          <w:szCs w:val="28"/>
        </w:rPr>
        <w:t>人，学前教育专业招生32人，音乐舞蹈专业招生32人，报到率100%，本地区比例</w:t>
      </w:r>
      <w:r>
        <w:rPr>
          <w:rFonts w:hint="eastAsia" w:asciiTheme="minorEastAsia" w:hAnsiTheme="minorEastAsia" w:eastAsiaTheme="minorEastAsia"/>
          <w:color w:val="auto"/>
          <w:sz w:val="28"/>
          <w:szCs w:val="28"/>
          <w:lang w:val="en-US" w:eastAsia="zh-CN"/>
        </w:rPr>
        <w:t>97.2</w:t>
      </w:r>
      <w:r>
        <w:rPr>
          <w:rFonts w:hint="eastAsia" w:asciiTheme="minorEastAsia" w:hAnsiTheme="minorEastAsia" w:eastAsiaTheme="minorEastAsia"/>
          <w:color w:val="auto"/>
          <w:sz w:val="28"/>
          <w:szCs w:val="28"/>
        </w:rPr>
        <w:t>%；目前在校生6</w:t>
      </w:r>
      <w:r>
        <w:rPr>
          <w:rFonts w:hint="eastAsia" w:asciiTheme="minorEastAsia" w:hAnsiTheme="minorEastAsia" w:eastAsiaTheme="minorEastAsia"/>
          <w:color w:val="auto"/>
          <w:sz w:val="28"/>
          <w:szCs w:val="28"/>
          <w:lang w:val="en-US" w:eastAsia="zh-CN"/>
        </w:rPr>
        <w:t>79</w:t>
      </w:r>
      <w:r>
        <w:rPr>
          <w:rFonts w:hint="eastAsia" w:asciiTheme="minorEastAsia" w:hAnsiTheme="minorEastAsia" w:eastAsiaTheme="minorEastAsia"/>
          <w:color w:val="auto"/>
          <w:sz w:val="28"/>
          <w:szCs w:val="28"/>
        </w:rPr>
        <w:t>人，一年级2</w:t>
      </w:r>
      <w:r>
        <w:rPr>
          <w:rFonts w:hint="eastAsia" w:asciiTheme="minorEastAsia" w:hAnsiTheme="minorEastAsia" w:eastAsiaTheme="minorEastAsia"/>
          <w:color w:val="auto"/>
          <w:sz w:val="28"/>
          <w:szCs w:val="28"/>
          <w:lang w:val="en-US" w:eastAsia="zh-CN"/>
        </w:rPr>
        <w:t>51</w:t>
      </w:r>
      <w:r>
        <w:rPr>
          <w:rFonts w:hint="eastAsia" w:asciiTheme="minorEastAsia" w:hAnsiTheme="minorEastAsia" w:eastAsiaTheme="minorEastAsia"/>
          <w:color w:val="auto"/>
          <w:sz w:val="28"/>
          <w:szCs w:val="28"/>
        </w:rPr>
        <w:t>人，二年级2</w:t>
      </w:r>
      <w:r>
        <w:rPr>
          <w:rFonts w:hint="eastAsia" w:asciiTheme="minorEastAsia" w:hAnsiTheme="minorEastAsia" w:eastAsiaTheme="minorEastAsia"/>
          <w:color w:val="auto"/>
          <w:sz w:val="28"/>
          <w:szCs w:val="28"/>
          <w:lang w:val="en-US" w:eastAsia="zh-CN"/>
        </w:rPr>
        <w:t>01</w:t>
      </w:r>
      <w:r>
        <w:rPr>
          <w:rFonts w:hint="eastAsia" w:asciiTheme="minorEastAsia" w:hAnsiTheme="minorEastAsia" w:eastAsiaTheme="minorEastAsia"/>
          <w:color w:val="auto"/>
          <w:sz w:val="28"/>
          <w:szCs w:val="28"/>
        </w:rPr>
        <w:t>人，三年级2</w:t>
      </w:r>
      <w:r>
        <w:rPr>
          <w:rFonts w:hint="eastAsia" w:asciiTheme="minorEastAsia" w:hAnsiTheme="minorEastAsia" w:eastAsiaTheme="minorEastAsia"/>
          <w:color w:val="auto"/>
          <w:sz w:val="28"/>
          <w:szCs w:val="28"/>
          <w:lang w:val="en-US" w:eastAsia="zh-CN"/>
        </w:rPr>
        <w:t>27</w:t>
      </w:r>
      <w:r>
        <w:rPr>
          <w:rFonts w:hint="eastAsia" w:asciiTheme="minorEastAsia" w:hAnsiTheme="minorEastAsia" w:eastAsiaTheme="minorEastAsia"/>
          <w:color w:val="auto"/>
          <w:sz w:val="28"/>
          <w:szCs w:val="28"/>
        </w:rPr>
        <w:t>人，本省市</w:t>
      </w:r>
      <w:r>
        <w:rPr>
          <w:rFonts w:hint="eastAsia" w:asciiTheme="minorEastAsia" w:hAnsiTheme="minorEastAsia" w:eastAsiaTheme="minorEastAsia"/>
          <w:color w:val="auto"/>
          <w:sz w:val="28"/>
          <w:szCs w:val="28"/>
          <w:lang w:val="en-US" w:eastAsia="zh-CN"/>
        </w:rPr>
        <w:t>584</w:t>
      </w:r>
      <w:r>
        <w:rPr>
          <w:rFonts w:hint="eastAsia" w:asciiTheme="minorEastAsia" w:hAnsiTheme="minorEastAsia" w:eastAsiaTheme="minorEastAsia"/>
          <w:color w:val="auto"/>
          <w:sz w:val="28"/>
          <w:szCs w:val="28"/>
        </w:rPr>
        <w:t>人，所占比率</w:t>
      </w:r>
      <w:r>
        <w:rPr>
          <w:rFonts w:hint="eastAsia" w:asciiTheme="minorEastAsia" w:hAnsiTheme="minorEastAsia" w:eastAsiaTheme="minorEastAsia"/>
          <w:color w:val="auto"/>
          <w:sz w:val="28"/>
          <w:szCs w:val="28"/>
          <w:lang w:val="en-US" w:eastAsia="zh-CN"/>
        </w:rPr>
        <w:t>86</w:t>
      </w:r>
      <w:r>
        <w:rPr>
          <w:rFonts w:hint="eastAsia" w:asciiTheme="minorEastAsia" w:hAnsiTheme="minorEastAsia" w:eastAsiaTheme="minorEastAsia"/>
          <w:color w:val="auto"/>
          <w:sz w:val="28"/>
          <w:szCs w:val="28"/>
        </w:rPr>
        <w:t>%，其中五年一贯制学生9</w:t>
      </w:r>
      <w:r>
        <w:rPr>
          <w:rFonts w:hint="eastAsia" w:asciiTheme="minorEastAsia" w:hAnsiTheme="minorEastAsia" w:eastAsiaTheme="minorEastAsia"/>
          <w:color w:val="auto"/>
          <w:sz w:val="28"/>
          <w:szCs w:val="28"/>
          <w:lang w:val="en-US" w:eastAsia="zh-CN"/>
        </w:rPr>
        <w:t>4</w:t>
      </w:r>
      <w:r>
        <w:rPr>
          <w:rFonts w:hint="eastAsia" w:asciiTheme="minorEastAsia" w:hAnsiTheme="minorEastAsia" w:eastAsiaTheme="minorEastAsia"/>
          <w:color w:val="auto"/>
          <w:sz w:val="28"/>
          <w:szCs w:val="28"/>
        </w:rPr>
        <w:t>人；流失学生</w:t>
      </w:r>
      <w:r>
        <w:rPr>
          <w:rFonts w:hint="eastAsia" w:asciiTheme="minorEastAsia" w:hAnsiTheme="minorEastAsia" w:eastAsiaTheme="minorEastAsia"/>
          <w:color w:val="auto"/>
          <w:sz w:val="28"/>
          <w:szCs w:val="28"/>
          <w:lang w:val="en-US" w:eastAsia="zh-CN"/>
        </w:rPr>
        <w:t>8</w:t>
      </w:r>
      <w:r>
        <w:rPr>
          <w:rFonts w:hint="eastAsia" w:asciiTheme="minorEastAsia" w:hAnsiTheme="minorEastAsia" w:eastAsiaTheme="minorEastAsia"/>
          <w:color w:val="auto"/>
          <w:sz w:val="28"/>
          <w:szCs w:val="28"/>
        </w:rPr>
        <w:t>人，巩固率9</w:t>
      </w:r>
      <w:r>
        <w:rPr>
          <w:rFonts w:hint="eastAsia" w:asciiTheme="minorEastAsia" w:hAnsiTheme="minorEastAsia" w:eastAsiaTheme="minorEastAsia"/>
          <w:color w:val="auto"/>
          <w:sz w:val="28"/>
          <w:szCs w:val="28"/>
          <w:lang w:val="en-US" w:eastAsia="zh-CN"/>
        </w:rPr>
        <w:t>8</w:t>
      </w:r>
      <w:r>
        <w:rPr>
          <w:rFonts w:hint="eastAsia"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lang w:val="en-US" w:eastAsia="zh-CN"/>
        </w:rPr>
        <w:t>8</w:t>
      </w:r>
      <w:r>
        <w:rPr>
          <w:rFonts w:hint="eastAsia" w:asciiTheme="minorEastAsia" w:hAnsiTheme="minorEastAsia" w:eastAsiaTheme="minorEastAsia"/>
          <w:color w:val="auto"/>
          <w:sz w:val="28"/>
          <w:szCs w:val="28"/>
        </w:rPr>
        <w:t>%；与专业相关的社会技术培训</w:t>
      </w:r>
      <w:r>
        <w:rPr>
          <w:rFonts w:hint="eastAsia" w:asciiTheme="minorEastAsia" w:hAnsiTheme="minorEastAsia" w:eastAsiaTheme="minorEastAsia"/>
          <w:color w:val="auto"/>
          <w:sz w:val="28"/>
          <w:szCs w:val="28"/>
          <w:lang w:val="en-US" w:eastAsia="zh-CN"/>
        </w:rPr>
        <w:t>61</w:t>
      </w:r>
      <w:r>
        <w:rPr>
          <w:rFonts w:hint="eastAsia" w:asciiTheme="minorEastAsia" w:hAnsiTheme="minorEastAsia" w:eastAsiaTheme="minorEastAsia"/>
          <w:color w:val="auto"/>
          <w:sz w:val="28"/>
          <w:szCs w:val="28"/>
        </w:rPr>
        <w:t>（人天）。</w:t>
      </w:r>
    </w:p>
    <w:p>
      <w:pPr>
        <w:pStyle w:val="2"/>
        <w:spacing w:before="0" w:after="0"/>
        <w:ind w:firstLine="560" w:firstLineChars="200"/>
        <w:rPr>
          <w:b w:val="0"/>
          <w:color w:val="auto"/>
          <w:sz w:val="28"/>
          <w:szCs w:val="28"/>
        </w:rPr>
      </w:pPr>
      <w:bookmarkStart w:id="3" w:name="_Toc28958323"/>
      <w:bookmarkStart w:id="4" w:name="_Toc28958324"/>
      <w:r>
        <w:rPr>
          <w:rFonts w:hint="eastAsia"/>
          <w:b w:val="0"/>
          <w:color w:val="auto"/>
          <w:sz w:val="28"/>
          <w:szCs w:val="28"/>
        </w:rPr>
        <w:t>1.3教师队伍</w:t>
      </w:r>
      <w:bookmarkEnd w:id="3"/>
    </w:p>
    <w:p>
      <w:pPr>
        <w:pStyle w:val="11"/>
        <w:shd w:val="clear" w:color="auto" w:fill="FFFFFF"/>
        <w:adjustRightInd w:val="0"/>
        <w:snapToGrid w:val="0"/>
        <w:spacing w:before="0" w:beforeAutospacing="0" w:after="0" w:afterAutospacing="0" w:line="360" w:lineRule="auto"/>
        <w:ind w:firstLine="480"/>
        <w:rPr>
          <w:rFonts w:ascii="宋体" w:hAnsi="宋体" w:eastAsia="宋体"/>
          <w:color w:val="auto"/>
          <w:sz w:val="28"/>
          <w:szCs w:val="28"/>
        </w:rPr>
      </w:pPr>
      <w:r>
        <w:rPr>
          <w:rFonts w:hint="eastAsia" w:ascii="宋体" w:hAnsi="宋体" w:eastAsia="宋体"/>
          <w:color w:val="auto"/>
          <w:sz w:val="28"/>
          <w:szCs w:val="28"/>
        </w:rPr>
        <w:t>20</w:t>
      </w:r>
      <w:r>
        <w:rPr>
          <w:rFonts w:hint="eastAsia" w:ascii="宋体" w:hAnsi="宋体" w:eastAsia="宋体"/>
          <w:color w:val="auto"/>
          <w:sz w:val="28"/>
          <w:szCs w:val="28"/>
          <w:lang w:val="en-US" w:eastAsia="zh-CN"/>
        </w:rPr>
        <w:t>20</w:t>
      </w:r>
      <w:r>
        <w:rPr>
          <w:rFonts w:hint="eastAsia" w:ascii="宋体" w:hAnsi="宋体" w:eastAsia="宋体"/>
          <w:color w:val="auto"/>
          <w:sz w:val="28"/>
          <w:szCs w:val="28"/>
        </w:rPr>
        <w:t>年，学校有教职工8</w:t>
      </w:r>
      <w:r>
        <w:rPr>
          <w:rFonts w:hint="eastAsia" w:ascii="宋体" w:hAnsi="宋体" w:eastAsia="宋体"/>
          <w:color w:val="auto"/>
          <w:sz w:val="28"/>
          <w:szCs w:val="28"/>
          <w:lang w:val="en-US" w:eastAsia="zh-CN"/>
        </w:rPr>
        <w:t>8</w:t>
      </w:r>
      <w:r>
        <w:rPr>
          <w:rFonts w:hint="eastAsia" w:ascii="宋体" w:hAnsi="宋体" w:eastAsia="宋体"/>
          <w:color w:val="auto"/>
          <w:sz w:val="28"/>
          <w:szCs w:val="28"/>
        </w:rPr>
        <w:t>人，其中专任教师7</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人，校内兼课教师行政5人，校外兼课教师1人，工勤人员11人。专任教师中具有大学本科及以上学历的教师7</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人，占专任教师的100%。其中中高级职称</w:t>
      </w:r>
      <w:r>
        <w:rPr>
          <w:rFonts w:hint="eastAsia" w:ascii="宋体" w:hAnsi="宋体" w:eastAsia="宋体"/>
          <w:color w:val="auto"/>
          <w:sz w:val="28"/>
          <w:szCs w:val="28"/>
          <w:lang w:val="en-US" w:eastAsia="zh-CN"/>
        </w:rPr>
        <w:t>61</w:t>
      </w:r>
      <w:r>
        <w:rPr>
          <w:rFonts w:hint="eastAsia" w:ascii="宋体" w:hAnsi="宋体" w:eastAsia="宋体"/>
          <w:color w:val="auto"/>
          <w:sz w:val="28"/>
          <w:szCs w:val="28"/>
        </w:rPr>
        <w:t>人，占专任教师的</w:t>
      </w:r>
      <w:r>
        <w:rPr>
          <w:rFonts w:hint="eastAsia" w:ascii="宋体" w:hAnsi="宋体" w:eastAsia="宋体"/>
          <w:color w:val="auto"/>
          <w:sz w:val="28"/>
          <w:szCs w:val="28"/>
          <w:lang w:val="en-US" w:eastAsia="zh-CN"/>
        </w:rPr>
        <w:t>80.2</w:t>
      </w:r>
      <w:r>
        <w:rPr>
          <w:rFonts w:hint="eastAsia" w:ascii="宋体" w:hAnsi="宋体" w:eastAsia="宋体"/>
          <w:color w:val="auto"/>
          <w:sz w:val="28"/>
          <w:szCs w:val="28"/>
        </w:rPr>
        <w:t>%；研究生学历1</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人，占专任教师的</w:t>
      </w:r>
      <w:r>
        <w:rPr>
          <w:rFonts w:hint="eastAsia" w:ascii="宋体" w:hAnsi="宋体" w:eastAsia="宋体"/>
          <w:color w:val="auto"/>
          <w:sz w:val="28"/>
          <w:szCs w:val="28"/>
          <w:lang w:val="en-US" w:eastAsia="zh-CN"/>
        </w:rPr>
        <w:t>18.4</w:t>
      </w:r>
      <w:r>
        <w:rPr>
          <w:rFonts w:hint="eastAsia" w:ascii="宋体" w:hAnsi="宋体" w:eastAsia="宋体"/>
          <w:color w:val="auto"/>
          <w:sz w:val="28"/>
          <w:szCs w:val="28"/>
        </w:rPr>
        <w:t>%；“双师型”教师</w:t>
      </w:r>
      <w:r>
        <w:rPr>
          <w:rFonts w:hint="eastAsia" w:ascii="宋体" w:hAnsi="宋体" w:eastAsia="宋体"/>
          <w:color w:val="auto"/>
          <w:sz w:val="28"/>
          <w:szCs w:val="28"/>
          <w:lang w:val="en-US" w:eastAsia="zh-CN"/>
        </w:rPr>
        <w:t>58</w:t>
      </w:r>
      <w:r>
        <w:rPr>
          <w:rFonts w:hint="eastAsia" w:ascii="宋体" w:hAnsi="宋体" w:eastAsia="宋体"/>
          <w:color w:val="auto"/>
          <w:sz w:val="28"/>
          <w:szCs w:val="28"/>
        </w:rPr>
        <w:t>人，占专任教师的</w:t>
      </w:r>
      <w:r>
        <w:rPr>
          <w:rFonts w:hint="eastAsia" w:ascii="宋体" w:hAnsi="宋体" w:eastAsia="宋体"/>
          <w:color w:val="auto"/>
          <w:sz w:val="28"/>
          <w:szCs w:val="28"/>
          <w:lang w:val="en-US" w:eastAsia="zh-CN"/>
        </w:rPr>
        <w:t>76.3</w:t>
      </w:r>
      <w:r>
        <w:rPr>
          <w:rFonts w:hint="eastAsia" w:ascii="宋体" w:hAnsi="宋体" w:eastAsia="宋体"/>
          <w:color w:val="auto"/>
          <w:sz w:val="28"/>
          <w:szCs w:val="28"/>
        </w:rPr>
        <w:t>%，今年新调入毕业新教师</w:t>
      </w:r>
      <w:r>
        <w:rPr>
          <w:rFonts w:hint="eastAsia" w:ascii="宋体" w:hAnsi="宋体" w:eastAsia="宋体"/>
          <w:color w:val="auto"/>
          <w:sz w:val="28"/>
          <w:szCs w:val="28"/>
          <w:lang w:val="en-US" w:eastAsia="zh-CN"/>
        </w:rPr>
        <w:t>3</w:t>
      </w:r>
      <w:r>
        <w:rPr>
          <w:rFonts w:hint="eastAsia" w:ascii="宋体" w:hAnsi="宋体" w:eastAsia="宋体"/>
          <w:color w:val="auto"/>
          <w:sz w:val="28"/>
          <w:szCs w:val="28"/>
        </w:rPr>
        <w:t>人。</w:t>
      </w:r>
    </w:p>
    <w:p>
      <w:pPr>
        <w:pStyle w:val="11"/>
        <w:shd w:val="clear" w:color="auto" w:fill="FFFFFF"/>
        <w:adjustRightInd w:val="0"/>
        <w:snapToGrid w:val="0"/>
        <w:spacing w:before="0" w:beforeAutospacing="0" w:after="0" w:afterAutospacing="0" w:line="360" w:lineRule="auto"/>
        <w:ind w:firstLine="480"/>
        <w:rPr>
          <w:rFonts w:ascii="宋体" w:hAnsi="宋体" w:eastAsia="宋体"/>
          <w:color w:val="auto"/>
          <w:sz w:val="28"/>
          <w:szCs w:val="28"/>
        </w:rPr>
      </w:pPr>
      <w:r>
        <w:rPr>
          <w:rFonts w:hint="eastAsia" w:ascii="宋体" w:hAnsi="宋体" w:eastAsia="宋体"/>
          <w:color w:val="auto"/>
          <w:sz w:val="28"/>
          <w:szCs w:val="28"/>
        </w:rPr>
        <w:t>教师整体年龄结构偏大。学校根据“面向全体、培养青年、发展骨干、推出名师”的工作思路，以“定点定向培养、教学科研加压、专业技能引领”为举措。20</w:t>
      </w:r>
      <w:r>
        <w:rPr>
          <w:rFonts w:hint="eastAsia" w:ascii="宋体" w:hAnsi="宋体" w:eastAsia="宋体"/>
          <w:color w:val="auto"/>
          <w:sz w:val="28"/>
          <w:szCs w:val="28"/>
          <w:lang w:val="en-US" w:eastAsia="zh-CN"/>
        </w:rPr>
        <w:t>20</w:t>
      </w:r>
      <w:r>
        <w:rPr>
          <w:rFonts w:hint="eastAsia" w:ascii="宋体" w:hAnsi="宋体" w:eastAsia="宋体"/>
          <w:color w:val="auto"/>
          <w:sz w:val="28"/>
          <w:szCs w:val="28"/>
        </w:rPr>
        <w:t>年，学校选拔学科带头人2人，优秀教师2人，作为县级名师、骨干教师培养人选。</w:t>
      </w:r>
    </w:p>
    <w:p>
      <w:pPr>
        <w:pStyle w:val="2"/>
        <w:spacing w:before="0" w:after="0"/>
        <w:ind w:firstLine="560" w:firstLineChars="200"/>
        <w:rPr>
          <w:b w:val="0"/>
          <w:color w:val="auto"/>
          <w:sz w:val="28"/>
          <w:szCs w:val="28"/>
        </w:rPr>
      </w:pPr>
      <w:r>
        <w:rPr>
          <w:rFonts w:hint="eastAsia"/>
          <w:b w:val="0"/>
          <w:color w:val="auto"/>
          <w:sz w:val="28"/>
          <w:szCs w:val="28"/>
        </w:rPr>
        <w:t>1.4设施设备</w:t>
      </w:r>
      <w:bookmarkEnd w:id="4"/>
    </w:p>
    <w:p>
      <w:pPr>
        <w:pStyle w:val="11"/>
        <w:shd w:val="clear" w:color="auto" w:fill="FFFFFF"/>
        <w:adjustRightInd w:val="0"/>
        <w:snapToGrid w:val="0"/>
        <w:spacing w:before="0" w:beforeAutospacing="0" w:after="0" w:afterAutospacing="0" w:line="360" w:lineRule="auto"/>
        <w:ind w:firstLine="560" w:firstLineChars="200"/>
        <w:rPr>
          <w:rFonts w:asciiTheme="minorEastAsia" w:hAnsiTheme="minorEastAsia"/>
          <w:color w:val="auto"/>
          <w:sz w:val="28"/>
          <w:szCs w:val="28"/>
        </w:rPr>
      </w:pPr>
      <w:r>
        <w:rPr>
          <w:rFonts w:hint="eastAsia" w:asciiTheme="minorEastAsia" w:hAnsiTheme="minorEastAsia"/>
          <w:color w:val="auto"/>
          <w:sz w:val="28"/>
          <w:szCs w:val="28"/>
        </w:rPr>
        <w:t>学校各专业均有稳定的实训场所，实训设备总值达</w:t>
      </w:r>
      <w:r>
        <w:rPr>
          <w:rFonts w:hint="eastAsia" w:asciiTheme="minorEastAsia" w:hAnsiTheme="minorEastAsia"/>
          <w:color w:val="auto"/>
          <w:sz w:val="28"/>
          <w:szCs w:val="28"/>
          <w:lang w:val="en-US" w:eastAsia="zh-CN"/>
        </w:rPr>
        <w:t>866.8</w:t>
      </w:r>
      <w:r>
        <w:rPr>
          <w:rFonts w:hint="eastAsia" w:asciiTheme="minorEastAsia" w:hAnsiTheme="minorEastAsia"/>
          <w:color w:val="auto"/>
          <w:sz w:val="28"/>
          <w:szCs w:val="28"/>
        </w:rPr>
        <w:t>万元，今年新增实训设备</w:t>
      </w:r>
      <w:r>
        <w:rPr>
          <w:rFonts w:hint="eastAsia" w:asciiTheme="minorEastAsia" w:hAnsiTheme="minorEastAsia"/>
          <w:color w:val="auto"/>
          <w:sz w:val="28"/>
          <w:szCs w:val="28"/>
          <w:lang w:val="en-US" w:eastAsia="zh-CN"/>
        </w:rPr>
        <w:t>124.44</w:t>
      </w:r>
      <w:r>
        <w:rPr>
          <w:rFonts w:hint="eastAsia" w:asciiTheme="minorEastAsia" w:hAnsiTheme="minorEastAsia"/>
          <w:color w:val="auto"/>
          <w:sz w:val="28"/>
          <w:szCs w:val="28"/>
        </w:rPr>
        <w:t>万元，生均1.</w:t>
      </w:r>
      <w:r>
        <w:rPr>
          <w:rFonts w:hint="eastAsia" w:asciiTheme="minorEastAsia" w:hAnsiTheme="minorEastAsia"/>
          <w:color w:val="auto"/>
          <w:sz w:val="28"/>
          <w:szCs w:val="28"/>
          <w:lang w:val="en-US" w:eastAsia="zh-CN"/>
        </w:rPr>
        <w:t>2</w:t>
      </w:r>
      <w:r>
        <w:rPr>
          <w:rFonts w:hint="eastAsia" w:asciiTheme="minorEastAsia" w:hAnsiTheme="minorEastAsia"/>
          <w:color w:val="auto"/>
          <w:sz w:val="28"/>
          <w:szCs w:val="28"/>
        </w:rPr>
        <w:t>8万元，每个班级上课时实训工位数生均1台。图书共计33</w:t>
      </w:r>
      <w:r>
        <w:rPr>
          <w:rFonts w:hint="eastAsia" w:asciiTheme="minorEastAsia" w:hAnsiTheme="minorEastAsia"/>
          <w:color w:val="auto"/>
          <w:sz w:val="28"/>
          <w:szCs w:val="28"/>
          <w:lang w:val="en-US" w:eastAsia="zh-CN"/>
        </w:rPr>
        <w:t>3</w:t>
      </w:r>
      <w:r>
        <w:rPr>
          <w:rFonts w:hint="eastAsia" w:asciiTheme="minorEastAsia" w:hAnsiTheme="minorEastAsia"/>
          <w:color w:val="auto"/>
          <w:sz w:val="28"/>
          <w:szCs w:val="28"/>
        </w:rPr>
        <w:t>94册，新增专业图书</w:t>
      </w:r>
      <w:r>
        <w:rPr>
          <w:rFonts w:hint="eastAsia" w:asciiTheme="minorEastAsia" w:hAnsiTheme="minorEastAsia"/>
          <w:color w:val="auto"/>
          <w:sz w:val="28"/>
          <w:szCs w:val="28"/>
          <w:lang w:val="en-US" w:eastAsia="zh-CN"/>
        </w:rPr>
        <w:t>100</w:t>
      </w:r>
      <w:r>
        <w:rPr>
          <w:rFonts w:hint="eastAsia" w:asciiTheme="minorEastAsia" w:hAnsiTheme="minorEastAsia"/>
          <w:color w:val="auto"/>
          <w:sz w:val="28"/>
          <w:szCs w:val="28"/>
        </w:rPr>
        <w:t>册，共计</w:t>
      </w:r>
      <w:r>
        <w:rPr>
          <w:rFonts w:hint="eastAsia" w:asciiTheme="minorEastAsia" w:hAnsiTheme="minorEastAsia"/>
          <w:color w:val="auto"/>
          <w:sz w:val="28"/>
          <w:szCs w:val="28"/>
          <w:lang w:val="en-US" w:eastAsia="zh-CN"/>
        </w:rPr>
        <w:t>0</w:t>
      </w:r>
      <w:r>
        <w:rPr>
          <w:rFonts w:hint="eastAsia" w:asciiTheme="minorEastAsia" w:hAnsiTheme="minorEastAsia"/>
          <w:color w:val="auto"/>
          <w:sz w:val="28"/>
          <w:szCs w:val="28"/>
        </w:rPr>
        <w:t>.96万元，生均：</w:t>
      </w:r>
      <w:r>
        <w:rPr>
          <w:rFonts w:hint="eastAsia" w:asciiTheme="minorEastAsia" w:hAnsiTheme="minorEastAsia"/>
          <w:color w:val="auto"/>
          <w:sz w:val="28"/>
          <w:szCs w:val="28"/>
          <w:lang w:val="en-US" w:eastAsia="zh-CN"/>
        </w:rPr>
        <w:t>49.1</w:t>
      </w:r>
      <w:r>
        <w:rPr>
          <w:rFonts w:hint="eastAsia" w:asciiTheme="minorEastAsia" w:hAnsiTheme="minorEastAsia"/>
          <w:color w:val="auto"/>
          <w:sz w:val="28"/>
          <w:szCs w:val="28"/>
        </w:rPr>
        <w:t>本。有专门的图书管理人员，科学的信息化管理手段，较好地满足了全校师生的学习需求。</w:t>
      </w:r>
    </w:p>
    <w:p>
      <w:pPr>
        <w:pStyle w:val="12"/>
        <w:ind w:firstLine="562" w:firstLineChars="200"/>
        <w:jc w:val="left"/>
        <w:rPr>
          <w:color w:val="auto"/>
          <w:sz w:val="28"/>
          <w:szCs w:val="28"/>
        </w:rPr>
      </w:pPr>
      <w:bookmarkStart w:id="5" w:name="_Toc28958325"/>
      <w:r>
        <w:rPr>
          <w:rFonts w:hint="eastAsia"/>
          <w:color w:val="auto"/>
          <w:sz w:val="28"/>
          <w:szCs w:val="28"/>
        </w:rPr>
        <w:t>2.学生发展</w:t>
      </w:r>
      <w:bookmarkEnd w:id="5"/>
    </w:p>
    <w:p>
      <w:pPr>
        <w:pStyle w:val="2"/>
        <w:spacing w:before="0" w:after="0"/>
        <w:ind w:firstLine="560" w:firstLineChars="200"/>
        <w:rPr>
          <w:b w:val="0"/>
          <w:color w:val="auto"/>
          <w:sz w:val="28"/>
          <w:szCs w:val="28"/>
        </w:rPr>
      </w:pPr>
      <w:bookmarkStart w:id="6" w:name="_Toc28958326"/>
      <w:r>
        <w:rPr>
          <w:rFonts w:hint="eastAsia"/>
          <w:b w:val="0"/>
          <w:color w:val="auto"/>
          <w:sz w:val="28"/>
          <w:szCs w:val="28"/>
        </w:rPr>
        <w:t>2.1学生素质</w:t>
      </w:r>
      <w:bookmarkEnd w:id="6"/>
    </w:p>
    <w:p>
      <w:pPr>
        <w:pStyle w:val="3"/>
        <w:spacing w:before="0" w:after="0" w:line="240" w:lineRule="auto"/>
        <w:ind w:firstLine="560" w:firstLineChars="200"/>
        <w:rPr>
          <w:rFonts w:asciiTheme="minorEastAsia" w:hAnsiTheme="minorEastAsia" w:eastAsiaTheme="minorEastAsia"/>
          <w:b w:val="0"/>
          <w:color w:val="auto"/>
          <w:sz w:val="28"/>
          <w:szCs w:val="28"/>
        </w:rPr>
      </w:pPr>
      <w:bookmarkStart w:id="7" w:name="_Toc28958327"/>
      <w:r>
        <w:rPr>
          <w:rFonts w:hint="eastAsia" w:asciiTheme="minorEastAsia" w:hAnsiTheme="minorEastAsia" w:eastAsiaTheme="minorEastAsia"/>
          <w:b w:val="0"/>
          <w:color w:val="auto"/>
          <w:sz w:val="28"/>
          <w:szCs w:val="28"/>
        </w:rPr>
        <w:t>2.1.1思想政治状况</w:t>
      </w:r>
      <w:bookmarkEnd w:id="7"/>
    </w:p>
    <w:p>
      <w:pPr>
        <w:pStyle w:val="11"/>
        <w:shd w:val="clear" w:color="auto" w:fill="FFFFFF"/>
        <w:adjustRightInd w:val="0"/>
        <w:snapToGrid w:val="0"/>
        <w:spacing w:before="0" w:beforeAutospacing="0" w:after="0" w:afterAutospacing="0" w:line="360" w:lineRule="auto"/>
        <w:ind w:firstLine="560" w:firstLineChars="200"/>
        <w:rPr>
          <w:rFonts w:asciiTheme="minorEastAsia" w:hAnsiTheme="minorEastAsia"/>
          <w:color w:val="auto"/>
          <w:sz w:val="28"/>
          <w:szCs w:val="28"/>
        </w:rPr>
      </w:pPr>
      <w:r>
        <w:rPr>
          <w:rFonts w:hint="eastAsia" w:asciiTheme="minorEastAsia" w:hAnsiTheme="minorEastAsia"/>
          <w:color w:val="auto"/>
          <w:sz w:val="28"/>
          <w:szCs w:val="28"/>
        </w:rPr>
        <w:t>与普通高中学生相比，职校学生起点参差不齐，在学习、思想、行为习惯、个人素养等方面也存在着一定的差距。因此，学校一直以“崇德尚美”校训为指导，践行“育人为本”，创新德育管理，丰富德育、教育载体，培养学生对社会主义核心价值观的认同，学生总体思想积极、健康、向上，社会责任感和综合能力的不断提升。</w:t>
      </w:r>
    </w:p>
    <w:p>
      <w:pPr>
        <w:pStyle w:val="3"/>
        <w:spacing w:before="0" w:after="0" w:line="240" w:lineRule="auto"/>
        <w:ind w:firstLine="560" w:firstLineChars="200"/>
        <w:rPr>
          <w:rFonts w:asciiTheme="minorEastAsia" w:hAnsiTheme="minorEastAsia" w:eastAsiaTheme="minorEastAsia"/>
          <w:b w:val="0"/>
          <w:color w:val="auto"/>
          <w:sz w:val="28"/>
          <w:szCs w:val="28"/>
        </w:rPr>
      </w:pPr>
      <w:bookmarkStart w:id="8" w:name="_Toc28958328"/>
      <w:r>
        <w:rPr>
          <w:rFonts w:hint="eastAsia" w:asciiTheme="minorEastAsia" w:hAnsiTheme="minorEastAsia" w:eastAsiaTheme="minorEastAsia"/>
          <w:b w:val="0"/>
          <w:color w:val="auto"/>
          <w:sz w:val="28"/>
          <w:szCs w:val="28"/>
        </w:rPr>
        <w:t>2.1.2文化课合格率</w:t>
      </w:r>
      <w:bookmarkEnd w:id="8"/>
    </w:p>
    <w:p>
      <w:pPr>
        <w:pStyle w:val="11"/>
        <w:shd w:val="clear" w:color="auto" w:fill="FFFFFF"/>
        <w:adjustRightInd w:val="0"/>
        <w:snapToGrid w:val="0"/>
        <w:spacing w:before="0" w:beforeAutospacing="0" w:after="0" w:afterAutospacing="0" w:line="360" w:lineRule="auto"/>
        <w:ind w:firstLine="480"/>
        <w:rPr>
          <w:rFonts w:asciiTheme="minorEastAsia" w:hAnsiTheme="minorEastAsia"/>
          <w:color w:val="auto"/>
          <w:sz w:val="28"/>
          <w:szCs w:val="28"/>
        </w:rPr>
      </w:pPr>
      <w:r>
        <w:rPr>
          <w:rFonts w:hint="eastAsia" w:asciiTheme="minorEastAsia" w:hAnsiTheme="minorEastAsia" w:eastAsiaTheme="minorEastAsia"/>
          <w:color w:val="auto"/>
          <w:sz w:val="28"/>
          <w:szCs w:val="28"/>
        </w:rPr>
        <w:t>学校一直坚持“以质立校”,严格把控教学质量，学生全体参加湖州市会考，各科合格率均接近100%，其中高一普高美术方向学生参加20</w:t>
      </w:r>
      <w:r>
        <w:rPr>
          <w:rFonts w:hint="eastAsia" w:asciiTheme="minorEastAsia" w:hAnsiTheme="minorEastAsia" w:eastAsiaTheme="minorEastAsia"/>
          <w:color w:val="auto"/>
          <w:sz w:val="28"/>
          <w:szCs w:val="28"/>
          <w:lang w:val="en-US" w:eastAsia="zh-CN"/>
        </w:rPr>
        <w:t>20</w:t>
      </w:r>
      <w:r>
        <w:rPr>
          <w:rFonts w:hint="eastAsia" w:asciiTheme="minorEastAsia" w:hAnsiTheme="minorEastAsia" w:eastAsiaTheme="minorEastAsia"/>
          <w:color w:val="auto"/>
          <w:sz w:val="28"/>
          <w:szCs w:val="28"/>
        </w:rPr>
        <w:t>年浙江省普通学考选考，政治、历史、地理合格率均接近100%。</w:t>
      </w:r>
    </w:p>
    <w:p>
      <w:pPr>
        <w:pStyle w:val="3"/>
        <w:spacing w:before="0" w:after="0" w:line="240" w:lineRule="auto"/>
        <w:ind w:firstLine="560" w:firstLineChars="200"/>
        <w:rPr>
          <w:rFonts w:asciiTheme="minorEastAsia" w:hAnsiTheme="minorEastAsia" w:eastAsiaTheme="minorEastAsia"/>
          <w:b w:val="0"/>
          <w:color w:val="auto"/>
          <w:sz w:val="28"/>
          <w:szCs w:val="28"/>
        </w:rPr>
      </w:pPr>
      <w:bookmarkStart w:id="9" w:name="_Toc28958329"/>
      <w:r>
        <w:rPr>
          <w:rFonts w:hint="eastAsia" w:asciiTheme="minorEastAsia" w:hAnsiTheme="minorEastAsia" w:eastAsiaTheme="minorEastAsia"/>
          <w:b w:val="0"/>
          <w:color w:val="auto"/>
          <w:sz w:val="28"/>
          <w:szCs w:val="28"/>
        </w:rPr>
        <w:t>2.1.3专业技能合格率</w:t>
      </w:r>
      <w:bookmarkEnd w:id="9"/>
    </w:p>
    <w:p>
      <w:pPr>
        <w:pStyle w:val="11"/>
        <w:shd w:val="clear" w:color="auto" w:fill="FFFFFF"/>
        <w:adjustRightInd w:val="0"/>
        <w:snapToGrid w:val="0"/>
        <w:spacing w:before="0" w:beforeAutospacing="0" w:after="0" w:afterAutospacing="0" w:line="360" w:lineRule="auto"/>
        <w:ind w:firstLine="48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截至20</w:t>
      </w:r>
      <w:r>
        <w:rPr>
          <w:rFonts w:hint="eastAsia" w:asciiTheme="minorEastAsia" w:hAnsiTheme="minorEastAsia" w:eastAsiaTheme="minorEastAsia"/>
          <w:color w:val="auto"/>
          <w:sz w:val="28"/>
          <w:szCs w:val="28"/>
          <w:lang w:val="en-US" w:eastAsia="zh-CN"/>
        </w:rPr>
        <w:t>20</w:t>
      </w:r>
      <w:r>
        <w:rPr>
          <w:rFonts w:hint="eastAsia" w:asciiTheme="minorEastAsia" w:hAnsiTheme="minorEastAsia" w:eastAsiaTheme="minorEastAsia"/>
          <w:color w:val="auto"/>
          <w:sz w:val="28"/>
          <w:szCs w:val="28"/>
        </w:rPr>
        <w:t>年底，学校高三年级已有1</w:t>
      </w:r>
      <w:r>
        <w:rPr>
          <w:rFonts w:hint="eastAsia" w:asciiTheme="minorEastAsia" w:hAnsiTheme="minorEastAsia" w:eastAsiaTheme="minorEastAsia"/>
          <w:color w:val="auto"/>
          <w:sz w:val="28"/>
          <w:szCs w:val="28"/>
          <w:lang w:val="en-US" w:eastAsia="zh-CN"/>
        </w:rPr>
        <w:t>80</w:t>
      </w:r>
      <w:r>
        <w:rPr>
          <w:rFonts w:hint="eastAsia" w:asciiTheme="minorEastAsia" w:hAnsiTheme="minorEastAsia" w:eastAsiaTheme="minorEastAsia"/>
          <w:color w:val="auto"/>
          <w:sz w:val="28"/>
          <w:szCs w:val="28"/>
        </w:rPr>
        <w:t>人次参加20</w:t>
      </w:r>
      <w:r>
        <w:rPr>
          <w:rFonts w:hint="eastAsia" w:asciiTheme="minorEastAsia" w:hAnsiTheme="minorEastAsia" w:eastAsiaTheme="minorEastAsia"/>
          <w:color w:val="auto"/>
          <w:sz w:val="28"/>
          <w:szCs w:val="28"/>
          <w:lang w:val="en-US" w:eastAsia="zh-CN"/>
        </w:rPr>
        <w:t>21</w:t>
      </w:r>
      <w:r>
        <w:rPr>
          <w:rFonts w:hint="eastAsia" w:asciiTheme="minorEastAsia" w:hAnsiTheme="minorEastAsia" w:eastAsiaTheme="minorEastAsia"/>
          <w:color w:val="auto"/>
          <w:sz w:val="28"/>
          <w:szCs w:val="28"/>
        </w:rPr>
        <w:t>年浙江省各类专业技能高考，合格率为100%。其中，普高美术</w:t>
      </w:r>
      <w:r>
        <w:rPr>
          <w:rFonts w:hint="eastAsia" w:asciiTheme="minorEastAsia" w:hAnsiTheme="minorEastAsia" w:eastAsiaTheme="minorEastAsia"/>
          <w:color w:val="auto"/>
          <w:sz w:val="28"/>
          <w:szCs w:val="28"/>
          <w:lang w:val="en-US" w:eastAsia="zh-CN"/>
        </w:rPr>
        <w:t>118人参考，</w:t>
      </w:r>
      <w:r>
        <w:rPr>
          <w:rFonts w:hint="eastAsia" w:asciiTheme="minorEastAsia" w:hAnsiTheme="minorEastAsia" w:eastAsiaTheme="minorEastAsia"/>
          <w:color w:val="auto"/>
          <w:sz w:val="28"/>
          <w:szCs w:val="28"/>
        </w:rPr>
        <w:t>90分以上</w:t>
      </w:r>
      <w:r>
        <w:rPr>
          <w:rFonts w:hint="eastAsia" w:asciiTheme="minorEastAsia" w:hAnsiTheme="minorEastAsia" w:eastAsiaTheme="minorEastAsia"/>
          <w:color w:val="auto"/>
          <w:sz w:val="28"/>
          <w:szCs w:val="28"/>
          <w:lang w:val="en-US" w:eastAsia="zh-CN"/>
        </w:rPr>
        <w:t>5</w:t>
      </w:r>
      <w:r>
        <w:rPr>
          <w:rFonts w:hint="eastAsia" w:asciiTheme="minorEastAsia" w:hAnsiTheme="minorEastAsia" w:eastAsiaTheme="minorEastAsia"/>
          <w:color w:val="auto"/>
          <w:sz w:val="28"/>
          <w:szCs w:val="28"/>
        </w:rPr>
        <w:t>人， 80分以上9</w:t>
      </w:r>
      <w:r>
        <w:rPr>
          <w:rFonts w:hint="eastAsia" w:asciiTheme="minorEastAsia" w:hAnsiTheme="minorEastAsia" w:eastAsiaTheme="minorEastAsia"/>
          <w:color w:val="auto"/>
          <w:sz w:val="28"/>
          <w:szCs w:val="28"/>
          <w:lang w:val="en-US" w:eastAsia="zh-CN"/>
        </w:rPr>
        <w:t>5</w:t>
      </w:r>
      <w:r>
        <w:rPr>
          <w:rFonts w:hint="eastAsia" w:asciiTheme="minorEastAsia" w:hAnsiTheme="minorEastAsia" w:eastAsiaTheme="minorEastAsia"/>
          <w:color w:val="auto"/>
          <w:sz w:val="28"/>
          <w:szCs w:val="28"/>
        </w:rPr>
        <w:t>人占比近</w:t>
      </w:r>
      <w:r>
        <w:rPr>
          <w:rFonts w:hint="eastAsia" w:asciiTheme="minorEastAsia" w:hAnsiTheme="minorEastAsia" w:eastAsiaTheme="minorEastAsia"/>
          <w:color w:val="auto"/>
          <w:sz w:val="28"/>
          <w:szCs w:val="28"/>
          <w:lang w:val="en-US" w:eastAsia="zh-CN"/>
        </w:rPr>
        <w:t>80</w:t>
      </w:r>
      <w:r>
        <w:rPr>
          <w:rFonts w:hint="eastAsia"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lang w:eastAsia="zh-CN"/>
        </w:rPr>
        <w:t>均分</w:t>
      </w:r>
      <w:r>
        <w:rPr>
          <w:rFonts w:hint="eastAsia" w:asciiTheme="minorEastAsia" w:hAnsiTheme="minorEastAsia" w:eastAsiaTheme="minorEastAsia"/>
          <w:color w:val="auto"/>
          <w:sz w:val="28"/>
          <w:szCs w:val="28"/>
          <w:lang w:val="en-US" w:eastAsia="zh-CN"/>
        </w:rPr>
        <w:t>83分，</w:t>
      </w:r>
      <w:r>
        <w:rPr>
          <w:rFonts w:hint="eastAsia" w:asciiTheme="minorEastAsia" w:hAnsiTheme="minorEastAsia" w:eastAsiaTheme="minorEastAsia"/>
          <w:color w:val="auto"/>
          <w:sz w:val="28"/>
          <w:szCs w:val="28"/>
        </w:rPr>
        <w:t>省合格线为65分）。工艺美术</w:t>
      </w:r>
      <w:r>
        <w:rPr>
          <w:rFonts w:hint="eastAsia" w:asciiTheme="minorEastAsia" w:hAnsiTheme="minorEastAsia" w:eastAsiaTheme="minorEastAsia"/>
          <w:color w:val="auto"/>
          <w:sz w:val="28"/>
          <w:szCs w:val="28"/>
          <w:lang w:val="en-US" w:eastAsia="zh-CN"/>
        </w:rPr>
        <w:t>专业参考37人，</w:t>
      </w:r>
      <w:r>
        <w:rPr>
          <w:rFonts w:hint="eastAsia" w:asciiTheme="minorEastAsia" w:hAnsiTheme="minorEastAsia" w:eastAsiaTheme="minorEastAsia"/>
          <w:color w:val="auto"/>
          <w:sz w:val="28"/>
          <w:szCs w:val="28"/>
        </w:rPr>
        <w:t>最高分2</w:t>
      </w:r>
      <w:r>
        <w:rPr>
          <w:rFonts w:hint="eastAsia" w:asciiTheme="minorEastAsia" w:hAnsiTheme="minorEastAsia" w:eastAsiaTheme="minorEastAsia"/>
          <w:color w:val="auto"/>
          <w:sz w:val="28"/>
          <w:szCs w:val="28"/>
          <w:lang w:val="en-US" w:eastAsia="zh-CN"/>
        </w:rPr>
        <w:t>79</w:t>
      </w:r>
      <w:r>
        <w:rPr>
          <w:rFonts w:hint="eastAsia" w:asciiTheme="minorEastAsia" w:hAnsiTheme="minorEastAsia" w:eastAsiaTheme="minorEastAsia"/>
          <w:color w:val="auto"/>
          <w:sz w:val="28"/>
          <w:szCs w:val="28"/>
        </w:rPr>
        <w:t>分，260分以上1</w:t>
      </w:r>
      <w:r>
        <w:rPr>
          <w:rFonts w:hint="eastAsia" w:asciiTheme="minorEastAsia" w:hAnsiTheme="minorEastAsia" w:eastAsiaTheme="minorEastAsia"/>
          <w:color w:val="auto"/>
          <w:sz w:val="28"/>
          <w:szCs w:val="28"/>
          <w:lang w:val="en-US" w:eastAsia="zh-CN"/>
        </w:rPr>
        <w:t>5</w:t>
      </w:r>
      <w:r>
        <w:rPr>
          <w:rFonts w:hint="eastAsia" w:asciiTheme="minorEastAsia" w:hAnsiTheme="minorEastAsia" w:eastAsiaTheme="minorEastAsia"/>
          <w:color w:val="auto"/>
          <w:sz w:val="28"/>
          <w:szCs w:val="28"/>
        </w:rPr>
        <w:t>人，均分2</w:t>
      </w:r>
      <w:r>
        <w:rPr>
          <w:rFonts w:hint="eastAsia" w:asciiTheme="minorEastAsia" w:hAnsiTheme="minorEastAsia" w:eastAsiaTheme="minorEastAsia"/>
          <w:color w:val="auto"/>
          <w:sz w:val="28"/>
          <w:szCs w:val="28"/>
          <w:lang w:val="en-US" w:eastAsia="zh-CN"/>
        </w:rPr>
        <w:t>52</w:t>
      </w:r>
      <w:r>
        <w:rPr>
          <w:rFonts w:hint="eastAsia" w:asciiTheme="minorEastAsia" w:hAnsiTheme="minorEastAsia" w:eastAsiaTheme="minorEastAsia"/>
          <w:color w:val="auto"/>
          <w:sz w:val="28"/>
          <w:szCs w:val="28"/>
        </w:rPr>
        <w:t>分</w:t>
      </w:r>
      <w:r>
        <w:rPr>
          <w:rFonts w:hint="eastAsia" w:asciiTheme="minorEastAsia" w:hAnsiTheme="minorEastAsia" w:eastAsiaTheme="minorEastAsia"/>
          <w:color w:val="auto"/>
          <w:sz w:val="28"/>
          <w:szCs w:val="28"/>
          <w:lang w:eastAsia="zh-CN"/>
        </w:rPr>
        <w:t>，</w:t>
      </w:r>
      <w:r>
        <w:rPr>
          <w:rFonts w:hint="eastAsia" w:asciiTheme="minorEastAsia" w:hAnsiTheme="minorEastAsia" w:eastAsiaTheme="minorEastAsia"/>
          <w:color w:val="auto"/>
          <w:sz w:val="28"/>
          <w:szCs w:val="28"/>
          <w:lang w:val="en-US" w:eastAsia="zh-CN"/>
        </w:rPr>
        <w:t>后两项数据均创历年新高</w:t>
      </w:r>
      <w:r>
        <w:rPr>
          <w:rFonts w:hint="eastAsia"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lang w:eastAsia="zh-CN"/>
        </w:rPr>
        <w:t>音乐舞蹈</w:t>
      </w:r>
      <w:r>
        <w:rPr>
          <w:rFonts w:hint="eastAsia" w:asciiTheme="minorEastAsia" w:hAnsiTheme="minorEastAsia" w:eastAsiaTheme="minorEastAsia"/>
          <w:color w:val="auto"/>
          <w:sz w:val="28"/>
          <w:szCs w:val="28"/>
          <w:lang w:val="en-US" w:eastAsia="zh-CN"/>
        </w:rPr>
        <w:t>专业参考25人，</w:t>
      </w:r>
      <w:r>
        <w:rPr>
          <w:rFonts w:hint="eastAsia" w:asciiTheme="minorEastAsia" w:hAnsiTheme="minorEastAsia" w:eastAsiaTheme="minorEastAsia"/>
          <w:color w:val="auto"/>
          <w:sz w:val="28"/>
          <w:szCs w:val="28"/>
        </w:rPr>
        <w:t>最高分</w:t>
      </w:r>
      <w:r>
        <w:rPr>
          <w:rFonts w:hint="eastAsia" w:asciiTheme="minorEastAsia" w:hAnsiTheme="minorEastAsia" w:eastAsiaTheme="minorEastAsia"/>
          <w:color w:val="auto"/>
          <w:sz w:val="28"/>
          <w:szCs w:val="28"/>
          <w:lang w:val="en-US" w:eastAsia="zh-CN"/>
        </w:rPr>
        <w:t>82分</w:t>
      </w:r>
      <w:r>
        <w:rPr>
          <w:rFonts w:hint="eastAsia"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lang w:val="en-US" w:eastAsia="zh-CN"/>
        </w:rPr>
        <w:t>70</w:t>
      </w:r>
      <w:r>
        <w:rPr>
          <w:rFonts w:hint="eastAsia" w:asciiTheme="minorEastAsia" w:hAnsiTheme="minorEastAsia" w:eastAsiaTheme="minorEastAsia"/>
          <w:color w:val="auto"/>
          <w:sz w:val="28"/>
          <w:szCs w:val="28"/>
        </w:rPr>
        <w:t>分以上12人</w:t>
      </w:r>
      <w:r>
        <w:rPr>
          <w:rFonts w:hint="eastAsia" w:asciiTheme="minorEastAsia" w:hAnsiTheme="minorEastAsia" w:eastAsiaTheme="minorEastAsia"/>
          <w:color w:val="auto"/>
          <w:sz w:val="28"/>
          <w:szCs w:val="28"/>
          <w:lang w:eastAsia="zh-CN"/>
        </w:rPr>
        <w:t>（省合格线</w:t>
      </w:r>
      <w:r>
        <w:rPr>
          <w:rFonts w:hint="eastAsia" w:asciiTheme="minorEastAsia" w:hAnsiTheme="minorEastAsia" w:eastAsiaTheme="minorEastAsia"/>
          <w:color w:val="auto"/>
          <w:sz w:val="28"/>
          <w:szCs w:val="28"/>
          <w:lang w:val="en-US" w:eastAsia="zh-CN"/>
        </w:rPr>
        <w:t>55分</w:t>
      </w:r>
      <w:r>
        <w:rPr>
          <w:rFonts w:hint="eastAsia" w:asciiTheme="minorEastAsia" w:hAnsiTheme="minorEastAsia" w:eastAsiaTheme="minorEastAsia"/>
          <w:color w:val="auto"/>
          <w:sz w:val="28"/>
          <w:szCs w:val="28"/>
          <w:lang w:eastAsia="zh-CN"/>
        </w:rPr>
        <w:t>）</w:t>
      </w:r>
      <w:r>
        <w:rPr>
          <w:rFonts w:hint="eastAsia" w:asciiTheme="minorEastAsia" w:hAnsiTheme="minorEastAsia" w:eastAsiaTheme="minorEastAsia"/>
          <w:color w:val="auto"/>
          <w:sz w:val="28"/>
          <w:szCs w:val="28"/>
        </w:rPr>
        <w:t>。</w:t>
      </w:r>
    </w:p>
    <w:p>
      <w:pPr>
        <w:pStyle w:val="3"/>
        <w:spacing w:before="0" w:after="0" w:line="240" w:lineRule="auto"/>
        <w:ind w:firstLine="560" w:firstLineChars="200"/>
        <w:rPr>
          <w:rFonts w:asciiTheme="minorEastAsia" w:hAnsiTheme="minorEastAsia" w:eastAsiaTheme="minorEastAsia"/>
          <w:b w:val="0"/>
          <w:color w:val="auto"/>
          <w:sz w:val="28"/>
          <w:szCs w:val="28"/>
        </w:rPr>
      </w:pPr>
      <w:bookmarkStart w:id="10" w:name="_Toc28958330"/>
      <w:r>
        <w:rPr>
          <w:rFonts w:hint="eastAsia" w:asciiTheme="minorEastAsia" w:hAnsiTheme="minorEastAsia" w:eastAsiaTheme="minorEastAsia"/>
          <w:b w:val="0"/>
          <w:color w:val="auto"/>
          <w:sz w:val="28"/>
          <w:szCs w:val="28"/>
        </w:rPr>
        <w:t>2.1.4体质测评合格率</w:t>
      </w:r>
      <w:bookmarkEnd w:id="10"/>
    </w:p>
    <w:p>
      <w:pPr>
        <w:pStyle w:val="11"/>
        <w:shd w:val="clear" w:color="auto" w:fill="FFFFFF"/>
        <w:adjustRightInd w:val="0"/>
        <w:snapToGrid w:val="0"/>
        <w:spacing w:before="0" w:beforeAutospacing="0" w:after="0" w:afterAutospacing="0"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学校严格按照《国家学生体质健康标准（2014年修订）》文件精神，所有学生参与体质测试，对免测、退学和休学的同学做好信息核对、证明材料的备案和审核工作。为了得到测试数据的真实性，学校统一测试，成绩统一管理和上报。20</w:t>
      </w:r>
      <w:r>
        <w:rPr>
          <w:rFonts w:hint="eastAsia" w:asciiTheme="minorEastAsia" w:hAnsiTheme="minorEastAsia" w:eastAsiaTheme="minorEastAsia"/>
          <w:color w:val="auto"/>
          <w:sz w:val="28"/>
          <w:szCs w:val="28"/>
          <w:lang w:val="en-US" w:eastAsia="zh-CN"/>
        </w:rPr>
        <w:t>20</w:t>
      </w:r>
      <w:r>
        <w:rPr>
          <w:rFonts w:hint="eastAsia" w:asciiTheme="minorEastAsia" w:hAnsiTheme="minorEastAsia" w:eastAsiaTheme="minorEastAsia"/>
          <w:color w:val="auto"/>
          <w:sz w:val="28"/>
          <w:szCs w:val="28"/>
        </w:rPr>
        <w:t>年我校应上报人数为6</w:t>
      </w:r>
      <w:r>
        <w:rPr>
          <w:rFonts w:hint="eastAsia" w:asciiTheme="minorEastAsia" w:hAnsiTheme="minorEastAsia" w:eastAsiaTheme="minorEastAsia"/>
          <w:color w:val="auto"/>
          <w:sz w:val="28"/>
          <w:szCs w:val="28"/>
          <w:lang w:val="en-US" w:eastAsia="zh-CN"/>
        </w:rPr>
        <w:t>8</w:t>
      </w:r>
      <w:r>
        <w:rPr>
          <w:rFonts w:hint="eastAsia" w:asciiTheme="minorEastAsia" w:hAnsiTheme="minorEastAsia" w:eastAsiaTheme="minorEastAsia"/>
          <w:color w:val="auto"/>
          <w:sz w:val="28"/>
          <w:szCs w:val="28"/>
        </w:rPr>
        <w:t>6人，实上报人数为6</w:t>
      </w:r>
      <w:r>
        <w:rPr>
          <w:rFonts w:hint="eastAsia" w:asciiTheme="minorEastAsia" w:hAnsiTheme="minorEastAsia" w:eastAsiaTheme="minorEastAsia"/>
          <w:color w:val="auto"/>
          <w:sz w:val="28"/>
          <w:szCs w:val="28"/>
          <w:lang w:val="en-US" w:eastAsia="zh-CN"/>
        </w:rPr>
        <w:t>70</w:t>
      </w:r>
      <w:r>
        <w:rPr>
          <w:rFonts w:hint="eastAsia" w:asciiTheme="minorEastAsia" w:hAnsiTheme="minorEastAsia" w:eastAsiaTheme="minorEastAsia"/>
          <w:color w:val="auto"/>
          <w:sz w:val="28"/>
          <w:szCs w:val="28"/>
        </w:rPr>
        <w:t>人，其中免测1</w:t>
      </w:r>
      <w:r>
        <w:rPr>
          <w:rFonts w:hint="eastAsia" w:asciiTheme="minorEastAsia" w:hAnsiTheme="minorEastAsia" w:eastAsiaTheme="minorEastAsia"/>
          <w:color w:val="auto"/>
          <w:sz w:val="28"/>
          <w:szCs w:val="28"/>
          <w:lang w:val="en-US" w:eastAsia="zh-CN"/>
        </w:rPr>
        <w:t>6</w:t>
      </w:r>
      <w:r>
        <w:rPr>
          <w:rFonts w:hint="eastAsia" w:asciiTheme="minorEastAsia" w:hAnsiTheme="minorEastAsia" w:eastAsiaTheme="minorEastAsia"/>
          <w:color w:val="auto"/>
          <w:sz w:val="28"/>
          <w:szCs w:val="28"/>
        </w:rPr>
        <w:t>人。合格率为100%，比20</w:t>
      </w:r>
      <w:r>
        <w:rPr>
          <w:rFonts w:hint="eastAsia" w:asciiTheme="minorEastAsia" w:hAnsiTheme="minorEastAsia" w:eastAsiaTheme="minorEastAsia"/>
          <w:color w:val="auto"/>
          <w:sz w:val="28"/>
          <w:szCs w:val="28"/>
          <w:lang w:val="en-US" w:eastAsia="zh-CN"/>
        </w:rPr>
        <w:t>19</w:t>
      </w:r>
      <w:r>
        <w:rPr>
          <w:rFonts w:hint="eastAsia" w:asciiTheme="minorEastAsia" w:hAnsiTheme="minorEastAsia" w:eastAsiaTheme="minorEastAsia"/>
          <w:color w:val="auto"/>
          <w:sz w:val="28"/>
          <w:szCs w:val="28"/>
        </w:rPr>
        <w:t>年</w:t>
      </w:r>
      <w:r>
        <w:rPr>
          <w:rFonts w:hint="eastAsia" w:asciiTheme="minorEastAsia" w:hAnsiTheme="minorEastAsia" w:eastAsiaTheme="minorEastAsia"/>
          <w:color w:val="auto"/>
          <w:sz w:val="28"/>
          <w:szCs w:val="28"/>
          <w:lang w:eastAsia="zh-CN"/>
        </w:rPr>
        <w:t>基本</w:t>
      </w:r>
      <w:r>
        <w:rPr>
          <w:rFonts w:hint="eastAsia" w:asciiTheme="minorEastAsia" w:hAnsiTheme="minorEastAsia" w:eastAsiaTheme="minorEastAsia"/>
          <w:color w:val="auto"/>
          <w:sz w:val="28"/>
          <w:szCs w:val="28"/>
        </w:rPr>
        <w:t>保持平衡。</w:t>
      </w:r>
    </w:p>
    <w:p>
      <w:pPr>
        <w:pStyle w:val="3"/>
        <w:spacing w:before="0" w:after="0" w:line="240" w:lineRule="auto"/>
        <w:ind w:firstLine="560" w:firstLineChars="200"/>
        <w:rPr>
          <w:rFonts w:asciiTheme="minorEastAsia" w:hAnsiTheme="minorEastAsia" w:eastAsiaTheme="minorEastAsia"/>
          <w:b w:val="0"/>
          <w:color w:val="auto"/>
          <w:sz w:val="28"/>
          <w:szCs w:val="28"/>
        </w:rPr>
      </w:pPr>
      <w:bookmarkStart w:id="11" w:name="_Toc28958331"/>
      <w:r>
        <w:rPr>
          <w:rFonts w:hint="eastAsia" w:asciiTheme="minorEastAsia" w:hAnsiTheme="minorEastAsia" w:eastAsiaTheme="minorEastAsia"/>
          <w:b w:val="0"/>
          <w:color w:val="auto"/>
          <w:sz w:val="28"/>
          <w:szCs w:val="28"/>
        </w:rPr>
        <w:t>2.1.5毕业率</w:t>
      </w:r>
      <w:bookmarkEnd w:id="11"/>
    </w:p>
    <w:p>
      <w:pPr>
        <w:pStyle w:val="11"/>
        <w:shd w:val="clear" w:color="auto" w:fill="FFFFFF"/>
        <w:adjustRightInd w:val="0"/>
        <w:snapToGrid w:val="0"/>
        <w:spacing w:before="0" w:beforeAutospacing="0" w:after="0" w:afterAutospacing="0" w:line="360" w:lineRule="auto"/>
        <w:ind w:firstLine="48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20</w:t>
      </w:r>
      <w:r>
        <w:rPr>
          <w:rFonts w:hint="eastAsia" w:asciiTheme="minorEastAsia" w:hAnsiTheme="minorEastAsia" w:eastAsiaTheme="minorEastAsia"/>
          <w:color w:val="auto"/>
          <w:sz w:val="28"/>
          <w:szCs w:val="28"/>
          <w:lang w:val="en-US" w:eastAsia="zh-CN"/>
        </w:rPr>
        <w:t>20</w:t>
      </w:r>
      <w:r>
        <w:rPr>
          <w:rFonts w:hint="eastAsia" w:asciiTheme="minorEastAsia" w:hAnsiTheme="minorEastAsia" w:eastAsiaTheme="minorEastAsia"/>
          <w:color w:val="auto"/>
          <w:sz w:val="28"/>
          <w:szCs w:val="28"/>
        </w:rPr>
        <w:t>年学校毕业生数为2</w:t>
      </w:r>
      <w:r>
        <w:rPr>
          <w:rFonts w:hint="eastAsia" w:asciiTheme="minorEastAsia" w:hAnsiTheme="minorEastAsia" w:eastAsiaTheme="minorEastAsia"/>
          <w:color w:val="auto"/>
          <w:sz w:val="28"/>
          <w:szCs w:val="28"/>
          <w:lang w:val="en-US" w:eastAsia="zh-CN"/>
        </w:rPr>
        <w:t>38</w:t>
      </w:r>
      <w:r>
        <w:rPr>
          <w:rFonts w:hint="eastAsia" w:asciiTheme="minorEastAsia" w:hAnsiTheme="minorEastAsia" w:eastAsiaTheme="minorEastAsia"/>
          <w:color w:val="auto"/>
          <w:sz w:val="28"/>
          <w:szCs w:val="28"/>
        </w:rPr>
        <w:t>人，毕业率达到100%。</w:t>
      </w:r>
    </w:p>
    <w:p>
      <w:pPr>
        <w:pStyle w:val="2"/>
        <w:spacing w:before="0" w:after="0"/>
        <w:ind w:firstLine="560" w:firstLineChars="200"/>
        <w:rPr>
          <w:b w:val="0"/>
          <w:color w:val="auto"/>
          <w:sz w:val="28"/>
          <w:szCs w:val="28"/>
        </w:rPr>
      </w:pPr>
      <w:bookmarkStart w:id="12" w:name="_Toc28958332"/>
      <w:r>
        <w:rPr>
          <w:rFonts w:hint="eastAsia"/>
          <w:b w:val="0"/>
          <w:color w:val="auto"/>
          <w:sz w:val="28"/>
          <w:szCs w:val="28"/>
        </w:rPr>
        <w:t>2.2在校体验。</w:t>
      </w:r>
      <w:bookmarkEnd w:id="12"/>
    </w:p>
    <w:p>
      <w:pPr>
        <w:pStyle w:val="3"/>
        <w:spacing w:before="0" w:after="0" w:line="240" w:lineRule="auto"/>
        <w:ind w:firstLine="560" w:firstLineChars="200"/>
        <w:rPr>
          <w:rFonts w:asciiTheme="minorEastAsia" w:hAnsiTheme="minorEastAsia" w:eastAsiaTheme="minorEastAsia"/>
          <w:b w:val="0"/>
          <w:color w:val="auto"/>
          <w:sz w:val="28"/>
          <w:szCs w:val="28"/>
        </w:rPr>
      </w:pPr>
      <w:bookmarkStart w:id="13" w:name="_Toc28958333"/>
      <w:r>
        <w:rPr>
          <w:rFonts w:hint="eastAsia" w:asciiTheme="minorEastAsia" w:hAnsiTheme="minorEastAsia" w:eastAsiaTheme="minorEastAsia"/>
          <w:b w:val="0"/>
          <w:color w:val="auto"/>
          <w:sz w:val="28"/>
          <w:szCs w:val="28"/>
        </w:rPr>
        <w:t>2.2.1在校生满意度</w:t>
      </w:r>
      <w:bookmarkEnd w:id="13"/>
    </w:p>
    <w:p>
      <w:pPr>
        <w:pStyle w:val="11"/>
        <w:shd w:val="clear" w:color="auto" w:fill="FFFFFF"/>
        <w:adjustRightInd w:val="0"/>
        <w:snapToGrid w:val="0"/>
        <w:spacing w:before="0" w:beforeAutospacing="0" w:after="0" w:afterAutospacing="0" w:line="360" w:lineRule="auto"/>
        <w:ind w:firstLine="560" w:firstLineChars="200"/>
        <w:rPr>
          <w:rFonts w:asciiTheme="minorEastAsia" w:hAnsiTheme="minorEastAsia"/>
          <w:color w:val="auto"/>
          <w:sz w:val="28"/>
          <w:szCs w:val="28"/>
        </w:rPr>
      </w:pPr>
      <w:r>
        <w:rPr>
          <w:rFonts w:hint="eastAsia" w:asciiTheme="minorEastAsia" w:hAnsiTheme="minorEastAsia"/>
          <w:color w:val="auto"/>
          <w:sz w:val="28"/>
          <w:szCs w:val="28"/>
        </w:rPr>
        <w:t>20</w:t>
      </w:r>
      <w:r>
        <w:rPr>
          <w:rFonts w:hint="eastAsia" w:asciiTheme="minorEastAsia" w:hAnsiTheme="minorEastAsia"/>
          <w:color w:val="auto"/>
          <w:sz w:val="28"/>
          <w:szCs w:val="28"/>
          <w:lang w:val="en-US" w:eastAsia="zh-CN"/>
        </w:rPr>
        <w:t>20</w:t>
      </w:r>
      <w:r>
        <w:rPr>
          <w:rFonts w:hint="eastAsia" w:asciiTheme="minorEastAsia" w:hAnsiTheme="minorEastAsia"/>
          <w:color w:val="auto"/>
          <w:sz w:val="28"/>
          <w:szCs w:val="28"/>
        </w:rPr>
        <w:t>年，</w:t>
      </w:r>
      <w:r>
        <w:rPr>
          <w:rFonts w:hint="eastAsia" w:asciiTheme="minorEastAsia" w:hAnsiTheme="minorEastAsia"/>
          <w:color w:val="auto"/>
          <w:sz w:val="28"/>
          <w:szCs w:val="28"/>
          <w:lang w:eastAsia="zh-CN"/>
        </w:rPr>
        <w:t>学校实行候课制度，提高教学效率，</w:t>
      </w:r>
      <w:r>
        <w:rPr>
          <w:rFonts w:hint="eastAsia" w:asciiTheme="minorEastAsia" w:hAnsiTheme="minorEastAsia"/>
          <w:color w:val="auto"/>
          <w:sz w:val="28"/>
          <w:szCs w:val="28"/>
        </w:rPr>
        <w:t>学生对教师教学水平满意度</w:t>
      </w:r>
      <w:r>
        <w:rPr>
          <w:rFonts w:hint="eastAsia" w:asciiTheme="minorEastAsia" w:hAnsiTheme="minorEastAsia"/>
          <w:color w:val="auto"/>
          <w:sz w:val="28"/>
          <w:szCs w:val="28"/>
          <w:lang w:eastAsia="zh-CN"/>
        </w:rPr>
        <w:t>进一步提</w:t>
      </w:r>
      <w:r>
        <w:rPr>
          <w:rFonts w:hint="eastAsia" w:asciiTheme="minorEastAsia" w:hAnsiTheme="minorEastAsia"/>
          <w:color w:val="auto"/>
          <w:sz w:val="28"/>
          <w:szCs w:val="28"/>
        </w:rPr>
        <w:t>高。学校</w:t>
      </w:r>
      <w:r>
        <w:rPr>
          <w:rFonts w:hint="eastAsia" w:asciiTheme="minorEastAsia" w:hAnsiTheme="minorEastAsia"/>
          <w:color w:val="auto"/>
          <w:sz w:val="28"/>
          <w:szCs w:val="28"/>
          <w:lang w:eastAsia="zh-CN"/>
        </w:rPr>
        <w:t>每年</w:t>
      </w:r>
      <w:r>
        <w:rPr>
          <w:rFonts w:hint="eastAsia" w:asciiTheme="minorEastAsia" w:hAnsiTheme="minorEastAsia"/>
          <w:color w:val="auto"/>
          <w:sz w:val="28"/>
          <w:szCs w:val="28"/>
        </w:rPr>
        <w:t>开展艺术节、</w:t>
      </w:r>
      <w:r>
        <w:rPr>
          <w:rFonts w:hint="eastAsia" w:asciiTheme="minorEastAsia" w:hAnsiTheme="minorEastAsia"/>
          <w:color w:val="auto"/>
          <w:sz w:val="28"/>
          <w:szCs w:val="28"/>
          <w:lang w:eastAsia="zh-CN"/>
        </w:rPr>
        <w:t>田径运动会</w:t>
      </w:r>
      <w:r>
        <w:rPr>
          <w:rFonts w:hint="eastAsia" w:asciiTheme="minorEastAsia" w:hAnsiTheme="minorEastAsia"/>
          <w:color w:val="auto"/>
          <w:sz w:val="28"/>
          <w:szCs w:val="28"/>
        </w:rPr>
        <w:t>、阳光运动会</w:t>
      </w:r>
      <w:r>
        <w:rPr>
          <w:rFonts w:hint="eastAsia" w:asciiTheme="minorEastAsia" w:hAnsiTheme="minorEastAsia"/>
          <w:color w:val="auto"/>
          <w:sz w:val="28"/>
          <w:szCs w:val="28"/>
          <w:lang w:eastAsia="zh-CN"/>
        </w:rPr>
        <w:t>以及各种单项体育活动</w:t>
      </w:r>
      <w:r>
        <w:rPr>
          <w:rFonts w:hint="eastAsia" w:asciiTheme="minorEastAsia" w:hAnsiTheme="minorEastAsia"/>
          <w:color w:val="auto"/>
          <w:sz w:val="28"/>
          <w:szCs w:val="28"/>
        </w:rPr>
        <w:t>和</w:t>
      </w:r>
      <w:r>
        <w:rPr>
          <w:rFonts w:hint="eastAsia" w:asciiTheme="minorEastAsia" w:hAnsiTheme="minorEastAsia"/>
          <w:color w:val="auto"/>
          <w:sz w:val="28"/>
          <w:szCs w:val="28"/>
          <w:lang w:eastAsia="zh-CN"/>
        </w:rPr>
        <w:t>各类</w:t>
      </w:r>
      <w:r>
        <w:rPr>
          <w:rFonts w:hint="eastAsia" w:asciiTheme="minorEastAsia" w:hAnsiTheme="minorEastAsia"/>
          <w:color w:val="auto"/>
          <w:sz w:val="28"/>
          <w:szCs w:val="28"/>
        </w:rPr>
        <w:t>社团活动，</w:t>
      </w:r>
      <w:r>
        <w:rPr>
          <w:rFonts w:hint="eastAsia" w:asciiTheme="minorEastAsia" w:hAnsiTheme="minorEastAsia"/>
          <w:color w:val="auto"/>
          <w:sz w:val="28"/>
          <w:szCs w:val="28"/>
          <w:lang w:eastAsia="zh-CN"/>
        </w:rPr>
        <w:t>今年学校专门制定体艺、技能工作计划，确保各项活动如期开展，更大程度的</w:t>
      </w:r>
      <w:r>
        <w:rPr>
          <w:rFonts w:hint="eastAsia" w:asciiTheme="minorEastAsia" w:hAnsiTheme="minorEastAsia"/>
          <w:color w:val="auto"/>
          <w:sz w:val="28"/>
          <w:szCs w:val="28"/>
        </w:rPr>
        <w:t>丰富学生校园生活，学生满意度</w:t>
      </w:r>
      <w:r>
        <w:rPr>
          <w:rFonts w:hint="eastAsia" w:asciiTheme="minorEastAsia" w:hAnsiTheme="minorEastAsia"/>
          <w:color w:val="auto"/>
          <w:sz w:val="28"/>
          <w:szCs w:val="28"/>
          <w:lang w:eastAsia="zh-CN"/>
        </w:rPr>
        <w:t>进一步提高</w:t>
      </w:r>
      <w:r>
        <w:rPr>
          <w:rFonts w:hint="eastAsia" w:asciiTheme="minorEastAsia" w:hAnsiTheme="minorEastAsia"/>
          <w:color w:val="auto"/>
          <w:sz w:val="28"/>
          <w:szCs w:val="28"/>
        </w:rPr>
        <w:t>。学校通过下发问卷调查表对在校生的在校感受进行了不记名调查，抽取不同年段、不同班级的200份调查表进行统计分析，满意度平均达到9</w:t>
      </w:r>
      <w:r>
        <w:rPr>
          <w:rFonts w:hint="eastAsia" w:asciiTheme="minorEastAsia" w:hAnsiTheme="minorEastAsia"/>
          <w:color w:val="auto"/>
          <w:sz w:val="28"/>
          <w:szCs w:val="28"/>
          <w:lang w:val="en-US" w:eastAsia="zh-CN"/>
        </w:rPr>
        <w:t>8</w:t>
      </w:r>
      <w:r>
        <w:rPr>
          <w:rFonts w:hint="eastAsia" w:asciiTheme="minorEastAsia" w:hAnsiTheme="minorEastAsia"/>
          <w:color w:val="auto"/>
          <w:sz w:val="28"/>
          <w:szCs w:val="28"/>
        </w:rPr>
        <w:t>.</w:t>
      </w:r>
      <w:r>
        <w:rPr>
          <w:rFonts w:hint="eastAsia" w:asciiTheme="minorEastAsia" w:hAnsiTheme="minorEastAsia"/>
          <w:color w:val="auto"/>
          <w:sz w:val="28"/>
          <w:szCs w:val="28"/>
          <w:lang w:val="en-US" w:eastAsia="zh-CN"/>
        </w:rPr>
        <w:t>4</w:t>
      </w:r>
      <w:r>
        <w:rPr>
          <w:rFonts w:hint="eastAsia" w:asciiTheme="minorEastAsia" w:hAnsiTheme="minorEastAsia"/>
          <w:color w:val="auto"/>
          <w:sz w:val="28"/>
          <w:szCs w:val="28"/>
        </w:rPr>
        <w:t>%以上，充分体现了学生在校生活的幸福感。</w:t>
      </w:r>
    </w:p>
    <w:p>
      <w:pPr>
        <w:pStyle w:val="11"/>
        <w:shd w:val="clear" w:color="auto" w:fill="FFFFFF"/>
        <w:adjustRightInd w:val="0"/>
        <w:snapToGrid w:val="0"/>
        <w:spacing w:before="0" w:beforeAutospacing="0" w:after="0" w:afterAutospacing="0" w:line="360" w:lineRule="auto"/>
        <w:ind w:firstLine="560" w:firstLineChars="200"/>
        <w:rPr>
          <w:rFonts w:asciiTheme="minorEastAsia" w:hAnsiTheme="minorEastAsia"/>
          <w:color w:val="auto"/>
          <w:sz w:val="28"/>
          <w:szCs w:val="28"/>
        </w:rPr>
      </w:pPr>
      <w:r>
        <w:rPr>
          <w:rFonts w:hint="eastAsia" w:asciiTheme="minorEastAsia" w:hAnsiTheme="minorEastAsia"/>
          <w:color w:val="auto"/>
          <w:sz w:val="28"/>
          <w:szCs w:val="28"/>
        </w:rPr>
        <w:t>具体分析结果如下：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8"/>
        <w:gridCol w:w="2268"/>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line="560" w:lineRule="exact"/>
              <w:jc w:val="center"/>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rPr>
              <w:t>校园测评项目</w:t>
            </w:r>
          </w:p>
        </w:tc>
        <w:tc>
          <w:tcPr>
            <w:tcW w:w="2268" w:type="dxa"/>
          </w:tcPr>
          <w:p>
            <w:pPr>
              <w:spacing w:line="560" w:lineRule="exact"/>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rPr>
              <w:t>测评结果（%）</w:t>
            </w:r>
          </w:p>
        </w:tc>
        <w:tc>
          <w:tcPr>
            <w:tcW w:w="1780" w:type="dxa"/>
          </w:tcPr>
          <w:p>
            <w:pPr>
              <w:spacing w:line="560" w:lineRule="exact"/>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rPr>
              <w:t>测评部门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理论学习满意度</w:t>
            </w:r>
          </w:p>
        </w:tc>
        <w:tc>
          <w:tcPr>
            <w:tcW w:w="2268" w:type="dxa"/>
          </w:tcPr>
          <w:p>
            <w:pPr>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9</w:t>
            </w:r>
            <w:r>
              <w:rPr>
                <w:rFonts w:hint="eastAsia" w:cs="宋体" w:asciiTheme="minorEastAsia" w:hAnsiTheme="minorEastAsia" w:eastAsiaTheme="minorEastAsia"/>
                <w:color w:val="auto"/>
                <w:sz w:val="28"/>
                <w:szCs w:val="28"/>
                <w:lang w:val="en-US" w:eastAsia="zh-CN"/>
              </w:rPr>
              <w:t>8</w:t>
            </w:r>
            <w:r>
              <w:rPr>
                <w:rFonts w:hint="eastAsia" w:cs="宋体" w:asciiTheme="minorEastAsia" w:hAnsiTheme="minorEastAsia" w:eastAsiaTheme="minorEastAsia"/>
                <w:color w:val="auto"/>
                <w:sz w:val="28"/>
                <w:szCs w:val="28"/>
              </w:rPr>
              <w:t>.3</w:t>
            </w:r>
          </w:p>
        </w:tc>
        <w:tc>
          <w:tcPr>
            <w:tcW w:w="1780" w:type="dxa"/>
          </w:tcPr>
          <w:p>
            <w:pPr>
              <w:spacing w:line="560" w:lineRule="exac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专业学习满意度</w:t>
            </w:r>
          </w:p>
        </w:tc>
        <w:tc>
          <w:tcPr>
            <w:tcW w:w="2268" w:type="dxa"/>
          </w:tcPr>
          <w:p>
            <w:pPr>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9</w:t>
            </w:r>
            <w:r>
              <w:rPr>
                <w:rFonts w:hint="eastAsia" w:cs="宋体" w:asciiTheme="minorEastAsia" w:hAnsiTheme="minorEastAsia" w:eastAsiaTheme="minorEastAsia"/>
                <w:color w:val="auto"/>
                <w:sz w:val="28"/>
                <w:szCs w:val="28"/>
                <w:lang w:val="en-US" w:eastAsia="zh-CN"/>
              </w:rPr>
              <w:t>7</w:t>
            </w:r>
            <w:r>
              <w:rPr>
                <w:rFonts w:hint="eastAsia" w:cs="宋体" w:asciiTheme="minorEastAsia" w:hAnsiTheme="minorEastAsia" w:eastAsiaTheme="minorEastAsia"/>
                <w:color w:val="auto"/>
                <w:sz w:val="28"/>
                <w:szCs w:val="28"/>
              </w:rPr>
              <w:t>.1</w:t>
            </w:r>
          </w:p>
        </w:tc>
        <w:tc>
          <w:tcPr>
            <w:tcW w:w="1780" w:type="dxa"/>
          </w:tcPr>
          <w:p>
            <w:pP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8" w:type="dxa"/>
          </w:tcPr>
          <w:p>
            <w:pPr>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实习实训满意度</w:t>
            </w:r>
          </w:p>
        </w:tc>
        <w:tc>
          <w:tcPr>
            <w:tcW w:w="2268" w:type="dxa"/>
          </w:tcPr>
          <w:p>
            <w:pPr>
              <w:jc w:val="center"/>
              <w:rPr>
                <w:rFonts w:hint="eastAsia" w:cs="宋体" w:asciiTheme="minorEastAsia" w:hAnsiTheme="minorEastAsia" w:eastAsiaTheme="minorEastAsia"/>
                <w:color w:val="auto"/>
                <w:sz w:val="28"/>
                <w:szCs w:val="28"/>
                <w:lang w:val="en-US" w:eastAsia="zh-CN"/>
              </w:rPr>
            </w:pPr>
            <w:r>
              <w:rPr>
                <w:rFonts w:hint="eastAsia" w:cs="宋体" w:asciiTheme="minorEastAsia" w:hAnsiTheme="minorEastAsia" w:eastAsiaTheme="minorEastAsia"/>
                <w:color w:val="auto"/>
                <w:sz w:val="28"/>
                <w:szCs w:val="28"/>
              </w:rPr>
              <w:t>9</w:t>
            </w:r>
            <w:r>
              <w:rPr>
                <w:rFonts w:hint="eastAsia" w:cs="宋体" w:asciiTheme="minorEastAsia" w:hAnsiTheme="minorEastAsia" w:eastAsiaTheme="minorEastAsia"/>
                <w:color w:val="auto"/>
                <w:sz w:val="28"/>
                <w:szCs w:val="28"/>
                <w:lang w:val="en-US" w:eastAsia="zh-CN"/>
              </w:rPr>
              <w:t>8</w:t>
            </w:r>
            <w:r>
              <w:rPr>
                <w:rFonts w:hint="eastAsia" w:cs="宋体" w:asciiTheme="minorEastAsia" w:hAnsiTheme="minorEastAsia" w:eastAsiaTheme="minorEastAsia"/>
                <w:color w:val="auto"/>
                <w:sz w:val="28"/>
                <w:szCs w:val="28"/>
              </w:rPr>
              <w:t>.</w:t>
            </w:r>
            <w:r>
              <w:rPr>
                <w:rFonts w:hint="eastAsia" w:cs="宋体" w:asciiTheme="minorEastAsia" w:hAnsiTheme="minorEastAsia" w:eastAsiaTheme="minorEastAsia"/>
                <w:color w:val="auto"/>
                <w:sz w:val="28"/>
                <w:szCs w:val="28"/>
                <w:lang w:val="en-US" w:eastAsia="zh-CN"/>
              </w:rPr>
              <w:t>4</w:t>
            </w:r>
          </w:p>
        </w:tc>
        <w:tc>
          <w:tcPr>
            <w:tcW w:w="1780" w:type="dxa"/>
          </w:tcPr>
          <w:p>
            <w:pP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line="560" w:lineRule="exact"/>
              <w:jc w:val="center"/>
              <w:rPr>
                <w:rFonts w:ascii="宋体" w:hAnsi="宋体" w:cs="宋体"/>
                <w:color w:val="auto"/>
                <w:sz w:val="28"/>
                <w:szCs w:val="28"/>
              </w:rPr>
            </w:pPr>
            <w:r>
              <w:rPr>
                <w:rFonts w:hint="eastAsia" w:ascii="宋体" w:hAnsi="宋体" w:cs="宋体"/>
                <w:color w:val="auto"/>
                <w:sz w:val="28"/>
                <w:szCs w:val="28"/>
              </w:rPr>
              <w:t>校园文化与社团活动满意度</w:t>
            </w:r>
          </w:p>
        </w:tc>
        <w:tc>
          <w:tcPr>
            <w:tcW w:w="2268" w:type="dxa"/>
          </w:tcPr>
          <w:p>
            <w:pPr>
              <w:jc w:val="center"/>
              <w:rPr>
                <w:rFonts w:ascii="宋体" w:hAnsi="宋体" w:cs="宋体"/>
                <w:color w:val="auto"/>
                <w:sz w:val="28"/>
                <w:szCs w:val="28"/>
              </w:rPr>
            </w:pPr>
            <w:r>
              <w:rPr>
                <w:rFonts w:hint="eastAsia" w:ascii="宋体" w:hAnsi="宋体" w:cs="宋体"/>
                <w:color w:val="auto"/>
                <w:sz w:val="28"/>
                <w:szCs w:val="28"/>
              </w:rPr>
              <w:t>9</w:t>
            </w:r>
            <w:r>
              <w:rPr>
                <w:rFonts w:hint="eastAsia" w:ascii="宋体" w:hAnsi="宋体" w:cs="宋体"/>
                <w:color w:val="auto"/>
                <w:sz w:val="28"/>
                <w:szCs w:val="28"/>
                <w:lang w:val="en-US" w:eastAsia="zh-CN"/>
              </w:rPr>
              <w:t>8</w:t>
            </w:r>
            <w:r>
              <w:rPr>
                <w:rFonts w:hint="eastAsia" w:ascii="宋体" w:hAnsi="宋体" w:cs="宋体"/>
                <w:color w:val="auto"/>
                <w:sz w:val="28"/>
                <w:szCs w:val="28"/>
              </w:rPr>
              <w:t>.6</w:t>
            </w:r>
          </w:p>
        </w:tc>
        <w:tc>
          <w:tcPr>
            <w:tcW w:w="1780" w:type="dxa"/>
          </w:tcPr>
          <w:p>
            <w:pPr>
              <w:spacing w:line="560" w:lineRule="exact"/>
              <w:rPr>
                <w:rFonts w:ascii="宋体" w:hAnsi="宋体" w:cs="宋体"/>
                <w:color w:val="auto"/>
                <w:sz w:val="28"/>
                <w:szCs w:val="28"/>
              </w:rPr>
            </w:pPr>
            <w:r>
              <w:rPr>
                <w:rFonts w:hint="eastAsia" w:ascii="宋体" w:hAnsi="宋体" w:cs="宋体"/>
                <w:color w:val="auto"/>
                <w:sz w:val="28"/>
                <w:szCs w:val="28"/>
              </w:rPr>
              <w:t>德育处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line="560" w:lineRule="exact"/>
              <w:jc w:val="center"/>
              <w:rPr>
                <w:rFonts w:ascii="宋体" w:hAnsi="宋体" w:cs="宋体"/>
                <w:color w:val="auto"/>
                <w:sz w:val="28"/>
                <w:szCs w:val="28"/>
              </w:rPr>
            </w:pPr>
            <w:r>
              <w:rPr>
                <w:rFonts w:hint="eastAsia" w:ascii="宋体" w:hAnsi="宋体" w:cs="宋体"/>
                <w:color w:val="auto"/>
                <w:sz w:val="28"/>
                <w:szCs w:val="28"/>
              </w:rPr>
              <w:t>生活满意度</w:t>
            </w:r>
          </w:p>
        </w:tc>
        <w:tc>
          <w:tcPr>
            <w:tcW w:w="2268" w:type="dxa"/>
          </w:tcPr>
          <w:p>
            <w:pPr>
              <w:jc w:val="center"/>
              <w:rPr>
                <w:rFonts w:ascii="宋体" w:hAnsi="宋体" w:cs="宋体"/>
                <w:color w:val="auto"/>
                <w:sz w:val="28"/>
                <w:szCs w:val="28"/>
              </w:rPr>
            </w:pPr>
            <w:r>
              <w:rPr>
                <w:rFonts w:hint="eastAsia" w:ascii="宋体" w:hAnsi="宋体" w:cs="宋体"/>
                <w:color w:val="auto"/>
                <w:sz w:val="28"/>
                <w:szCs w:val="28"/>
              </w:rPr>
              <w:t>9</w:t>
            </w:r>
            <w:r>
              <w:rPr>
                <w:rFonts w:hint="eastAsia" w:ascii="宋体" w:hAnsi="宋体" w:cs="宋体"/>
                <w:color w:val="auto"/>
                <w:sz w:val="28"/>
                <w:szCs w:val="28"/>
                <w:lang w:val="en-US" w:eastAsia="zh-CN"/>
              </w:rPr>
              <w:t>7</w:t>
            </w:r>
            <w:r>
              <w:rPr>
                <w:rFonts w:hint="eastAsia" w:ascii="宋体" w:hAnsi="宋体" w:cs="宋体"/>
                <w:color w:val="auto"/>
                <w:sz w:val="28"/>
                <w:szCs w:val="28"/>
              </w:rPr>
              <w:t>.5</w:t>
            </w:r>
          </w:p>
        </w:tc>
        <w:tc>
          <w:tcPr>
            <w:tcW w:w="1780" w:type="dxa"/>
          </w:tcPr>
          <w:p>
            <w:pPr>
              <w:rPr>
                <w:rFonts w:ascii="宋体" w:hAnsi="宋体" w:cs="宋体"/>
                <w:color w:val="auto"/>
                <w:sz w:val="28"/>
                <w:szCs w:val="28"/>
              </w:rPr>
            </w:pPr>
            <w:r>
              <w:rPr>
                <w:rFonts w:hint="eastAsia" w:ascii="宋体" w:hAnsi="宋体" w:cs="宋体"/>
                <w:color w:val="auto"/>
                <w:sz w:val="28"/>
                <w:szCs w:val="28"/>
              </w:rPr>
              <w:t>德育处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line="560" w:lineRule="exact"/>
              <w:jc w:val="center"/>
              <w:rPr>
                <w:rFonts w:ascii="宋体" w:hAnsi="宋体" w:cs="宋体"/>
                <w:color w:val="auto"/>
                <w:sz w:val="28"/>
                <w:szCs w:val="28"/>
              </w:rPr>
            </w:pPr>
            <w:r>
              <w:rPr>
                <w:rFonts w:hint="eastAsia" w:ascii="宋体" w:hAnsi="宋体" w:cs="宋体"/>
                <w:color w:val="auto"/>
                <w:sz w:val="28"/>
                <w:szCs w:val="28"/>
              </w:rPr>
              <w:t>校园安全满意度</w:t>
            </w:r>
          </w:p>
        </w:tc>
        <w:tc>
          <w:tcPr>
            <w:tcW w:w="2268" w:type="dxa"/>
          </w:tcPr>
          <w:p>
            <w:pPr>
              <w:jc w:val="center"/>
              <w:rPr>
                <w:rFonts w:ascii="宋体" w:hAnsi="宋体" w:cs="宋体"/>
                <w:color w:val="auto"/>
                <w:sz w:val="28"/>
                <w:szCs w:val="28"/>
              </w:rPr>
            </w:pPr>
            <w:r>
              <w:rPr>
                <w:rFonts w:hint="eastAsia" w:ascii="宋体" w:hAnsi="宋体" w:cs="宋体"/>
                <w:color w:val="auto"/>
                <w:sz w:val="28"/>
                <w:szCs w:val="28"/>
              </w:rPr>
              <w:t>9</w:t>
            </w:r>
            <w:r>
              <w:rPr>
                <w:rFonts w:hint="eastAsia" w:ascii="宋体" w:hAnsi="宋体" w:cs="宋体"/>
                <w:color w:val="auto"/>
                <w:sz w:val="28"/>
                <w:szCs w:val="28"/>
                <w:lang w:val="en-US" w:eastAsia="zh-CN"/>
              </w:rPr>
              <w:t>9</w:t>
            </w:r>
            <w:r>
              <w:rPr>
                <w:rFonts w:hint="eastAsia" w:ascii="宋体" w:hAnsi="宋体" w:cs="宋体"/>
                <w:color w:val="auto"/>
                <w:sz w:val="28"/>
                <w:szCs w:val="28"/>
              </w:rPr>
              <w:t>.3</w:t>
            </w:r>
          </w:p>
        </w:tc>
        <w:tc>
          <w:tcPr>
            <w:tcW w:w="1780" w:type="dxa"/>
          </w:tcPr>
          <w:p>
            <w:pPr>
              <w:rPr>
                <w:rFonts w:ascii="宋体" w:hAnsi="宋体" w:cs="宋体"/>
                <w:color w:val="auto"/>
                <w:sz w:val="28"/>
                <w:szCs w:val="28"/>
              </w:rPr>
            </w:pPr>
            <w:r>
              <w:rPr>
                <w:rFonts w:hint="eastAsia" w:ascii="宋体" w:hAnsi="宋体" w:cs="宋体"/>
                <w:color w:val="auto"/>
                <w:sz w:val="28"/>
                <w:szCs w:val="28"/>
              </w:rPr>
              <w:t>德育处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8" w:type="dxa"/>
          </w:tcPr>
          <w:p>
            <w:pPr>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毕业生对学校满意度</w:t>
            </w:r>
          </w:p>
        </w:tc>
        <w:tc>
          <w:tcPr>
            <w:tcW w:w="2268" w:type="dxa"/>
          </w:tcPr>
          <w:p>
            <w:pPr>
              <w:jc w:val="center"/>
              <w:rPr>
                <w:rFonts w:hint="eastAsia" w:cs="宋体" w:asciiTheme="minorEastAsia" w:hAnsiTheme="minorEastAsia" w:eastAsiaTheme="minorEastAsia"/>
                <w:color w:val="auto"/>
                <w:sz w:val="28"/>
                <w:szCs w:val="28"/>
                <w:lang w:val="en-US" w:eastAsia="zh-CN"/>
              </w:rPr>
            </w:pPr>
            <w:r>
              <w:rPr>
                <w:rFonts w:hint="eastAsia" w:cs="宋体" w:asciiTheme="minorEastAsia" w:hAnsiTheme="minorEastAsia" w:eastAsiaTheme="minorEastAsia"/>
                <w:color w:val="auto"/>
                <w:sz w:val="28"/>
                <w:szCs w:val="28"/>
              </w:rPr>
              <w:t>99.</w:t>
            </w:r>
            <w:r>
              <w:rPr>
                <w:rFonts w:hint="eastAsia" w:cs="宋体" w:asciiTheme="minorEastAsia" w:hAnsiTheme="minorEastAsia" w:eastAsiaTheme="minorEastAsia"/>
                <w:color w:val="auto"/>
                <w:sz w:val="28"/>
                <w:szCs w:val="28"/>
                <w:lang w:val="en-US" w:eastAsia="zh-CN"/>
              </w:rPr>
              <w:t>8</w:t>
            </w:r>
          </w:p>
        </w:tc>
        <w:tc>
          <w:tcPr>
            <w:tcW w:w="1780" w:type="dxa"/>
          </w:tcPr>
          <w:p>
            <w:pPr>
              <w:spacing w:line="560" w:lineRule="exac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工会</w:t>
            </w:r>
          </w:p>
        </w:tc>
      </w:tr>
    </w:tbl>
    <w:p>
      <w:pPr>
        <w:pStyle w:val="2"/>
        <w:spacing w:before="0" w:after="0"/>
        <w:ind w:firstLine="560" w:firstLineChars="200"/>
        <w:rPr>
          <w:rFonts w:hint="eastAsia"/>
          <w:b w:val="0"/>
          <w:color w:val="auto"/>
          <w:sz w:val="28"/>
          <w:szCs w:val="28"/>
        </w:rPr>
      </w:pPr>
      <w:bookmarkStart w:id="14" w:name="_Toc28958335"/>
      <w:r>
        <w:rPr>
          <w:rFonts w:hint="eastAsia"/>
          <w:b w:val="0"/>
          <w:color w:val="auto"/>
          <w:sz w:val="28"/>
          <w:szCs w:val="28"/>
        </w:rPr>
        <w:t>2.3资助情况</w:t>
      </w:r>
    </w:p>
    <w:p>
      <w:pPr>
        <w:pStyle w:val="2"/>
        <w:spacing w:before="0" w:after="0"/>
        <w:ind w:firstLine="560" w:firstLineChars="200"/>
        <w:rPr>
          <w:rFonts w:hint="eastAsia"/>
          <w:b w:val="0"/>
          <w:color w:val="auto"/>
          <w:sz w:val="28"/>
          <w:szCs w:val="28"/>
        </w:rPr>
      </w:pPr>
      <w:r>
        <w:rPr>
          <w:rFonts w:hint="eastAsia"/>
          <w:b w:val="0"/>
          <w:color w:val="auto"/>
          <w:sz w:val="28"/>
          <w:szCs w:val="28"/>
        </w:rPr>
        <w:t>全校学生全部享受国家免学费政策；根据文件要求，由学生个人申请国家助学金并提交材料，由学校审核，同意闵捷等28人次享受国家助学金，学校张榜公示后无异议，助学金按要求发放指定学生账户。</w:t>
      </w:r>
    </w:p>
    <w:p>
      <w:pPr>
        <w:pStyle w:val="2"/>
        <w:spacing w:before="0" w:after="0"/>
        <w:ind w:firstLine="560" w:firstLineChars="200"/>
        <w:rPr>
          <w:b w:val="0"/>
          <w:color w:val="auto"/>
          <w:sz w:val="28"/>
          <w:szCs w:val="28"/>
        </w:rPr>
      </w:pPr>
      <w:r>
        <w:rPr>
          <w:rFonts w:hint="eastAsia"/>
          <w:b w:val="0"/>
          <w:color w:val="auto"/>
          <w:sz w:val="28"/>
          <w:szCs w:val="28"/>
        </w:rPr>
        <w:t>2.4就业质量</w:t>
      </w:r>
      <w:bookmarkEnd w:id="14"/>
    </w:p>
    <w:p>
      <w:pPr>
        <w:pStyle w:val="11"/>
        <w:shd w:val="clear" w:color="auto" w:fill="FFFFFF"/>
        <w:adjustRightInd w:val="0"/>
        <w:snapToGrid w:val="0"/>
        <w:spacing w:before="0" w:beforeAutospacing="0" w:after="0" w:afterAutospacing="0" w:line="360" w:lineRule="auto"/>
        <w:ind w:firstLine="560" w:firstLineChars="200"/>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全校共有实习生</w:t>
      </w:r>
      <w:r>
        <w:rPr>
          <w:rFonts w:hint="eastAsia" w:asciiTheme="minorEastAsia" w:hAnsiTheme="minorEastAsia" w:eastAsiaTheme="minorEastAsia"/>
          <w:color w:val="auto"/>
          <w:sz w:val="28"/>
          <w:szCs w:val="28"/>
          <w:lang w:val="en-US" w:eastAsia="zh-CN"/>
        </w:rPr>
        <w:t>11</w:t>
      </w:r>
      <w:r>
        <w:rPr>
          <w:rFonts w:asciiTheme="minorEastAsia" w:hAnsiTheme="minorEastAsia" w:eastAsiaTheme="minorEastAsia"/>
          <w:color w:val="auto"/>
          <w:sz w:val="28"/>
          <w:szCs w:val="28"/>
        </w:rPr>
        <w:t>人，其中工艺美术专业</w:t>
      </w:r>
      <w:r>
        <w:rPr>
          <w:rFonts w:hint="eastAsia" w:asciiTheme="minorEastAsia" w:hAnsiTheme="minorEastAsia" w:eastAsiaTheme="minorEastAsia"/>
          <w:color w:val="auto"/>
          <w:sz w:val="28"/>
          <w:szCs w:val="28"/>
          <w:lang w:val="en-US" w:eastAsia="zh-CN"/>
        </w:rPr>
        <w:t>7</w:t>
      </w:r>
      <w:r>
        <w:rPr>
          <w:rFonts w:asciiTheme="minorEastAsia" w:hAnsiTheme="minorEastAsia" w:eastAsiaTheme="minorEastAsia"/>
          <w:color w:val="auto"/>
          <w:sz w:val="28"/>
          <w:szCs w:val="28"/>
        </w:rPr>
        <w:t>人，</w:t>
      </w:r>
      <w:r>
        <w:rPr>
          <w:rFonts w:hint="eastAsia" w:asciiTheme="minorEastAsia" w:hAnsiTheme="minorEastAsia" w:eastAsiaTheme="minorEastAsia"/>
          <w:color w:val="auto"/>
          <w:sz w:val="28"/>
          <w:szCs w:val="28"/>
          <w:lang w:eastAsia="zh-CN"/>
        </w:rPr>
        <w:t>音乐舞蹈</w:t>
      </w:r>
      <w:r>
        <w:rPr>
          <w:rFonts w:asciiTheme="minorEastAsia" w:hAnsiTheme="minorEastAsia" w:eastAsiaTheme="minorEastAsia"/>
          <w:color w:val="auto"/>
          <w:sz w:val="28"/>
          <w:szCs w:val="28"/>
        </w:rPr>
        <w:t>专业</w:t>
      </w:r>
      <w:r>
        <w:rPr>
          <w:rFonts w:hint="eastAsia" w:asciiTheme="minorEastAsia" w:hAnsiTheme="minorEastAsia" w:eastAsiaTheme="minorEastAsia"/>
          <w:color w:val="auto"/>
          <w:sz w:val="28"/>
          <w:szCs w:val="28"/>
          <w:lang w:val="en-US" w:eastAsia="zh-CN"/>
        </w:rPr>
        <w:t>4</w:t>
      </w:r>
      <w:r>
        <w:rPr>
          <w:rFonts w:asciiTheme="minorEastAsia" w:hAnsiTheme="minorEastAsia" w:eastAsiaTheme="minorEastAsia"/>
          <w:color w:val="auto"/>
          <w:sz w:val="28"/>
          <w:szCs w:val="28"/>
        </w:rPr>
        <w:t>人。工艺美术专业就业率100%，对口就业率</w:t>
      </w:r>
      <w:r>
        <w:rPr>
          <w:rFonts w:hint="eastAsia" w:asciiTheme="minorEastAsia" w:hAnsiTheme="minorEastAsia" w:eastAsiaTheme="minorEastAsia"/>
          <w:color w:val="auto"/>
          <w:sz w:val="28"/>
          <w:szCs w:val="28"/>
          <w:lang w:val="en-US" w:eastAsia="zh-CN"/>
        </w:rPr>
        <w:t>57</w:t>
      </w:r>
      <w:r>
        <w:rPr>
          <w:rFonts w:asciiTheme="minorEastAsia" w:hAnsiTheme="minorEastAsia" w:eastAsiaTheme="minorEastAsia"/>
          <w:color w:val="auto"/>
          <w:sz w:val="28"/>
          <w:szCs w:val="28"/>
        </w:rPr>
        <w:t>%，初次就业起薪</w:t>
      </w:r>
      <w:r>
        <w:rPr>
          <w:rFonts w:hint="eastAsia" w:asciiTheme="minorEastAsia" w:hAnsiTheme="minorEastAsia" w:eastAsiaTheme="minorEastAsia"/>
          <w:color w:val="auto"/>
          <w:sz w:val="28"/>
          <w:szCs w:val="28"/>
          <w:lang w:val="en-US" w:eastAsia="zh-CN"/>
        </w:rPr>
        <w:t>3500</w:t>
      </w:r>
      <w:r>
        <w:rPr>
          <w:rFonts w:asciiTheme="minorEastAsia" w:hAnsiTheme="minorEastAsia" w:eastAsiaTheme="minorEastAsia"/>
          <w:color w:val="auto"/>
          <w:sz w:val="28"/>
          <w:szCs w:val="28"/>
        </w:rPr>
        <w:t>元；</w:t>
      </w:r>
      <w:r>
        <w:rPr>
          <w:rFonts w:hint="eastAsia" w:asciiTheme="minorEastAsia" w:hAnsiTheme="minorEastAsia" w:eastAsiaTheme="minorEastAsia"/>
          <w:color w:val="auto"/>
          <w:sz w:val="28"/>
          <w:szCs w:val="28"/>
          <w:lang w:eastAsia="zh-CN"/>
        </w:rPr>
        <w:t>音乐舞蹈</w:t>
      </w:r>
      <w:r>
        <w:rPr>
          <w:rFonts w:asciiTheme="minorEastAsia" w:hAnsiTheme="minorEastAsia" w:eastAsiaTheme="minorEastAsia"/>
          <w:color w:val="auto"/>
          <w:sz w:val="28"/>
          <w:szCs w:val="28"/>
        </w:rPr>
        <w:t>专业就业率100%，对口就业率</w:t>
      </w:r>
      <w:r>
        <w:rPr>
          <w:rFonts w:hint="eastAsia" w:asciiTheme="minorEastAsia" w:hAnsiTheme="minorEastAsia" w:eastAsiaTheme="minorEastAsia"/>
          <w:color w:val="auto"/>
          <w:sz w:val="28"/>
          <w:szCs w:val="28"/>
          <w:lang w:val="en-US" w:eastAsia="zh-CN"/>
        </w:rPr>
        <w:t>25</w:t>
      </w:r>
      <w:r>
        <w:rPr>
          <w:rFonts w:asciiTheme="minorEastAsia" w:hAnsiTheme="minorEastAsia" w:eastAsiaTheme="minorEastAsia"/>
          <w:color w:val="auto"/>
          <w:sz w:val="28"/>
          <w:szCs w:val="28"/>
        </w:rPr>
        <w:t>%，初次就业起薪</w:t>
      </w:r>
      <w:r>
        <w:rPr>
          <w:rFonts w:hint="eastAsia" w:asciiTheme="minorEastAsia" w:hAnsiTheme="minorEastAsia" w:eastAsiaTheme="minorEastAsia"/>
          <w:color w:val="auto"/>
          <w:sz w:val="28"/>
          <w:szCs w:val="28"/>
          <w:lang w:val="en-US" w:eastAsia="zh-CN"/>
        </w:rPr>
        <w:t>3700</w:t>
      </w:r>
      <w:r>
        <w:rPr>
          <w:rFonts w:asciiTheme="minorEastAsia" w:hAnsiTheme="minorEastAsia" w:eastAsiaTheme="minorEastAsia"/>
          <w:color w:val="auto"/>
          <w:sz w:val="28"/>
          <w:szCs w:val="28"/>
        </w:rPr>
        <w:t>元。</w:t>
      </w:r>
    </w:p>
    <w:p>
      <w:pPr>
        <w:pStyle w:val="12"/>
        <w:ind w:firstLine="562" w:firstLineChars="200"/>
        <w:jc w:val="left"/>
        <w:rPr>
          <w:color w:val="auto"/>
          <w:sz w:val="28"/>
          <w:szCs w:val="28"/>
        </w:rPr>
      </w:pPr>
      <w:bookmarkStart w:id="15" w:name="_Toc28958336"/>
      <w:r>
        <w:rPr>
          <w:rFonts w:hint="eastAsia"/>
          <w:color w:val="auto"/>
          <w:sz w:val="28"/>
          <w:szCs w:val="28"/>
        </w:rPr>
        <w:t>3.质量保障措施</w:t>
      </w:r>
      <w:bookmarkEnd w:id="15"/>
    </w:p>
    <w:p>
      <w:pPr>
        <w:pStyle w:val="2"/>
        <w:spacing w:before="0" w:after="0"/>
        <w:ind w:firstLine="560" w:firstLineChars="200"/>
        <w:rPr>
          <w:b w:val="0"/>
          <w:color w:val="auto"/>
          <w:sz w:val="28"/>
          <w:szCs w:val="28"/>
        </w:rPr>
      </w:pPr>
      <w:bookmarkStart w:id="16" w:name="_Toc28958337"/>
      <w:r>
        <w:rPr>
          <w:rFonts w:hint="eastAsia"/>
          <w:b w:val="0"/>
          <w:color w:val="auto"/>
          <w:sz w:val="28"/>
          <w:szCs w:val="28"/>
        </w:rPr>
        <w:t>3.1专业动态调整</w:t>
      </w:r>
      <w:bookmarkEnd w:id="16"/>
    </w:p>
    <w:p>
      <w:pPr>
        <w:pStyle w:val="11"/>
        <w:shd w:val="clear" w:color="auto" w:fill="FFFFFF"/>
        <w:adjustRightInd w:val="0"/>
        <w:snapToGrid w:val="0"/>
        <w:spacing w:before="0" w:beforeAutospacing="0" w:after="0" w:afterAutospacing="0" w:line="360" w:lineRule="auto"/>
        <w:ind w:firstLine="48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学校全面树立选择性教育理念，立足学生终身发展，注重人文素养、知识技能与职业</w:t>
      </w:r>
      <w:r>
        <w:rPr>
          <w:rFonts w:hint="eastAsia" w:asciiTheme="minorEastAsia" w:hAnsiTheme="minorEastAsia" w:eastAsiaTheme="minorEastAsia"/>
          <w:color w:val="auto"/>
          <w:sz w:val="28"/>
          <w:szCs w:val="28"/>
          <w:lang w:eastAsia="zh-CN"/>
        </w:rPr>
        <w:t>素养</w:t>
      </w:r>
      <w:r>
        <w:rPr>
          <w:rFonts w:hint="eastAsia" w:asciiTheme="minorEastAsia" w:hAnsiTheme="minorEastAsia" w:eastAsiaTheme="minorEastAsia"/>
          <w:color w:val="auto"/>
          <w:sz w:val="28"/>
          <w:szCs w:val="28"/>
        </w:rPr>
        <w:t>的培养，赋予学生多样多次的选择权，努力促进学生全面而有个性的发展，提高人才培养与社会人才需求和使用的契合度。</w:t>
      </w:r>
    </w:p>
    <w:p>
      <w:pPr>
        <w:pStyle w:val="3"/>
        <w:spacing w:before="0" w:after="0" w:line="240" w:lineRule="auto"/>
        <w:ind w:firstLine="560" w:firstLineChars="200"/>
        <w:rPr>
          <w:rFonts w:asciiTheme="minorEastAsia" w:hAnsiTheme="minorEastAsia" w:eastAsiaTheme="minorEastAsia"/>
          <w:b w:val="0"/>
          <w:color w:val="auto"/>
          <w:sz w:val="28"/>
          <w:szCs w:val="28"/>
        </w:rPr>
      </w:pPr>
      <w:bookmarkStart w:id="17" w:name="_Toc28958338"/>
      <w:r>
        <w:rPr>
          <w:rFonts w:hint="eastAsia" w:asciiTheme="minorEastAsia" w:hAnsiTheme="minorEastAsia" w:eastAsiaTheme="minorEastAsia"/>
          <w:b w:val="0"/>
          <w:color w:val="auto"/>
          <w:sz w:val="28"/>
          <w:szCs w:val="28"/>
        </w:rPr>
        <w:t>3.1.1优化专业结构调整</w:t>
      </w:r>
      <w:bookmarkEnd w:id="17"/>
    </w:p>
    <w:p>
      <w:pPr>
        <w:pStyle w:val="11"/>
        <w:shd w:val="clear" w:color="auto" w:fill="FFFFFF"/>
        <w:adjustRightInd w:val="0"/>
        <w:snapToGrid w:val="0"/>
        <w:spacing w:before="0" w:beforeAutospacing="0" w:after="0" w:afterAutospacing="0" w:line="360" w:lineRule="auto"/>
        <w:ind w:firstLine="48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20</w:t>
      </w:r>
      <w:r>
        <w:rPr>
          <w:rFonts w:hint="eastAsia" w:asciiTheme="minorEastAsia" w:hAnsiTheme="minorEastAsia" w:eastAsiaTheme="minorEastAsia"/>
          <w:color w:val="auto"/>
          <w:sz w:val="28"/>
          <w:szCs w:val="28"/>
          <w:lang w:val="en-US" w:eastAsia="zh-CN"/>
        </w:rPr>
        <w:t>20</w:t>
      </w:r>
      <w:r>
        <w:rPr>
          <w:rFonts w:hint="eastAsia" w:asciiTheme="minorEastAsia" w:hAnsiTheme="minorEastAsia" w:eastAsiaTheme="minorEastAsia"/>
          <w:color w:val="auto"/>
          <w:sz w:val="28"/>
          <w:szCs w:val="28"/>
        </w:rPr>
        <w:t>年，学校继续保持</w:t>
      </w:r>
      <w:r>
        <w:rPr>
          <w:rFonts w:hint="eastAsia" w:asciiTheme="minorEastAsia" w:hAnsiTheme="minorEastAsia" w:eastAsiaTheme="minorEastAsia"/>
          <w:color w:val="auto"/>
          <w:sz w:val="28"/>
          <w:szCs w:val="28"/>
          <w:lang w:eastAsia="zh-CN"/>
        </w:rPr>
        <w:t>以</w:t>
      </w:r>
      <w:r>
        <w:rPr>
          <w:rFonts w:hint="eastAsia" w:asciiTheme="minorEastAsia" w:hAnsiTheme="minorEastAsia" w:eastAsiaTheme="minorEastAsia"/>
          <w:color w:val="auto"/>
          <w:sz w:val="28"/>
          <w:szCs w:val="28"/>
        </w:rPr>
        <w:t>美术专业</w:t>
      </w:r>
      <w:r>
        <w:rPr>
          <w:rFonts w:hint="eastAsia" w:asciiTheme="minorEastAsia" w:hAnsiTheme="minorEastAsia" w:eastAsiaTheme="minorEastAsia"/>
          <w:color w:val="auto"/>
          <w:sz w:val="28"/>
          <w:szCs w:val="28"/>
          <w:lang w:eastAsia="zh-CN"/>
        </w:rPr>
        <w:t>为主要特色</w:t>
      </w:r>
      <w:r>
        <w:rPr>
          <w:rFonts w:hint="eastAsia"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lang w:eastAsia="zh-CN"/>
        </w:rPr>
        <w:t>主动寻求与中国美院深度合作，提升专业在省内的知名度与影响力。</w:t>
      </w:r>
      <w:r>
        <w:rPr>
          <w:rFonts w:hint="eastAsia" w:asciiTheme="minorEastAsia" w:hAnsiTheme="minorEastAsia" w:eastAsiaTheme="minorEastAsia"/>
          <w:color w:val="auto"/>
          <w:sz w:val="28"/>
          <w:szCs w:val="28"/>
        </w:rPr>
        <w:t>加强对学前教育专业发展的研究，调整学校对该专业课程设置，加大学生技能培养</w:t>
      </w:r>
      <w:r>
        <w:rPr>
          <w:rFonts w:hint="eastAsia" w:asciiTheme="minorEastAsia" w:hAnsiTheme="minorEastAsia" w:eastAsiaTheme="minorEastAsia"/>
          <w:color w:val="auto"/>
          <w:sz w:val="28"/>
          <w:szCs w:val="28"/>
          <w:lang w:eastAsia="zh-CN"/>
        </w:rPr>
        <w:t>，探索与浙师大</w:t>
      </w:r>
      <w:r>
        <w:rPr>
          <w:rFonts w:hint="eastAsia" w:asciiTheme="minorEastAsia" w:hAnsiTheme="minorEastAsia" w:eastAsiaTheme="minorEastAsia"/>
          <w:color w:val="auto"/>
          <w:sz w:val="28"/>
          <w:szCs w:val="28"/>
          <w:lang w:val="en-US" w:eastAsia="zh-CN"/>
        </w:rPr>
        <w:t>3+4合作办学的可能性。加强与浙江音乐学院联系，更好的提升音乐舞蹈专业竞争力</w:t>
      </w:r>
      <w:r>
        <w:rPr>
          <w:rFonts w:hint="eastAsia" w:asciiTheme="minorEastAsia" w:hAnsiTheme="minorEastAsia" w:eastAsiaTheme="minorEastAsia"/>
          <w:color w:val="auto"/>
          <w:sz w:val="28"/>
          <w:szCs w:val="28"/>
        </w:rPr>
        <w:t>。</w:t>
      </w:r>
    </w:p>
    <w:p>
      <w:pPr>
        <w:pStyle w:val="3"/>
        <w:spacing w:before="0" w:after="0" w:line="240" w:lineRule="auto"/>
        <w:ind w:firstLine="560" w:firstLineChars="200"/>
        <w:rPr>
          <w:rFonts w:asciiTheme="minorEastAsia" w:hAnsiTheme="minorEastAsia" w:eastAsiaTheme="minorEastAsia"/>
          <w:b w:val="0"/>
          <w:color w:val="auto"/>
          <w:sz w:val="28"/>
          <w:szCs w:val="28"/>
        </w:rPr>
      </w:pPr>
      <w:bookmarkStart w:id="18" w:name="_Toc28958339"/>
      <w:r>
        <w:rPr>
          <w:rFonts w:hint="eastAsia" w:asciiTheme="minorEastAsia" w:hAnsiTheme="minorEastAsia" w:eastAsiaTheme="minorEastAsia"/>
          <w:b w:val="0"/>
          <w:color w:val="auto"/>
          <w:sz w:val="28"/>
          <w:szCs w:val="28"/>
        </w:rPr>
        <w:t>3.1.2 人才培养方案调整</w:t>
      </w:r>
      <w:bookmarkEnd w:id="18"/>
    </w:p>
    <w:p>
      <w:pPr>
        <w:pStyle w:val="11"/>
        <w:shd w:val="clear" w:color="auto" w:fill="FFFFFF"/>
        <w:adjustRightInd w:val="0"/>
        <w:snapToGrid w:val="0"/>
        <w:spacing w:before="0" w:beforeAutospacing="0" w:after="0" w:afterAutospacing="0" w:line="360" w:lineRule="auto"/>
        <w:ind w:firstLine="48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根据《湖州市中等职业教育</w:t>
      </w:r>
      <w:r>
        <w:rPr>
          <w:rFonts w:asciiTheme="minorEastAsia" w:hAnsiTheme="minorEastAsia" w:eastAsiaTheme="minorEastAsia"/>
          <w:color w:val="auto"/>
          <w:sz w:val="28"/>
          <w:szCs w:val="28"/>
        </w:rPr>
        <w:t>“十三五”发展规划</w:t>
      </w:r>
      <w:r>
        <w:rPr>
          <w:rFonts w:hint="eastAsia" w:asciiTheme="minorEastAsia" w:hAnsiTheme="minorEastAsia" w:eastAsiaTheme="minorEastAsia"/>
          <w:color w:val="auto"/>
          <w:sz w:val="28"/>
          <w:szCs w:val="28"/>
        </w:rPr>
        <w:t>》要求，湖州产业结构的战略性调整和生产技术的渐进式革新已经对职业教育产生重大影响，最集中的表现是产业经济的发展需要大量高层次技能型技术型人才作支撑。因此学校主动邀请行业企业参与人才培养方案的研讨与规划，在人才培养目标上作出相应调整，要让学生成为能够适应未来工作变化的知识型、发展型技能人才。</w:t>
      </w:r>
    </w:p>
    <w:p>
      <w:pPr>
        <w:pStyle w:val="2"/>
        <w:spacing w:before="0" w:after="0"/>
        <w:ind w:firstLine="560" w:firstLineChars="200"/>
        <w:rPr>
          <w:b w:val="0"/>
          <w:color w:val="auto"/>
          <w:sz w:val="28"/>
          <w:szCs w:val="28"/>
        </w:rPr>
      </w:pPr>
      <w:bookmarkStart w:id="19" w:name="_Toc28958340"/>
      <w:r>
        <w:rPr>
          <w:rFonts w:hint="eastAsia"/>
          <w:b w:val="0"/>
          <w:color w:val="auto"/>
          <w:sz w:val="28"/>
          <w:szCs w:val="28"/>
        </w:rPr>
        <w:t>3.2教育教学改革</w:t>
      </w:r>
      <w:bookmarkEnd w:id="19"/>
    </w:p>
    <w:p>
      <w:pPr>
        <w:pStyle w:val="3"/>
        <w:spacing w:before="0" w:after="0" w:line="240" w:lineRule="auto"/>
        <w:ind w:firstLine="560" w:firstLineChars="200"/>
        <w:rPr>
          <w:rFonts w:asciiTheme="minorEastAsia" w:hAnsiTheme="minorEastAsia" w:eastAsiaTheme="minorEastAsia"/>
          <w:b w:val="0"/>
          <w:color w:val="auto"/>
          <w:sz w:val="28"/>
          <w:szCs w:val="28"/>
        </w:rPr>
      </w:pPr>
      <w:bookmarkStart w:id="20" w:name="_Toc28958341"/>
      <w:r>
        <w:rPr>
          <w:rFonts w:hint="eastAsia" w:asciiTheme="minorEastAsia" w:hAnsiTheme="minorEastAsia" w:eastAsiaTheme="minorEastAsia"/>
          <w:b w:val="0"/>
          <w:color w:val="auto"/>
          <w:sz w:val="28"/>
          <w:szCs w:val="28"/>
        </w:rPr>
        <w:t>3.2.1公共基础课</w:t>
      </w:r>
      <w:bookmarkEnd w:id="20"/>
    </w:p>
    <w:p>
      <w:pPr>
        <w:pStyle w:val="11"/>
        <w:shd w:val="clear" w:color="auto" w:fill="FFFFFF"/>
        <w:adjustRightInd w:val="0"/>
        <w:snapToGrid w:val="0"/>
        <w:spacing w:before="0" w:beforeAutospacing="0" w:after="0" w:afterAutospacing="0" w:line="360" w:lineRule="auto"/>
        <w:ind w:firstLine="48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为了贯彻《教育部关于印发新制订的中等职业学校语文等七门公共基础课程教学大纲的通知》，深化教学改革，提升教学质量，我校设置了11门公共基础课，并严格按照上级印发的教学大纲进行授课，公共基础课包括语文、数学、英语、计算机应用基础、体育与健康、职业生涯规划、职业道德与法律、经济政治与社会、哲学与人生和心理健康。</w:t>
      </w:r>
    </w:p>
    <w:p>
      <w:pPr>
        <w:pStyle w:val="3"/>
        <w:spacing w:before="0" w:after="0" w:line="240" w:lineRule="auto"/>
        <w:ind w:firstLine="560" w:firstLineChars="200"/>
        <w:rPr>
          <w:rFonts w:asciiTheme="minorEastAsia" w:hAnsiTheme="minorEastAsia" w:eastAsiaTheme="minorEastAsia"/>
          <w:b w:val="0"/>
          <w:color w:val="auto"/>
          <w:sz w:val="28"/>
          <w:szCs w:val="28"/>
        </w:rPr>
      </w:pPr>
      <w:bookmarkStart w:id="21" w:name="_Toc28958342"/>
      <w:r>
        <w:rPr>
          <w:rFonts w:hint="eastAsia" w:asciiTheme="minorEastAsia" w:hAnsiTheme="minorEastAsia" w:eastAsiaTheme="minorEastAsia"/>
          <w:b w:val="0"/>
          <w:color w:val="auto"/>
          <w:sz w:val="28"/>
          <w:szCs w:val="28"/>
        </w:rPr>
        <w:t>3.2.2专业设置</w:t>
      </w:r>
      <w:bookmarkEnd w:id="21"/>
    </w:p>
    <w:p>
      <w:pPr>
        <w:pStyle w:val="11"/>
        <w:shd w:val="clear" w:color="auto" w:fill="FFFFFF"/>
        <w:adjustRightInd w:val="0"/>
        <w:snapToGrid w:val="0"/>
        <w:spacing w:before="0" w:beforeAutospacing="0" w:after="0" w:afterAutospacing="0" w:line="360" w:lineRule="auto"/>
        <w:ind w:firstLine="48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根据教育部关于印发《中等职业学校专业目录(2010年修订)》的通知，根据当地的产业结构并结合我校实际情况目前共设置有3大专业即“工艺美术、学前教育和音乐舞蹈”，</w:t>
      </w:r>
      <w:r>
        <w:rPr>
          <w:rFonts w:hint="eastAsia" w:asciiTheme="minorEastAsia" w:hAnsiTheme="minorEastAsia" w:eastAsiaTheme="minorEastAsia"/>
          <w:color w:val="auto"/>
          <w:sz w:val="28"/>
          <w:szCs w:val="28"/>
          <w:lang w:val="en-US" w:eastAsia="zh-CN"/>
        </w:rPr>
        <w:t>4</w:t>
      </w:r>
      <w:r>
        <w:rPr>
          <w:rFonts w:hint="eastAsia" w:asciiTheme="minorEastAsia" w:hAnsiTheme="minorEastAsia" w:eastAsiaTheme="minorEastAsia"/>
          <w:color w:val="auto"/>
          <w:sz w:val="28"/>
          <w:szCs w:val="28"/>
        </w:rPr>
        <w:t>个专业方向即普高美术、普高音乐舞蹈、职高工艺美术、</w:t>
      </w:r>
      <w:r>
        <w:rPr>
          <w:rFonts w:hint="eastAsia" w:asciiTheme="minorEastAsia" w:hAnsiTheme="minorEastAsia" w:eastAsiaTheme="minorEastAsia"/>
          <w:color w:val="auto"/>
          <w:sz w:val="28"/>
          <w:szCs w:val="28"/>
          <w:lang w:val="en-US" w:eastAsia="zh-CN"/>
        </w:rPr>
        <w:t>中职一体化</w:t>
      </w:r>
      <w:r>
        <w:rPr>
          <w:rFonts w:hint="eastAsia" w:asciiTheme="minorEastAsia" w:hAnsiTheme="minorEastAsia" w:eastAsiaTheme="minorEastAsia"/>
          <w:color w:val="auto"/>
          <w:sz w:val="28"/>
          <w:szCs w:val="28"/>
        </w:rPr>
        <w:t>学前教育</w:t>
      </w:r>
      <w:r>
        <w:rPr>
          <w:rFonts w:hint="eastAsia" w:asciiTheme="minorEastAsia" w:hAnsiTheme="minorEastAsia" w:eastAsiaTheme="minorEastAsia"/>
          <w:color w:val="auto"/>
          <w:sz w:val="28"/>
          <w:szCs w:val="28"/>
          <w:lang w:val="en-US" w:eastAsia="zh-CN"/>
        </w:rPr>
        <w:t>五年一贯制</w:t>
      </w:r>
      <w:r>
        <w:rPr>
          <w:rFonts w:hint="eastAsia" w:asciiTheme="minorEastAsia" w:hAnsiTheme="minorEastAsia" w:eastAsiaTheme="minorEastAsia"/>
          <w:color w:val="auto"/>
          <w:sz w:val="28"/>
          <w:szCs w:val="28"/>
        </w:rPr>
        <w:t>。</w:t>
      </w:r>
    </w:p>
    <w:p>
      <w:pPr>
        <w:pStyle w:val="3"/>
        <w:spacing w:before="0" w:after="0" w:line="240" w:lineRule="auto"/>
        <w:ind w:firstLine="560" w:firstLineChars="200"/>
        <w:rPr>
          <w:rFonts w:asciiTheme="minorEastAsia" w:hAnsiTheme="minorEastAsia" w:eastAsiaTheme="minorEastAsia"/>
          <w:b w:val="0"/>
          <w:color w:val="auto"/>
          <w:sz w:val="28"/>
          <w:szCs w:val="28"/>
        </w:rPr>
      </w:pPr>
      <w:bookmarkStart w:id="22" w:name="_Toc28958343"/>
      <w:r>
        <w:rPr>
          <w:rFonts w:hint="eastAsia" w:asciiTheme="minorEastAsia" w:hAnsiTheme="minorEastAsia" w:eastAsiaTheme="minorEastAsia"/>
          <w:b w:val="0"/>
          <w:color w:val="auto"/>
          <w:sz w:val="28"/>
          <w:szCs w:val="28"/>
        </w:rPr>
        <w:t>3.2.3课程建设</w:t>
      </w:r>
      <w:bookmarkEnd w:id="22"/>
    </w:p>
    <w:p>
      <w:pPr>
        <w:pStyle w:val="11"/>
        <w:shd w:val="clear" w:color="auto" w:fill="FFFFFF"/>
        <w:adjustRightInd w:val="0"/>
        <w:snapToGrid w:val="0"/>
        <w:spacing w:before="0" w:beforeAutospacing="0" w:after="0" w:afterAutospacing="0" w:line="360" w:lineRule="auto"/>
        <w:ind w:firstLine="48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学校以浙江省中职学校“选择性课改”为契机，鼓励教师开发特色化、网络化校本课程，逐步完善课程设置，更新课程内容、细化课程标准，着力打造可供学生充分选择的课程制度与课程资源，力争建成适合学生专业化和社会化发展需求的特色鲜明、动态调整的选择性课程体系。</w:t>
      </w:r>
    </w:p>
    <w:p>
      <w:pPr>
        <w:pStyle w:val="3"/>
        <w:spacing w:before="0" w:after="0" w:line="240" w:lineRule="auto"/>
        <w:ind w:firstLine="560" w:firstLineChars="200"/>
        <w:rPr>
          <w:rFonts w:asciiTheme="minorEastAsia" w:hAnsiTheme="minorEastAsia" w:eastAsiaTheme="minorEastAsia"/>
          <w:b w:val="0"/>
          <w:color w:val="auto"/>
          <w:sz w:val="28"/>
          <w:szCs w:val="28"/>
        </w:rPr>
      </w:pPr>
      <w:bookmarkStart w:id="23" w:name="_Toc28958344"/>
      <w:r>
        <w:rPr>
          <w:rFonts w:hint="eastAsia" w:asciiTheme="minorEastAsia" w:hAnsiTheme="minorEastAsia" w:eastAsiaTheme="minorEastAsia"/>
          <w:b w:val="0"/>
          <w:color w:val="auto"/>
          <w:sz w:val="28"/>
          <w:szCs w:val="28"/>
        </w:rPr>
        <w:t>3.2.4人才培养模式改革</w:t>
      </w:r>
      <w:bookmarkEnd w:id="23"/>
    </w:p>
    <w:p>
      <w:pPr>
        <w:pStyle w:val="11"/>
        <w:shd w:val="clear" w:color="auto" w:fill="FFFFFF"/>
        <w:adjustRightInd w:val="0"/>
        <w:snapToGrid w:val="0"/>
        <w:spacing w:before="0" w:beforeAutospacing="0" w:after="0" w:afterAutospacing="0" w:line="360" w:lineRule="auto"/>
        <w:ind w:firstLine="48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20</w:t>
      </w:r>
      <w:r>
        <w:rPr>
          <w:rFonts w:hint="eastAsia" w:asciiTheme="minorEastAsia" w:hAnsiTheme="minorEastAsia" w:eastAsiaTheme="minorEastAsia"/>
          <w:color w:val="auto"/>
          <w:sz w:val="28"/>
          <w:szCs w:val="28"/>
          <w:lang w:val="en-US" w:eastAsia="zh-CN"/>
        </w:rPr>
        <w:t>20</w:t>
      </w:r>
      <w:r>
        <w:rPr>
          <w:rFonts w:hint="eastAsia" w:asciiTheme="minorEastAsia" w:hAnsiTheme="minorEastAsia" w:eastAsiaTheme="minorEastAsia"/>
          <w:color w:val="auto"/>
          <w:sz w:val="28"/>
          <w:szCs w:val="28"/>
        </w:rPr>
        <w:t>年，学校学前教育专业继续采用现代学徒制培养模式，与孝源街道中心幼儿园</w:t>
      </w:r>
      <w:r>
        <w:rPr>
          <w:rFonts w:hint="eastAsia" w:asciiTheme="minorEastAsia" w:hAnsiTheme="minorEastAsia" w:eastAsiaTheme="minorEastAsia"/>
          <w:color w:val="auto"/>
          <w:sz w:val="28"/>
          <w:szCs w:val="28"/>
          <w:lang w:eastAsia="zh-CN"/>
        </w:rPr>
        <w:t>、嗳咪儿幼儿园、良朋幼儿园、实验幼儿园、机关幼儿园等</w:t>
      </w:r>
      <w:r>
        <w:rPr>
          <w:rFonts w:hint="eastAsia" w:asciiTheme="minorEastAsia" w:hAnsiTheme="minorEastAsia" w:eastAsiaTheme="minorEastAsia"/>
          <w:color w:val="auto"/>
          <w:sz w:val="28"/>
          <w:szCs w:val="28"/>
        </w:rPr>
        <w:t>深度融合，为人才培养提供了</w:t>
      </w:r>
      <w:r>
        <w:rPr>
          <w:rFonts w:hint="eastAsia" w:asciiTheme="minorEastAsia" w:hAnsiTheme="minorEastAsia" w:eastAsiaTheme="minorEastAsia"/>
          <w:color w:val="auto"/>
          <w:sz w:val="28"/>
          <w:szCs w:val="28"/>
          <w:lang w:eastAsia="zh-CN"/>
        </w:rPr>
        <w:t>更多选择</w:t>
      </w:r>
      <w:r>
        <w:rPr>
          <w:rFonts w:hint="eastAsia" w:asciiTheme="minorEastAsia" w:hAnsiTheme="minorEastAsia" w:eastAsiaTheme="minorEastAsia"/>
          <w:color w:val="auto"/>
          <w:sz w:val="28"/>
          <w:szCs w:val="28"/>
        </w:rPr>
        <w:t>的实践基地。</w:t>
      </w:r>
    </w:p>
    <w:p>
      <w:pPr>
        <w:pStyle w:val="11"/>
        <w:shd w:val="clear" w:color="auto" w:fill="FFFFFF"/>
        <w:adjustRightInd w:val="0"/>
        <w:snapToGrid w:val="0"/>
        <w:spacing w:before="0" w:beforeAutospacing="0" w:after="0" w:afterAutospacing="0"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探索人才培养管理新机制，成效突出，有效的帮助学生认识和明确职业发展方向。</w:t>
      </w:r>
    </w:p>
    <w:p>
      <w:pPr>
        <w:pStyle w:val="3"/>
        <w:spacing w:before="0" w:after="0" w:line="240" w:lineRule="auto"/>
        <w:ind w:firstLine="560" w:firstLineChars="200"/>
        <w:rPr>
          <w:rFonts w:asciiTheme="minorEastAsia" w:hAnsiTheme="minorEastAsia" w:eastAsiaTheme="minorEastAsia"/>
          <w:b w:val="0"/>
          <w:color w:val="auto"/>
          <w:sz w:val="28"/>
          <w:szCs w:val="28"/>
        </w:rPr>
      </w:pPr>
      <w:bookmarkStart w:id="24" w:name="_Toc28958345"/>
      <w:r>
        <w:rPr>
          <w:rFonts w:hint="eastAsia" w:asciiTheme="minorEastAsia" w:hAnsiTheme="minorEastAsia" w:eastAsiaTheme="minorEastAsia"/>
          <w:b w:val="0"/>
          <w:color w:val="auto"/>
          <w:sz w:val="28"/>
          <w:szCs w:val="28"/>
        </w:rPr>
        <w:t>3.2.5实训基地</w:t>
      </w:r>
      <w:bookmarkEnd w:id="24"/>
    </w:p>
    <w:p>
      <w:pPr>
        <w:pStyle w:val="11"/>
        <w:shd w:val="clear" w:color="auto" w:fill="FFFFFF"/>
        <w:adjustRightInd w:val="0"/>
        <w:snapToGrid w:val="0"/>
        <w:spacing w:before="0" w:beforeAutospacing="0" w:after="0" w:afterAutospacing="0" w:line="360" w:lineRule="auto"/>
        <w:ind w:firstLine="48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学校积极开展校企合作，即学校主动与行业、企业联络感情、联结利益和联动政策，建立紧密型校企合作关系；从而实现行业标准、服务流程、校企资源的三共享；最终达成学生、学校和企业的共同发展。</w:t>
      </w:r>
    </w:p>
    <w:p>
      <w:pPr>
        <w:pStyle w:val="11"/>
        <w:shd w:val="clear" w:color="auto" w:fill="FFFFFF"/>
        <w:adjustRightInd w:val="0"/>
        <w:snapToGrid w:val="0"/>
        <w:spacing w:before="0" w:beforeAutospacing="0" w:after="0" w:afterAutospacing="0" w:line="360" w:lineRule="auto"/>
        <w:ind w:firstLine="560" w:firstLineChars="200"/>
        <w:rPr>
          <w:rFonts w:asciiTheme="minorEastAsia" w:hAnsiTheme="minorEastAsia"/>
          <w:color w:val="auto"/>
          <w:sz w:val="28"/>
          <w:szCs w:val="28"/>
        </w:rPr>
      </w:pPr>
      <w:r>
        <w:rPr>
          <w:rFonts w:hint="eastAsia" w:asciiTheme="minorEastAsia" w:hAnsiTheme="minorEastAsia" w:eastAsiaTheme="minorEastAsia"/>
          <w:color w:val="auto"/>
          <w:sz w:val="28"/>
          <w:szCs w:val="28"/>
        </w:rPr>
        <w:t>学校与与孝源街道中心幼儿园</w:t>
      </w:r>
      <w:r>
        <w:rPr>
          <w:rFonts w:hint="eastAsia" w:asciiTheme="minorEastAsia" w:hAnsiTheme="minorEastAsia" w:eastAsiaTheme="minorEastAsia"/>
          <w:color w:val="auto"/>
          <w:sz w:val="28"/>
          <w:szCs w:val="28"/>
          <w:lang w:eastAsia="zh-CN"/>
        </w:rPr>
        <w:t>、嗳咪儿幼儿园、良朋幼儿园、实验幼儿园、机关幼儿园等</w:t>
      </w:r>
      <w:r>
        <w:rPr>
          <w:rFonts w:hint="eastAsia" w:asciiTheme="minorEastAsia" w:hAnsiTheme="minorEastAsia" w:eastAsiaTheme="minorEastAsia"/>
          <w:color w:val="auto"/>
          <w:sz w:val="28"/>
          <w:szCs w:val="28"/>
        </w:rPr>
        <w:t>进行了学前教育现代学徒制试点，开展校企合作共同育人，目前进展顺利效果良好。学生在全真的工作环境中进行就业实战，通过识岗、跟岗、轮岗、定岗和顶岗的专业梯度成长过程，逐步完成从“学员→准员工”的蜕变，为其真正成为企业员工作好心理和技能的双重准备，更加贴近企业需求。</w:t>
      </w:r>
    </w:p>
    <w:p>
      <w:pPr>
        <w:pStyle w:val="3"/>
        <w:spacing w:before="0" w:after="0" w:line="240" w:lineRule="auto"/>
        <w:ind w:firstLine="560" w:firstLineChars="200"/>
        <w:rPr>
          <w:rFonts w:asciiTheme="minorEastAsia" w:hAnsiTheme="minorEastAsia" w:eastAsiaTheme="minorEastAsia"/>
          <w:b w:val="0"/>
          <w:color w:val="auto"/>
          <w:sz w:val="28"/>
          <w:szCs w:val="28"/>
        </w:rPr>
      </w:pPr>
      <w:bookmarkStart w:id="25" w:name="_Toc28958346"/>
      <w:r>
        <w:rPr>
          <w:rFonts w:hint="eastAsia" w:asciiTheme="minorEastAsia" w:hAnsiTheme="minorEastAsia" w:eastAsiaTheme="minorEastAsia"/>
          <w:b w:val="0"/>
          <w:color w:val="auto"/>
          <w:sz w:val="28"/>
          <w:szCs w:val="28"/>
        </w:rPr>
        <w:t>3.2.6 教材选用</w:t>
      </w:r>
      <w:bookmarkEnd w:id="25"/>
    </w:p>
    <w:p>
      <w:pPr>
        <w:pStyle w:val="11"/>
        <w:shd w:val="clear" w:color="auto" w:fill="FFFFFF"/>
        <w:adjustRightInd w:val="0"/>
        <w:snapToGrid w:val="0"/>
        <w:spacing w:before="0" w:beforeAutospacing="0" w:after="0" w:afterAutospacing="0" w:line="360" w:lineRule="auto"/>
        <w:ind w:firstLine="560" w:firstLineChars="200"/>
        <w:rPr>
          <w:rFonts w:asciiTheme="minorEastAsia" w:hAnsiTheme="minorEastAsia"/>
          <w:color w:val="auto"/>
          <w:sz w:val="28"/>
          <w:szCs w:val="28"/>
        </w:rPr>
      </w:pPr>
      <w:r>
        <w:rPr>
          <w:rFonts w:hint="eastAsia" w:asciiTheme="minorEastAsia" w:hAnsiTheme="minorEastAsia"/>
          <w:color w:val="auto"/>
          <w:sz w:val="28"/>
          <w:szCs w:val="28"/>
        </w:rPr>
        <w:t>20</w:t>
      </w:r>
      <w:r>
        <w:rPr>
          <w:rFonts w:hint="eastAsia" w:asciiTheme="minorEastAsia" w:hAnsiTheme="minorEastAsia"/>
          <w:color w:val="auto"/>
          <w:sz w:val="28"/>
          <w:szCs w:val="28"/>
          <w:lang w:val="en-US" w:eastAsia="zh-CN"/>
        </w:rPr>
        <w:t>20</w:t>
      </w:r>
      <w:r>
        <w:rPr>
          <w:rFonts w:hint="eastAsia" w:asciiTheme="minorEastAsia" w:hAnsiTheme="minorEastAsia"/>
          <w:color w:val="auto"/>
          <w:sz w:val="28"/>
          <w:szCs w:val="28"/>
        </w:rPr>
        <w:t>年度，</w:t>
      </w:r>
      <w:r>
        <w:rPr>
          <w:rFonts w:hint="eastAsia" w:asciiTheme="minorEastAsia" w:hAnsiTheme="minorEastAsia"/>
          <w:color w:val="auto"/>
          <w:sz w:val="28"/>
          <w:szCs w:val="28"/>
          <w:lang w:eastAsia="zh-CN"/>
        </w:rPr>
        <w:t>高一年级按照上级要求使用新教材，其他年级延续之前规定的</w:t>
      </w:r>
      <w:r>
        <w:rPr>
          <w:rFonts w:hint="eastAsia" w:asciiTheme="minorEastAsia" w:hAnsiTheme="minorEastAsia"/>
          <w:color w:val="auto"/>
          <w:sz w:val="28"/>
          <w:szCs w:val="28"/>
        </w:rPr>
        <w:t>教材。</w:t>
      </w:r>
      <w:r>
        <w:rPr>
          <w:rFonts w:hint="eastAsia" w:asciiTheme="minorEastAsia" w:hAnsiTheme="minorEastAsia"/>
          <w:color w:val="auto"/>
          <w:sz w:val="28"/>
          <w:szCs w:val="28"/>
          <w:lang w:eastAsia="zh-CN"/>
        </w:rPr>
        <w:t>总的原则是</w:t>
      </w:r>
      <w:r>
        <w:rPr>
          <w:rFonts w:hint="eastAsia" w:asciiTheme="minorEastAsia" w:hAnsiTheme="minorEastAsia"/>
          <w:color w:val="auto"/>
          <w:sz w:val="28"/>
          <w:szCs w:val="28"/>
        </w:rPr>
        <w:t>以高等教育出版社出版的国编教材为主体，对优秀的省编、地方教材进行选购，并注重选修课校本教材的开发与应用。</w:t>
      </w:r>
    </w:p>
    <w:p>
      <w:pPr>
        <w:pStyle w:val="2"/>
        <w:spacing w:before="0" w:after="0"/>
        <w:ind w:firstLine="560" w:firstLineChars="200"/>
        <w:rPr>
          <w:b w:val="0"/>
          <w:color w:val="auto"/>
          <w:sz w:val="28"/>
          <w:szCs w:val="28"/>
        </w:rPr>
      </w:pPr>
      <w:bookmarkStart w:id="26" w:name="_Toc28958347"/>
      <w:r>
        <w:rPr>
          <w:rFonts w:hint="eastAsia"/>
          <w:b w:val="0"/>
          <w:color w:val="auto"/>
          <w:sz w:val="28"/>
          <w:szCs w:val="28"/>
        </w:rPr>
        <w:t>3.3教师培养培训</w:t>
      </w:r>
      <w:bookmarkEnd w:id="26"/>
    </w:p>
    <w:p>
      <w:pPr>
        <w:pStyle w:val="11"/>
        <w:shd w:val="clear" w:color="auto" w:fill="FFFFFF"/>
        <w:adjustRightInd w:val="0"/>
        <w:snapToGrid w:val="0"/>
        <w:spacing w:before="0" w:beforeAutospacing="0" w:after="0" w:afterAutospacing="0" w:line="360" w:lineRule="auto"/>
        <w:ind w:firstLine="560" w:firstLineChars="200"/>
        <w:rPr>
          <w:color w:val="auto"/>
          <w:sz w:val="28"/>
          <w:szCs w:val="28"/>
        </w:rPr>
      </w:pPr>
      <w:r>
        <w:rPr>
          <w:rFonts w:hint="eastAsia"/>
          <w:color w:val="auto"/>
          <w:sz w:val="28"/>
          <w:szCs w:val="28"/>
        </w:rPr>
        <w:t>接受培训专任教师共计</w:t>
      </w:r>
      <w:r>
        <w:rPr>
          <w:rFonts w:hint="eastAsia"/>
          <w:color w:val="auto"/>
          <w:sz w:val="28"/>
          <w:szCs w:val="28"/>
          <w:lang w:val="en-US" w:eastAsia="zh-CN"/>
        </w:rPr>
        <w:t>71</w:t>
      </w:r>
      <w:r>
        <w:rPr>
          <w:rFonts w:hint="eastAsia"/>
          <w:color w:val="auto"/>
          <w:sz w:val="28"/>
          <w:szCs w:val="28"/>
        </w:rPr>
        <w:t>人147人次，培训课时总计</w:t>
      </w:r>
      <w:r>
        <w:rPr>
          <w:rFonts w:hint="eastAsia"/>
          <w:color w:val="auto"/>
          <w:sz w:val="28"/>
          <w:szCs w:val="28"/>
          <w:lang w:val="en-US" w:eastAsia="zh-CN"/>
        </w:rPr>
        <w:t>4672</w:t>
      </w:r>
      <w:r>
        <w:rPr>
          <w:rFonts w:hint="eastAsia"/>
          <w:color w:val="auto"/>
          <w:sz w:val="28"/>
          <w:szCs w:val="28"/>
        </w:rPr>
        <w:t>.其中省级培训</w:t>
      </w:r>
      <w:r>
        <w:rPr>
          <w:rFonts w:hint="eastAsia"/>
          <w:color w:val="auto"/>
          <w:sz w:val="28"/>
          <w:szCs w:val="28"/>
          <w:lang w:val="en-US" w:eastAsia="zh-CN"/>
        </w:rPr>
        <w:t>22</w:t>
      </w:r>
      <w:r>
        <w:rPr>
          <w:rFonts w:hint="eastAsia"/>
          <w:color w:val="auto"/>
          <w:sz w:val="28"/>
          <w:szCs w:val="28"/>
        </w:rPr>
        <w:t>人，培训学时</w:t>
      </w:r>
      <w:r>
        <w:rPr>
          <w:rFonts w:hint="eastAsia"/>
          <w:color w:val="auto"/>
          <w:sz w:val="28"/>
          <w:szCs w:val="28"/>
          <w:lang w:val="en-US" w:eastAsia="zh-CN"/>
        </w:rPr>
        <w:t>1636</w:t>
      </w:r>
      <w:r>
        <w:rPr>
          <w:rFonts w:hint="eastAsia"/>
          <w:color w:val="auto"/>
          <w:sz w:val="28"/>
          <w:szCs w:val="28"/>
        </w:rPr>
        <w:t>；市级培训</w:t>
      </w:r>
      <w:r>
        <w:rPr>
          <w:rFonts w:hint="eastAsia"/>
          <w:color w:val="auto"/>
          <w:sz w:val="28"/>
          <w:szCs w:val="28"/>
          <w:lang w:val="en-US" w:eastAsia="zh-CN"/>
        </w:rPr>
        <w:t>22</w:t>
      </w:r>
      <w:r>
        <w:rPr>
          <w:rFonts w:hint="eastAsia"/>
          <w:color w:val="auto"/>
          <w:sz w:val="28"/>
          <w:szCs w:val="28"/>
        </w:rPr>
        <w:t>人次，培训学时</w:t>
      </w:r>
      <w:r>
        <w:rPr>
          <w:rFonts w:hint="eastAsia"/>
          <w:color w:val="auto"/>
          <w:sz w:val="28"/>
          <w:szCs w:val="28"/>
          <w:lang w:val="en-US" w:eastAsia="zh-CN"/>
        </w:rPr>
        <w:t>996</w:t>
      </w:r>
      <w:r>
        <w:rPr>
          <w:rFonts w:hint="eastAsia"/>
          <w:color w:val="auto"/>
          <w:sz w:val="28"/>
          <w:szCs w:val="28"/>
        </w:rPr>
        <w:t>；县级</w:t>
      </w:r>
      <w:r>
        <w:rPr>
          <w:rFonts w:hint="eastAsia"/>
          <w:color w:val="auto"/>
          <w:sz w:val="28"/>
          <w:szCs w:val="28"/>
          <w:lang w:val="en-US" w:eastAsia="zh-CN"/>
        </w:rPr>
        <w:t>31</w:t>
      </w:r>
      <w:r>
        <w:rPr>
          <w:rFonts w:hint="eastAsia"/>
          <w:color w:val="auto"/>
          <w:sz w:val="28"/>
          <w:szCs w:val="28"/>
        </w:rPr>
        <w:t>人次，培训学时</w:t>
      </w:r>
      <w:r>
        <w:rPr>
          <w:rFonts w:hint="eastAsia"/>
          <w:color w:val="auto"/>
          <w:sz w:val="28"/>
          <w:szCs w:val="28"/>
          <w:lang w:val="en-US" w:eastAsia="zh-CN"/>
        </w:rPr>
        <w:t>792</w:t>
      </w:r>
      <w:r>
        <w:rPr>
          <w:rFonts w:hint="eastAsia"/>
          <w:color w:val="auto"/>
          <w:sz w:val="28"/>
          <w:szCs w:val="28"/>
        </w:rPr>
        <w:t>；校级培训7</w:t>
      </w:r>
      <w:r>
        <w:rPr>
          <w:rFonts w:hint="eastAsia"/>
          <w:color w:val="auto"/>
          <w:sz w:val="28"/>
          <w:szCs w:val="28"/>
          <w:lang w:val="en-US" w:eastAsia="zh-CN"/>
        </w:rPr>
        <w:t>1</w:t>
      </w:r>
      <w:r>
        <w:rPr>
          <w:rFonts w:hint="eastAsia"/>
          <w:color w:val="auto"/>
          <w:sz w:val="28"/>
          <w:szCs w:val="28"/>
        </w:rPr>
        <w:t>人次，共计</w:t>
      </w:r>
      <w:r>
        <w:rPr>
          <w:rFonts w:hint="eastAsia"/>
          <w:color w:val="auto"/>
          <w:sz w:val="28"/>
          <w:szCs w:val="28"/>
          <w:lang w:val="en-US" w:eastAsia="zh-CN"/>
        </w:rPr>
        <w:t>1704</w:t>
      </w:r>
      <w:r>
        <w:rPr>
          <w:rFonts w:hint="eastAsia"/>
          <w:color w:val="auto"/>
          <w:sz w:val="28"/>
          <w:szCs w:val="28"/>
        </w:rPr>
        <w:t>学时。</w:t>
      </w:r>
    </w:p>
    <w:p>
      <w:pPr>
        <w:pStyle w:val="2"/>
        <w:spacing w:before="0" w:after="0"/>
        <w:ind w:firstLine="560" w:firstLineChars="200"/>
        <w:rPr>
          <w:b w:val="0"/>
          <w:color w:val="auto"/>
          <w:sz w:val="28"/>
          <w:szCs w:val="28"/>
        </w:rPr>
      </w:pPr>
      <w:bookmarkStart w:id="27" w:name="_Toc28958348"/>
      <w:r>
        <w:rPr>
          <w:rFonts w:hint="eastAsia"/>
          <w:b w:val="0"/>
          <w:color w:val="auto"/>
          <w:sz w:val="28"/>
          <w:szCs w:val="28"/>
        </w:rPr>
        <w:t>3.4规范管理情况</w:t>
      </w:r>
      <w:bookmarkEnd w:id="27"/>
    </w:p>
    <w:p>
      <w:pPr>
        <w:pStyle w:val="3"/>
        <w:spacing w:before="0" w:after="0" w:line="240" w:lineRule="auto"/>
        <w:ind w:firstLine="560" w:firstLineChars="200"/>
        <w:rPr>
          <w:rFonts w:asciiTheme="minorEastAsia" w:hAnsiTheme="minorEastAsia" w:eastAsiaTheme="minorEastAsia"/>
          <w:b w:val="0"/>
          <w:color w:val="auto"/>
          <w:sz w:val="28"/>
          <w:szCs w:val="28"/>
        </w:rPr>
      </w:pPr>
      <w:bookmarkStart w:id="28" w:name="_Toc28958349"/>
      <w:r>
        <w:rPr>
          <w:rFonts w:hint="eastAsia" w:asciiTheme="minorEastAsia" w:hAnsiTheme="minorEastAsia" w:eastAsiaTheme="minorEastAsia"/>
          <w:b w:val="0"/>
          <w:color w:val="auto"/>
          <w:sz w:val="28"/>
          <w:szCs w:val="28"/>
        </w:rPr>
        <w:t>3.4.1 教学管理情况</w:t>
      </w:r>
      <w:bookmarkEnd w:id="28"/>
    </w:p>
    <w:p>
      <w:pPr>
        <w:pStyle w:val="11"/>
        <w:shd w:val="clear" w:color="auto" w:fill="FFFFFF"/>
        <w:adjustRightInd w:val="0"/>
        <w:snapToGrid w:val="0"/>
        <w:spacing w:before="0" w:beforeAutospacing="0" w:after="0" w:afterAutospacing="0" w:line="360" w:lineRule="auto"/>
        <w:ind w:firstLine="560" w:firstLineChars="200"/>
        <w:rPr>
          <w:rFonts w:asciiTheme="minorEastAsia" w:hAnsiTheme="minorEastAsia"/>
          <w:color w:val="auto"/>
          <w:sz w:val="28"/>
          <w:szCs w:val="28"/>
        </w:rPr>
      </w:pPr>
      <w:r>
        <w:rPr>
          <w:rFonts w:hint="eastAsia" w:asciiTheme="minorEastAsia" w:hAnsiTheme="minorEastAsia"/>
          <w:color w:val="auto"/>
          <w:sz w:val="28"/>
          <w:szCs w:val="28"/>
        </w:rPr>
        <w:t>学校教学机构健全，教学管理制度完备。建立了校、年级两级教学管理联动机制，实行校年级组、教研组、备课组三个层面的教学质量监控体系。制定了《教学考核办法》等有关教与学的系列制度，通过对教师的教学常规考核、学生考试成绩考核、学生民主测评等等，调动教师工作的积极性。</w:t>
      </w:r>
    </w:p>
    <w:p>
      <w:pPr>
        <w:pStyle w:val="3"/>
        <w:spacing w:before="0" w:after="0" w:line="240" w:lineRule="auto"/>
        <w:ind w:firstLine="560" w:firstLineChars="200"/>
        <w:rPr>
          <w:rFonts w:asciiTheme="minorEastAsia" w:hAnsiTheme="minorEastAsia" w:eastAsiaTheme="minorEastAsia"/>
          <w:b w:val="0"/>
          <w:color w:val="auto"/>
          <w:sz w:val="28"/>
          <w:szCs w:val="28"/>
        </w:rPr>
      </w:pPr>
      <w:bookmarkStart w:id="29" w:name="_Toc28958350"/>
      <w:r>
        <w:rPr>
          <w:rFonts w:asciiTheme="minorEastAsia" w:hAnsiTheme="minorEastAsia" w:eastAsiaTheme="minorEastAsia"/>
          <w:b w:val="0"/>
          <w:color w:val="auto"/>
          <w:sz w:val="28"/>
          <w:szCs w:val="28"/>
        </w:rPr>
        <w:t>3.4.2学生管理</w:t>
      </w:r>
      <w:bookmarkEnd w:id="29"/>
    </w:p>
    <w:p>
      <w:pPr>
        <w:pStyle w:val="11"/>
        <w:shd w:val="clear" w:color="auto" w:fill="FFFFFF"/>
        <w:adjustRightInd w:val="0"/>
        <w:snapToGrid w:val="0"/>
        <w:spacing w:before="0" w:beforeAutospacing="0" w:after="0" w:afterAutospacing="0" w:line="360" w:lineRule="auto"/>
        <w:ind w:firstLine="560" w:firstLineChars="200"/>
        <w:rPr>
          <w:rFonts w:asciiTheme="minorEastAsia" w:hAnsiTheme="minorEastAsia"/>
          <w:b/>
          <w:bCs/>
          <w:color w:val="auto"/>
          <w:sz w:val="28"/>
          <w:szCs w:val="28"/>
        </w:rPr>
      </w:pPr>
      <w:r>
        <w:rPr>
          <w:rFonts w:hint="eastAsia" w:asciiTheme="minorEastAsia" w:hAnsiTheme="minorEastAsia"/>
          <w:color w:val="auto"/>
          <w:sz w:val="28"/>
          <w:szCs w:val="28"/>
        </w:rPr>
        <w:t>一是加强德育队伍建设。学校进一步加强德育队伍建设，健全班主任岗位职责、工作条例、班主任工作量化考评激励机制，完善了德育例会和班主任例会制度。建立完善了校园安保队伍，完善新老班主任结对制度，要求班主任积极参加市县级班主任能力大赛和德育导师比赛。二是围绕“崇德尚美”的校训精神，建立了具有我校艺术特色的人文德育管理模式，形成了人人关心学生成长、全员德育的育人氛围。最终形成了一个理念即“德育为先会做人，技能为本会做事”的德育理念；三是家校共建。建立了家长开放日，邀请家长来校指导工作，全学期共发各类家庭教育、通知短信百余次。四是开展专项教育活动：通过开展美丽系列创建活动，“美丽教师”、“美丽学生”、“美丽办公室”“优秀团支部”等评选活动，“禁烟控烟”“文明创建”教育活动，“反对校园欺凌”、“禁毒”“爱国主义教育”“法制讲座”“扫黑除恶”“防溺水”“国家宪法日”专题教育活动等等，提升了学生的法纪意识和自我管理能力。</w:t>
      </w:r>
    </w:p>
    <w:p>
      <w:pPr>
        <w:pStyle w:val="3"/>
        <w:spacing w:before="0" w:after="0" w:line="240" w:lineRule="auto"/>
        <w:ind w:firstLine="560" w:firstLineChars="200"/>
        <w:rPr>
          <w:rFonts w:asciiTheme="minorEastAsia" w:hAnsiTheme="minorEastAsia" w:eastAsiaTheme="minorEastAsia"/>
          <w:b w:val="0"/>
          <w:color w:val="auto"/>
          <w:sz w:val="28"/>
          <w:szCs w:val="28"/>
        </w:rPr>
      </w:pPr>
      <w:bookmarkStart w:id="30" w:name="_Toc28958351"/>
      <w:r>
        <w:rPr>
          <w:rFonts w:hint="eastAsia" w:asciiTheme="minorEastAsia" w:hAnsiTheme="minorEastAsia" w:eastAsiaTheme="minorEastAsia"/>
          <w:b w:val="0"/>
          <w:color w:val="auto"/>
          <w:sz w:val="28"/>
          <w:szCs w:val="28"/>
        </w:rPr>
        <w:t>3.4.3后勤服务</w:t>
      </w:r>
      <w:bookmarkEnd w:id="30"/>
    </w:p>
    <w:p>
      <w:pPr>
        <w:widowControl/>
        <w:spacing w:line="360" w:lineRule="auto"/>
        <w:ind w:firstLine="640"/>
        <w:rPr>
          <w:rFonts w:ascii="宋体" w:hAnsi="宋体" w:cs="宋体"/>
          <w:color w:val="auto"/>
          <w:kern w:val="0"/>
          <w:sz w:val="28"/>
          <w:szCs w:val="28"/>
        </w:rPr>
      </w:pPr>
      <w:r>
        <w:rPr>
          <w:rFonts w:hint="eastAsia" w:ascii="宋体" w:hAnsi="宋体" w:cs="宋体"/>
          <w:color w:val="auto"/>
          <w:kern w:val="0"/>
          <w:sz w:val="28"/>
          <w:szCs w:val="28"/>
        </w:rPr>
        <w:t>一是后勤服务有保障。及时维修教室宿舍水电设施、办公桌椅等各类公用设施；根据需要及时采买，保障供应各类办公用品及教学物资；按照规范程序完成各类专项资金、年度预算资金的政府采购工作；同时，按上级要求及时完成各类材料报送与数据上报，二是财务运行有秩序。财务管理严格执行财务法规，规范设立总账、现金出纳会计，成立由主要负责人、财务副校长，总务主任及监委会成员组成的采购招标小组，工会设立财务监督小组；所有物资采购及支出一律实行先申报、后实施的运行制度；财务运行做到用款有计划，收支有标准，分析有资料，监督有要求。三是公务活动规范化。学校严格按照上级要求认真做好公务消费一体化工作，应网上备案的项目全部备案，无公务消费报警现象发生；学校严格公务消费接待管理规定的执行，接待等公务消费持续保低位运行。</w:t>
      </w:r>
    </w:p>
    <w:p>
      <w:pPr>
        <w:pStyle w:val="3"/>
        <w:spacing w:before="0" w:after="0" w:line="240" w:lineRule="auto"/>
        <w:ind w:firstLine="560" w:firstLineChars="200"/>
        <w:rPr>
          <w:rFonts w:asciiTheme="minorEastAsia" w:hAnsiTheme="minorEastAsia" w:eastAsiaTheme="minorEastAsia"/>
          <w:b w:val="0"/>
          <w:color w:val="auto"/>
          <w:sz w:val="28"/>
          <w:szCs w:val="28"/>
        </w:rPr>
      </w:pPr>
      <w:bookmarkStart w:id="31" w:name="_Toc28958352"/>
      <w:r>
        <w:rPr>
          <w:rFonts w:hint="eastAsia" w:asciiTheme="minorEastAsia" w:hAnsiTheme="minorEastAsia" w:eastAsiaTheme="minorEastAsia"/>
          <w:b w:val="0"/>
          <w:color w:val="auto"/>
          <w:sz w:val="28"/>
          <w:szCs w:val="28"/>
        </w:rPr>
        <w:t>3.4.4安全教育</w:t>
      </w:r>
      <w:bookmarkEnd w:id="31"/>
    </w:p>
    <w:p>
      <w:pPr>
        <w:widowControl/>
        <w:spacing w:line="360" w:lineRule="auto"/>
        <w:ind w:firstLine="640"/>
        <w:rPr>
          <w:rFonts w:ascii="宋体" w:hAnsi="宋体" w:cs="宋体"/>
          <w:color w:val="auto"/>
          <w:kern w:val="0"/>
          <w:sz w:val="28"/>
          <w:szCs w:val="28"/>
        </w:rPr>
      </w:pPr>
      <w:r>
        <w:rPr>
          <w:rFonts w:hint="eastAsia" w:ascii="宋体" w:hAnsi="宋体" w:cs="宋体"/>
          <w:color w:val="auto"/>
          <w:kern w:val="0"/>
          <w:sz w:val="28"/>
          <w:szCs w:val="28"/>
        </w:rPr>
        <w:t>学校坚持“预防为主”的安全稳定原则，先后组织开展了消防安全、防灾减灾日、全国中小学生安全教育日、防溺水、安全生产月、食品安全宣传周、“校园安全大排查”等专题教育活动。在迎接多部门开展的安全工作大检查活动中，我校安全工作获充分肯定。学校进一步强化依法治校和综合治理工作意识，先后组织开展了法治教育宣传、国家宪法日、抵制校园欺凌、禁毒图片展、观看禁毒影片等专题教育活动，师生违法犯罪率为零。连续多年获得安吉县教育局5A级平安校园。</w:t>
      </w:r>
    </w:p>
    <w:p>
      <w:pPr>
        <w:pStyle w:val="3"/>
        <w:spacing w:before="0" w:after="0" w:line="240" w:lineRule="auto"/>
        <w:ind w:firstLine="560" w:firstLineChars="200"/>
        <w:rPr>
          <w:rFonts w:asciiTheme="minorEastAsia" w:hAnsiTheme="minorEastAsia" w:eastAsiaTheme="minorEastAsia"/>
          <w:b w:val="0"/>
          <w:color w:val="auto"/>
          <w:sz w:val="28"/>
          <w:szCs w:val="28"/>
        </w:rPr>
      </w:pPr>
      <w:bookmarkStart w:id="32" w:name="_Toc28958353"/>
      <w:r>
        <w:rPr>
          <w:rFonts w:hint="eastAsia" w:asciiTheme="minorEastAsia" w:hAnsiTheme="minorEastAsia" w:eastAsiaTheme="minorEastAsia"/>
          <w:b w:val="0"/>
          <w:color w:val="auto"/>
          <w:sz w:val="28"/>
          <w:szCs w:val="28"/>
        </w:rPr>
        <w:t>3.4.5科研管理</w:t>
      </w:r>
      <w:bookmarkEnd w:id="32"/>
    </w:p>
    <w:p>
      <w:pPr>
        <w:pStyle w:val="11"/>
        <w:shd w:val="clear" w:color="auto" w:fill="FFFFFF"/>
        <w:adjustRightInd w:val="0"/>
        <w:snapToGrid w:val="0"/>
        <w:spacing w:before="0" w:beforeAutospacing="0" w:after="0" w:afterAutospacing="0" w:line="360" w:lineRule="auto"/>
        <w:ind w:firstLine="48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本学年我校从研究课堂教学入手，开展 “基于学习型备课组建设，提升教师‘有效达成教学目标’的能力”主题校本培训。通过“专家讲座”、 “自行学习”、“听课评课”,各个教研组围绕学校主题，结合各组的实际情况，有针对性地对各组课堂教学进行研究，促进教师教育观念的转变和教育教学能力的提高。</w:t>
      </w:r>
    </w:p>
    <w:p>
      <w:pPr>
        <w:pStyle w:val="2"/>
        <w:spacing w:before="0" w:after="0"/>
        <w:ind w:firstLine="560" w:firstLineChars="200"/>
        <w:rPr>
          <w:b w:val="0"/>
          <w:color w:val="auto"/>
          <w:sz w:val="28"/>
          <w:szCs w:val="28"/>
        </w:rPr>
      </w:pPr>
      <w:bookmarkStart w:id="33" w:name="_Toc28958354"/>
      <w:r>
        <w:rPr>
          <w:rFonts w:hint="eastAsia"/>
          <w:b w:val="0"/>
          <w:color w:val="auto"/>
          <w:sz w:val="28"/>
          <w:szCs w:val="28"/>
        </w:rPr>
        <w:t>3.5德育工作情况</w:t>
      </w:r>
      <w:bookmarkEnd w:id="33"/>
    </w:p>
    <w:p>
      <w:pPr>
        <w:pStyle w:val="3"/>
        <w:spacing w:before="0" w:after="0" w:line="240" w:lineRule="auto"/>
        <w:ind w:firstLine="560" w:firstLineChars="200"/>
        <w:rPr>
          <w:rFonts w:ascii="宋体" w:hAnsi="宋体"/>
          <w:b w:val="0"/>
          <w:color w:val="auto"/>
          <w:sz w:val="28"/>
          <w:szCs w:val="28"/>
        </w:rPr>
      </w:pPr>
      <w:bookmarkStart w:id="34" w:name="_Toc28958355"/>
      <w:r>
        <w:rPr>
          <w:rFonts w:hint="eastAsia" w:ascii="宋体" w:hAnsi="宋体"/>
          <w:b w:val="0"/>
          <w:color w:val="auto"/>
          <w:sz w:val="28"/>
          <w:szCs w:val="28"/>
        </w:rPr>
        <w:t>3.5.1明确职责，精心打造学校的德育队伍</w:t>
      </w:r>
      <w:bookmarkEnd w:id="34"/>
    </w:p>
    <w:p>
      <w:pPr>
        <w:pStyle w:val="11"/>
        <w:numPr>
          <w:ilvl w:val="0"/>
          <w:numId w:val="1"/>
        </w:numPr>
        <w:shd w:val="clear" w:color="auto" w:fill="FFFFFF"/>
        <w:adjustRightInd w:val="0"/>
        <w:snapToGrid w:val="0"/>
        <w:spacing w:before="0" w:beforeAutospacing="0" w:after="0" w:afterAutospacing="0" w:line="360" w:lineRule="auto"/>
        <w:rPr>
          <w:color w:val="auto"/>
          <w:sz w:val="28"/>
          <w:szCs w:val="28"/>
        </w:rPr>
      </w:pPr>
      <w:r>
        <w:rPr>
          <w:rFonts w:hint="eastAsia"/>
          <w:color w:val="auto"/>
          <w:sz w:val="28"/>
          <w:szCs w:val="28"/>
        </w:rPr>
        <w:t>建立领导小组，明确工作职责。</w:t>
      </w:r>
    </w:p>
    <w:p>
      <w:pPr>
        <w:pStyle w:val="11"/>
        <w:numPr>
          <w:ilvl w:val="0"/>
          <w:numId w:val="1"/>
        </w:numPr>
        <w:shd w:val="clear" w:color="auto" w:fill="FFFFFF"/>
        <w:adjustRightInd w:val="0"/>
        <w:snapToGrid w:val="0"/>
        <w:spacing w:before="0" w:beforeAutospacing="0" w:after="0" w:afterAutospacing="0" w:line="360" w:lineRule="auto"/>
        <w:rPr>
          <w:color w:val="auto"/>
          <w:sz w:val="28"/>
          <w:szCs w:val="28"/>
        </w:rPr>
      </w:pPr>
      <w:r>
        <w:rPr>
          <w:rFonts w:hint="eastAsia"/>
          <w:color w:val="auto"/>
          <w:sz w:val="28"/>
          <w:szCs w:val="28"/>
        </w:rPr>
        <w:t>强化班主任、门卫寝管和团委三支德育队伍建设。</w:t>
      </w:r>
    </w:p>
    <w:p>
      <w:pPr>
        <w:pStyle w:val="3"/>
        <w:spacing w:before="0" w:after="0" w:line="240" w:lineRule="auto"/>
        <w:ind w:firstLine="560" w:firstLineChars="200"/>
        <w:rPr>
          <w:rFonts w:ascii="宋体" w:hAnsi="宋体"/>
          <w:b w:val="0"/>
          <w:color w:val="auto"/>
          <w:sz w:val="28"/>
          <w:szCs w:val="28"/>
        </w:rPr>
      </w:pPr>
      <w:bookmarkStart w:id="35" w:name="_Toc28958356"/>
      <w:r>
        <w:rPr>
          <w:rFonts w:hint="eastAsia" w:ascii="宋体" w:hAnsi="宋体"/>
          <w:b w:val="0"/>
          <w:color w:val="auto"/>
          <w:sz w:val="28"/>
          <w:szCs w:val="28"/>
        </w:rPr>
        <w:t>3.5.2积极创设多样平台，扎实开展学校各项德育工作</w:t>
      </w:r>
      <w:bookmarkEnd w:id="35"/>
    </w:p>
    <w:p>
      <w:pPr>
        <w:pStyle w:val="11"/>
        <w:numPr>
          <w:ilvl w:val="0"/>
          <w:numId w:val="2"/>
        </w:numPr>
        <w:shd w:val="clear" w:color="auto" w:fill="FFFFFF"/>
        <w:adjustRightInd w:val="0"/>
        <w:snapToGrid w:val="0"/>
        <w:spacing w:before="0" w:beforeAutospacing="0" w:after="0" w:afterAutospacing="0" w:line="360" w:lineRule="auto"/>
        <w:rPr>
          <w:color w:val="auto"/>
          <w:sz w:val="28"/>
          <w:szCs w:val="28"/>
        </w:rPr>
      </w:pPr>
      <w:r>
        <w:rPr>
          <w:rFonts w:hint="eastAsia"/>
          <w:color w:val="auto"/>
          <w:sz w:val="28"/>
          <w:szCs w:val="28"/>
        </w:rPr>
        <w:t>明确职责，时刻牢抓“平安校园”工程。</w:t>
      </w:r>
    </w:p>
    <w:p>
      <w:pPr>
        <w:pStyle w:val="11"/>
        <w:numPr>
          <w:ilvl w:val="0"/>
          <w:numId w:val="2"/>
        </w:numPr>
        <w:shd w:val="clear" w:color="auto" w:fill="FFFFFF"/>
        <w:adjustRightInd w:val="0"/>
        <w:snapToGrid w:val="0"/>
        <w:spacing w:before="0" w:beforeAutospacing="0" w:after="0" w:afterAutospacing="0" w:line="360" w:lineRule="auto"/>
        <w:rPr>
          <w:color w:val="auto"/>
          <w:sz w:val="28"/>
          <w:szCs w:val="28"/>
        </w:rPr>
      </w:pPr>
      <w:r>
        <w:rPr>
          <w:rFonts w:hint="eastAsia"/>
          <w:color w:val="auto"/>
          <w:sz w:val="28"/>
          <w:szCs w:val="28"/>
        </w:rPr>
        <w:t>拓展方式，坚定推进“美丽班级创建”。</w:t>
      </w:r>
    </w:p>
    <w:p>
      <w:pPr>
        <w:pStyle w:val="11"/>
        <w:numPr>
          <w:ilvl w:val="0"/>
          <w:numId w:val="2"/>
        </w:numPr>
        <w:shd w:val="clear" w:color="auto" w:fill="FFFFFF"/>
        <w:adjustRightInd w:val="0"/>
        <w:snapToGrid w:val="0"/>
        <w:spacing w:before="0" w:beforeAutospacing="0" w:after="0" w:afterAutospacing="0" w:line="360" w:lineRule="auto"/>
        <w:rPr>
          <w:color w:val="auto"/>
          <w:sz w:val="28"/>
          <w:szCs w:val="28"/>
        </w:rPr>
      </w:pPr>
      <w:r>
        <w:rPr>
          <w:rFonts w:hint="eastAsia"/>
          <w:color w:val="auto"/>
          <w:sz w:val="28"/>
          <w:szCs w:val="28"/>
        </w:rPr>
        <w:t>开拓创新，突出“艺术校园”特色。</w:t>
      </w:r>
    </w:p>
    <w:p>
      <w:pPr>
        <w:pStyle w:val="11"/>
        <w:numPr>
          <w:ilvl w:val="0"/>
          <w:numId w:val="2"/>
        </w:numPr>
        <w:shd w:val="clear" w:color="auto" w:fill="FFFFFF"/>
        <w:adjustRightInd w:val="0"/>
        <w:snapToGrid w:val="0"/>
        <w:spacing w:before="0" w:beforeAutospacing="0" w:after="0" w:afterAutospacing="0" w:line="360" w:lineRule="auto"/>
        <w:rPr>
          <w:color w:val="auto"/>
          <w:sz w:val="28"/>
          <w:szCs w:val="28"/>
        </w:rPr>
      </w:pPr>
      <w:r>
        <w:rPr>
          <w:rFonts w:hint="eastAsia"/>
          <w:color w:val="auto"/>
          <w:sz w:val="28"/>
          <w:szCs w:val="28"/>
        </w:rPr>
        <w:t>构建家校共育机制，共同营造孩子成长的良好环境。</w:t>
      </w:r>
    </w:p>
    <w:p>
      <w:pPr>
        <w:pStyle w:val="3"/>
        <w:spacing w:before="0" w:after="0" w:line="240" w:lineRule="auto"/>
        <w:ind w:firstLine="560" w:firstLineChars="200"/>
        <w:rPr>
          <w:rFonts w:ascii="宋体" w:hAnsi="宋体"/>
          <w:b w:val="0"/>
          <w:color w:val="auto"/>
          <w:sz w:val="28"/>
          <w:szCs w:val="28"/>
        </w:rPr>
      </w:pPr>
      <w:bookmarkStart w:id="36" w:name="_Toc28958357"/>
      <w:r>
        <w:rPr>
          <w:rFonts w:hint="eastAsia" w:ascii="宋体" w:hAnsi="宋体"/>
          <w:b w:val="0"/>
          <w:color w:val="auto"/>
          <w:sz w:val="28"/>
          <w:szCs w:val="28"/>
        </w:rPr>
        <w:t>3.5.3德育课和校园文化建设</w:t>
      </w:r>
      <w:bookmarkEnd w:id="36"/>
    </w:p>
    <w:p>
      <w:pPr>
        <w:pStyle w:val="11"/>
        <w:shd w:val="clear" w:color="auto" w:fill="FFFFFF"/>
        <w:adjustRightInd w:val="0"/>
        <w:snapToGrid w:val="0"/>
        <w:spacing w:before="0" w:beforeAutospacing="0" w:after="0" w:afterAutospacing="0" w:line="360" w:lineRule="auto"/>
        <w:ind w:firstLine="560" w:firstLineChars="200"/>
        <w:rPr>
          <w:color w:val="auto"/>
          <w:sz w:val="28"/>
          <w:szCs w:val="28"/>
        </w:rPr>
      </w:pPr>
      <w:r>
        <w:rPr>
          <w:rFonts w:hint="eastAsia"/>
          <w:color w:val="auto"/>
          <w:sz w:val="28"/>
          <w:szCs w:val="28"/>
        </w:rPr>
        <w:t>德育是基础教育的重要内容，是全面推进</w:t>
      </w:r>
      <w:r>
        <w:rPr>
          <w:rFonts w:hint="eastAsia"/>
          <w:color w:val="auto"/>
          <w:sz w:val="28"/>
          <w:szCs w:val="28"/>
          <w:shd w:val="clear" w:color="auto" w:fill="FFFFFF"/>
        </w:rPr>
        <w:t>素质教育的灵魂。学校把“育人为本，德育为先”作为了一项重要的战略主题。教育的发展需要硬件建设，更需要软件建设。在软件建设中，课程是最重要的因素，因此安吉艺高德育工作在《教育发展纲要》的引领下努力积极探索学校“德育课程化”建设，坚持“德育为先会做人，技能为本会做事”总体规划、设计和实施德育课程，努力打造亮点寝室这一育人新的阵地。自召开校园文化建设推进会以来，我校高度重视，积极营造校园文化建设氛围，以“德育课程化”为突破口打造我校的学生文化，通过系列德育课程活动把学校的学生文化理念内化为学生的气质。</w:t>
      </w:r>
    </w:p>
    <w:p>
      <w:pPr>
        <w:pStyle w:val="3"/>
        <w:spacing w:before="0" w:after="0" w:line="240" w:lineRule="auto"/>
        <w:ind w:firstLine="560" w:firstLineChars="200"/>
        <w:rPr>
          <w:rFonts w:ascii="宋体" w:hAnsi="宋体"/>
          <w:b w:val="0"/>
          <w:color w:val="auto"/>
          <w:sz w:val="28"/>
          <w:szCs w:val="28"/>
        </w:rPr>
      </w:pPr>
      <w:bookmarkStart w:id="37" w:name="_Toc28958358"/>
      <w:r>
        <w:rPr>
          <w:rFonts w:hint="eastAsia" w:ascii="宋体" w:hAnsi="宋体"/>
          <w:b w:val="0"/>
          <w:color w:val="auto"/>
          <w:sz w:val="28"/>
          <w:szCs w:val="28"/>
        </w:rPr>
        <w:t>3.5.4团队建设活动</w:t>
      </w:r>
      <w:bookmarkEnd w:id="37"/>
    </w:p>
    <w:p>
      <w:pPr>
        <w:adjustRightInd w:val="0"/>
        <w:snapToGrid w:val="0"/>
        <w:spacing w:line="360" w:lineRule="auto"/>
        <w:ind w:firstLine="560" w:firstLineChars="200"/>
        <w:rPr>
          <w:rFonts w:ascii="宋体" w:hAnsi="宋体"/>
          <w:color w:val="auto"/>
          <w:sz w:val="28"/>
          <w:szCs w:val="28"/>
        </w:rPr>
      </w:pPr>
      <w:r>
        <w:rPr>
          <w:rFonts w:hint="eastAsia" w:ascii="宋体" w:hAnsi="宋体"/>
          <w:color w:val="auto"/>
          <w:sz w:val="28"/>
          <w:szCs w:val="28"/>
        </w:rPr>
        <w:t>通过学校的广播站、黑板报、展板等宣传途径来加强学生的思想教育，树立他们正确的人生观、价值观，从而在学校里努力学习。关注国内外重大新闻通过广播和黑板报等宣传阵地加大教育。</w:t>
      </w:r>
    </w:p>
    <w:p>
      <w:pPr>
        <w:adjustRightInd w:val="0"/>
        <w:snapToGrid w:val="0"/>
        <w:spacing w:line="360" w:lineRule="auto"/>
        <w:ind w:firstLine="560" w:firstLineChars="200"/>
        <w:rPr>
          <w:rFonts w:ascii="宋体" w:hAnsi="宋体"/>
          <w:color w:val="auto"/>
          <w:sz w:val="28"/>
          <w:szCs w:val="28"/>
        </w:rPr>
      </w:pPr>
      <w:r>
        <w:rPr>
          <w:rFonts w:hint="eastAsia" w:ascii="宋体" w:hAnsi="宋体"/>
          <w:color w:val="auto"/>
          <w:sz w:val="28"/>
          <w:szCs w:val="28"/>
        </w:rPr>
        <w:t>举办业余团校学习班，今年校团委举办了20</w:t>
      </w:r>
      <w:r>
        <w:rPr>
          <w:rFonts w:hint="eastAsia" w:ascii="宋体" w:hAnsi="宋体"/>
          <w:color w:val="auto"/>
          <w:sz w:val="28"/>
          <w:szCs w:val="28"/>
          <w:lang w:val="en-US" w:eastAsia="zh-CN"/>
        </w:rPr>
        <w:t>20</w:t>
      </w:r>
      <w:r>
        <w:rPr>
          <w:rFonts w:hint="eastAsia" w:ascii="宋体" w:hAnsi="宋体"/>
          <w:color w:val="auto"/>
          <w:sz w:val="28"/>
          <w:szCs w:val="28"/>
        </w:rPr>
        <w:t>学年业余团校培训班，参加培训的学员共计30名，邀请了学校政治理论水平高和管理水平高的校级领导来担任主讲，培训期间老师们认真讲解党史、党章和党的指导思想，严格把关。</w:t>
      </w:r>
    </w:p>
    <w:p>
      <w:pPr>
        <w:pStyle w:val="2"/>
        <w:spacing w:before="0" w:after="0"/>
        <w:ind w:firstLine="560" w:firstLineChars="200"/>
        <w:rPr>
          <w:b w:val="0"/>
          <w:color w:val="auto"/>
          <w:sz w:val="28"/>
          <w:szCs w:val="28"/>
        </w:rPr>
      </w:pPr>
      <w:bookmarkStart w:id="38" w:name="_Toc28958359"/>
      <w:r>
        <w:rPr>
          <w:rFonts w:hint="eastAsia"/>
          <w:b w:val="0"/>
          <w:color w:val="auto"/>
          <w:sz w:val="28"/>
          <w:szCs w:val="28"/>
        </w:rPr>
        <w:t>3.6党建情况</w:t>
      </w:r>
      <w:bookmarkEnd w:id="38"/>
    </w:p>
    <w:p>
      <w:pPr>
        <w:pStyle w:val="3"/>
        <w:spacing w:before="0" w:after="0" w:line="240" w:lineRule="auto"/>
        <w:ind w:firstLine="560" w:firstLineChars="200"/>
        <w:rPr>
          <w:rFonts w:asciiTheme="minorEastAsia" w:hAnsiTheme="minorEastAsia" w:eastAsiaTheme="minorEastAsia"/>
          <w:b w:val="0"/>
          <w:color w:val="auto"/>
          <w:sz w:val="28"/>
          <w:szCs w:val="28"/>
        </w:rPr>
      </w:pPr>
      <w:bookmarkStart w:id="39" w:name="_Toc28958360"/>
      <w:r>
        <w:rPr>
          <w:rFonts w:hint="eastAsia" w:asciiTheme="minorEastAsia" w:hAnsiTheme="minorEastAsia" w:eastAsiaTheme="minorEastAsia"/>
          <w:b w:val="0"/>
          <w:color w:val="auto"/>
          <w:sz w:val="28"/>
          <w:szCs w:val="28"/>
        </w:rPr>
        <w:t>3.6.1主要工作</w:t>
      </w:r>
      <w:bookmarkEnd w:id="39"/>
    </w:p>
    <w:p>
      <w:pPr>
        <w:pStyle w:val="29"/>
        <w:numPr>
          <w:ilvl w:val="0"/>
          <w:numId w:val="3"/>
        </w:numPr>
        <w:adjustRightInd w:val="0"/>
        <w:snapToGrid w:val="0"/>
        <w:spacing w:line="360" w:lineRule="auto"/>
        <w:ind w:firstLineChars="0"/>
        <w:rPr>
          <w:rFonts w:asciiTheme="minorEastAsia" w:hAnsiTheme="minorEastAsia"/>
          <w:color w:val="auto"/>
          <w:sz w:val="28"/>
          <w:szCs w:val="28"/>
        </w:rPr>
      </w:pPr>
      <w:r>
        <w:rPr>
          <w:rFonts w:hint="eastAsia" w:asciiTheme="minorEastAsia" w:hAnsiTheme="minorEastAsia"/>
          <w:color w:val="auto"/>
          <w:sz w:val="28"/>
          <w:szCs w:val="28"/>
        </w:rPr>
        <w:t>健全组织建设</w:t>
      </w:r>
    </w:p>
    <w:p>
      <w:pPr>
        <w:widowControl/>
        <w:adjustRightInd w:val="0"/>
        <w:snapToGrid w:val="0"/>
        <w:spacing w:line="360" w:lineRule="auto"/>
        <w:ind w:firstLine="560" w:firstLineChars="200"/>
        <w:jc w:val="left"/>
        <w:rPr>
          <w:rFonts w:cs="仿宋" w:asciiTheme="minorEastAsia" w:hAnsiTheme="minorEastAsia" w:eastAsiaTheme="minorEastAsia"/>
          <w:color w:val="auto"/>
          <w:kern w:val="0"/>
          <w:sz w:val="28"/>
          <w:szCs w:val="28"/>
        </w:rPr>
      </w:pPr>
      <w:r>
        <w:rPr>
          <w:rFonts w:hint="eastAsia" w:cs="仿宋" w:asciiTheme="minorEastAsia" w:hAnsiTheme="minorEastAsia" w:eastAsiaTheme="minorEastAsia"/>
          <w:color w:val="auto"/>
          <w:kern w:val="0"/>
          <w:sz w:val="28"/>
          <w:szCs w:val="28"/>
        </w:rPr>
        <w:t>（1）</w:t>
      </w:r>
      <w:r>
        <w:rPr>
          <w:rFonts w:hint="eastAsia" w:cs="仿宋" w:asciiTheme="minorEastAsia" w:hAnsiTheme="minorEastAsia" w:eastAsiaTheme="minorEastAsia"/>
          <w:color w:val="auto"/>
          <w:kern w:val="0"/>
          <w:sz w:val="28"/>
          <w:szCs w:val="28"/>
          <w:lang w:val="en-US" w:eastAsia="zh-CN"/>
        </w:rPr>
        <w:t>2020年8月，因工作调整，学校支部委员进行相应调整，</w:t>
      </w:r>
      <w:r>
        <w:rPr>
          <w:rFonts w:hint="eastAsia" w:cs="仿宋" w:asciiTheme="minorEastAsia" w:hAnsiTheme="minorEastAsia" w:eastAsiaTheme="minorEastAsia"/>
          <w:color w:val="auto"/>
          <w:kern w:val="0"/>
          <w:sz w:val="28"/>
          <w:szCs w:val="28"/>
        </w:rPr>
        <w:t>由时志福、吴荣刚、葛良斌、徐峰组成的</w:t>
      </w:r>
      <w:r>
        <w:rPr>
          <w:rFonts w:hint="eastAsia" w:cs="仿宋" w:asciiTheme="minorEastAsia" w:hAnsiTheme="minorEastAsia" w:eastAsiaTheme="minorEastAsia"/>
          <w:color w:val="auto"/>
          <w:sz w:val="28"/>
          <w:szCs w:val="28"/>
        </w:rPr>
        <w:t>新一届学校党支部委员会</w:t>
      </w:r>
      <w:r>
        <w:rPr>
          <w:rFonts w:hint="eastAsia" w:cs="仿宋" w:asciiTheme="minorEastAsia" w:hAnsiTheme="minorEastAsia" w:eastAsiaTheme="minorEastAsia"/>
          <w:color w:val="auto"/>
          <w:kern w:val="0"/>
          <w:sz w:val="28"/>
          <w:szCs w:val="28"/>
        </w:rPr>
        <w:t>。</w:t>
      </w:r>
    </w:p>
    <w:p>
      <w:pPr>
        <w:widowControl/>
        <w:adjustRightInd w:val="0"/>
        <w:snapToGrid w:val="0"/>
        <w:spacing w:line="360" w:lineRule="auto"/>
        <w:ind w:firstLine="560" w:firstLineChars="200"/>
        <w:jc w:val="left"/>
        <w:rPr>
          <w:rFonts w:cs="仿宋" w:asciiTheme="minorEastAsia" w:hAnsiTheme="minorEastAsia" w:eastAsiaTheme="minorEastAsia"/>
          <w:color w:val="auto"/>
          <w:kern w:val="0"/>
          <w:sz w:val="28"/>
          <w:szCs w:val="28"/>
        </w:rPr>
      </w:pPr>
      <w:r>
        <w:rPr>
          <w:rFonts w:hint="eastAsia" w:cs="仿宋" w:asciiTheme="minorEastAsia" w:hAnsiTheme="minorEastAsia" w:eastAsiaTheme="minorEastAsia"/>
          <w:color w:val="auto"/>
          <w:kern w:val="0"/>
          <w:sz w:val="28"/>
          <w:szCs w:val="28"/>
        </w:rPr>
        <w:t>（2）</w:t>
      </w:r>
      <w:r>
        <w:rPr>
          <w:rFonts w:hint="eastAsia" w:cs="仿宋" w:asciiTheme="minorEastAsia" w:hAnsiTheme="minorEastAsia" w:eastAsiaTheme="minorEastAsia"/>
          <w:color w:val="auto"/>
          <w:sz w:val="28"/>
          <w:szCs w:val="28"/>
        </w:rPr>
        <w:t>新一届学校党支部委员会召开会议，</w:t>
      </w:r>
      <w:r>
        <w:rPr>
          <w:rFonts w:hint="eastAsia" w:cs="仿宋" w:asciiTheme="minorEastAsia" w:hAnsiTheme="minorEastAsia" w:eastAsiaTheme="minorEastAsia"/>
          <w:color w:val="auto"/>
          <w:kern w:val="0"/>
          <w:sz w:val="28"/>
          <w:szCs w:val="28"/>
        </w:rPr>
        <w:t>明确支委会成员分工，建成高一、高二、高三、退休党小组共计4个。</w:t>
      </w:r>
    </w:p>
    <w:p>
      <w:pPr>
        <w:adjustRightInd w:val="0"/>
        <w:snapToGrid w:val="0"/>
        <w:spacing w:line="360" w:lineRule="auto"/>
        <w:ind w:firstLine="560" w:firstLineChars="200"/>
        <w:rPr>
          <w:rFonts w:asciiTheme="minorEastAsia" w:hAnsiTheme="minorEastAsia"/>
          <w:color w:val="auto"/>
          <w:sz w:val="28"/>
          <w:szCs w:val="28"/>
        </w:rPr>
      </w:pPr>
      <w:r>
        <w:rPr>
          <w:rFonts w:hint="eastAsia" w:cs="仿宋" w:asciiTheme="minorEastAsia" w:hAnsiTheme="minorEastAsia" w:eastAsiaTheme="minorEastAsia"/>
          <w:color w:val="auto"/>
          <w:sz w:val="28"/>
          <w:szCs w:val="28"/>
        </w:rPr>
        <w:t>（3）商讨制定学校党建工作重心，明确学校下一个五年规划党建工作目标。</w:t>
      </w:r>
    </w:p>
    <w:p>
      <w:pPr>
        <w:pStyle w:val="29"/>
        <w:numPr>
          <w:ilvl w:val="0"/>
          <w:numId w:val="3"/>
        </w:numPr>
        <w:adjustRightInd w:val="0"/>
        <w:snapToGrid w:val="0"/>
        <w:spacing w:line="360" w:lineRule="auto"/>
        <w:ind w:firstLineChars="0"/>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严肃党内生活</w:t>
      </w:r>
    </w:p>
    <w:p>
      <w:pPr>
        <w:adjustRightInd w:val="0"/>
        <w:snapToGrid w:val="0"/>
        <w:spacing w:line="360" w:lineRule="auto"/>
        <w:ind w:firstLine="560" w:firstLineChars="200"/>
        <w:rPr>
          <w:rFonts w:cs="仿宋" w:asciiTheme="minorEastAsia" w:hAnsiTheme="minorEastAsia" w:eastAsiaTheme="minorEastAsia"/>
          <w:color w:val="auto"/>
          <w:sz w:val="28"/>
          <w:szCs w:val="28"/>
        </w:rPr>
      </w:pPr>
      <w:r>
        <w:rPr>
          <w:rFonts w:hint="eastAsia" w:cs="仿宋" w:asciiTheme="minorEastAsia" w:hAnsiTheme="minorEastAsia" w:eastAsiaTheme="minorEastAsia"/>
          <w:color w:val="auto"/>
          <w:sz w:val="28"/>
          <w:szCs w:val="28"/>
        </w:rPr>
        <w:t>（1）主题党日： 根据《中共安吉县委组织部关于印发&lt;关于规范开展支部主题党日的实施意见&gt;的通知》要求，提前拟定主题党日活动计划，定期开展专题活动。</w:t>
      </w:r>
    </w:p>
    <w:p>
      <w:pPr>
        <w:adjustRightInd w:val="0"/>
        <w:snapToGrid w:val="0"/>
        <w:spacing w:line="360" w:lineRule="auto"/>
        <w:ind w:firstLine="560" w:firstLineChars="200"/>
        <w:rPr>
          <w:rFonts w:cs="仿宋" w:asciiTheme="minorEastAsia" w:hAnsiTheme="minorEastAsia" w:eastAsiaTheme="minorEastAsia"/>
          <w:color w:val="auto"/>
          <w:sz w:val="28"/>
          <w:szCs w:val="28"/>
        </w:rPr>
      </w:pPr>
      <w:r>
        <w:rPr>
          <w:rFonts w:hint="eastAsia" w:cs="仿宋" w:asciiTheme="minorEastAsia" w:hAnsiTheme="minorEastAsia" w:eastAsiaTheme="minorEastAsia"/>
          <w:color w:val="auto"/>
          <w:sz w:val="28"/>
          <w:szCs w:val="28"/>
        </w:rPr>
        <w:t>（2） 三会一课：常态化、主题化开展“三会一课”工作：现已召开支委会12次；全体党员大会6次；组织专题党课3次。</w:t>
      </w:r>
    </w:p>
    <w:p>
      <w:pPr>
        <w:adjustRightInd w:val="0"/>
        <w:snapToGrid w:val="0"/>
        <w:spacing w:line="360" w:lineRule="auto"/>
        <w:ind w:firstLine="560" w:firstLineChars="200"/>
        <w:rPr>
          <w:rFonts w:cs="仿宋" w:asciiTheme="minorEastAsia" w:hAnsiTheme="minorEastAsia" w:eastAsiaTheme="minorEastAsia"/>
          <w:color w:val="auto"/>
          <w:sz w:val="28"/>
          <w:szCs w:val="28"/>
        </w:rPr>
      </w:pPr>
      <w:r>
        <w:rPr>
          <w:rFonts w:hint="eastAsia" w:cs="仿宋" w:asciiTheme="minorEastAsia" w:hAnsiTheme="minorEastAsia" w:eastAsiaTheme="minorEastAsia"/>
          <w:color w:val="auto"/>
          <w:sz w:val="28"/>
          <w:szCs w:val="28"/>
        </w:rPr>
        <w:t>（3）收缴党费：根据上级文件精神及县委组织部党费计算标准，如实收缴</w:t>
      </w:r>
      <w:r>
        <w:rPr>
          <w:rFonts w:hint="eastAsia" w:cs="仿宋" w:asciiTheme="minorEastAsia" w:hAnsiTheme="minorEastAsia" w:eastAsiaTheme="minorEastAsia"/>
          <w:color w:val="auto"/>
          <w:sz w:val="28"/>
          <w:szCs w:val="28"/>
          <w:lang w:val="en-US" w:eastAsia="zh-CN"/>
        </w:rPr>
        <w:t>20</w:t>
      </w:r>
      <w:r>
        <w:rPr>
          <w:rFonts w:hint="eastAsia" w:cs="仿宋" w:asciiTheme="minorEastAsia" w:hAnsiTheme="minorEastAsia" w:eastAsiaTheme="minorEastAsia"/>
          <w:color w:val="auto"/>
          <w:sz w:val="28"/>
          <w:szCs w:val="28"/>
        </w:rPr>
        <w:t>年度1-12月份党费共计</w:t>
      </w:r>
      <w:r>
        <w:rPr>
          <w:rFonts w:hint="eastAsia" w:cs="仿宋" w:asciiTheme="minorEastAsia" w:hAnsiTheme="minorEastAsia" w:eastAsiaTheme="minorEastAsia"/>
          <w:color w:val="auto"/>
          <w:sz w:val="28"/>
          <w:szCs w:val="28"/>
          <w:lang w:val="en-US" w:eastAsia="zh-CN"/>
        </w:rPr>
        <w:t>59940</w:t>
      </w:r>
      <w:r>
        <w:rPr>
          <w:rFonts w:hint="eastAsia" w:cs="仿宋" w:asciiTheme="minorEastAsia" w:hAnsiTheme="minorEastAsia" w:eastAsiaTheme="minorEastAsia"/>
          <w:color w:val="auto"/>
          <w:sz w:val="28"/>
          <w:szCs w:val="28"/>
        </w:rPr>
        <w:t>元，全额上缴教育局党费专用账户。</w:t>
      </w:r>
    </w:p>
    <w:p>
      <w:pPr>
        <w:pStyle w:val="29"/>
        <w:adjustRightInd w:val="0"/>
        <w:snapToGrid w:val="0"/>
        <w:spacing w:line="360" w:lineRule="auto"/>
        <w:ind w:firstLine="560"/>
        <w:rPr>
          <w:rFonts w:cs="宋体" w:asciiTheme="minorEastAsia" w:hAnsiTheme="minorEastAsia"/>
          <w:color w:val="auto"/>
          <w:kern w:val="0"/>
          <w:sz w:val="28"/>
          <w:szCs w:val="28"/>
        </w:rPr>
      </w:pPr>
      <w:r>
        <w:rPr>
          <w:rFonts w:hint="eastAsia" w:cs="仿宋" w:asciiTheme="minorEastAsia" w:hAnsiTheme="minorEastAsia" w:eastAsiaTheme="minorEastAsia"/>
          <w:color w:val="auto"/>
          <w:sz w:val="28"/>
          <w:szCs w:val="28"/>
        </w:rPr>
        <w:t>（4）党性体检：把“党性体检”作为严格党内组织生活，加强党员教育管理的重要抓手。根据上级文件精神及县委组织部通知要求，上半年度、下半年度，共计组织党员进行2次“党性体检”工作。通过党员自评、党员互评、群众评议和组织评价四个环节，由党支部核算每位党员“党性体检”分值，开出《党性体检报告单》并送交党员本人，评定结果交局党建指导科。</w:t>
      </w:r>
    </w:p>
    <w:p>
      <w:pPr>
        <w:pStyle w:val="29"/>
        <w:numPr>
          <w:ilvl w:val="0"/>
          <w:numId w:val="3"/>
        </w:numPr>
        <w:adjustRightInd w:val="0"/>
        <w:snapToGrid w:val="0"/>
        <w:spacing w:line="360" w:lineRule="auto"/>
        <w:ind w:firstLineChars="0"/>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加强思想引领</w:t>
      </w:r>
    </w:p>
    <w:p>
      <w:pPr>
        <w:pStyle w:val="29"/>
        <w:adjustRightInd w:val="0"/>
        <w:snapToGrid w:val="0"/>
        <w:spacing w:line="360" w:lineRule="auto"/>
        <w:ind w:firstLine="560"/>
        <w:rPr>
          <w:rFonts w:cs="仿宋" w:asciiTheme="minorEastAsia" w:hAnsiTheme="minorEastAsia" w:eastAsiaTheme="minorEastAsia"/>
          <w:color w:val="auto"/>
          <w:sz w:val="28"/>
          <w:szCs w:val="28"/>
        </w:rPr>
      </w:pPr>
      <w:r>
        <w:rPr>
          <w:rFonts w:hint="eastAsia" w:cs="仿宋" w:asciiTheme="minorEastAsia" w:hAnsiTheme="minorEastAsia" w:eastAsiaTheme="minorEastAsia"/>
          <w:color w:val="auto"/>
          <w:sz w:val="28"/>
          <w:szCs w:val="28"/>
        </w:rPr>
        <w:t>（1）党风廉政建设。认真履行党风廉政建设主体责任，全面从严加强校级班子队伍作风建设。分学期共计召开2次党风廉政分析专题会及行政人员述职述廉会议。</w:t>
      </w:r>
    </w:p>
    <w:p>
      <w:pPr>
        <w:pStyle w:val="29"/>
        <w:adjustRightInd w:val="0"/>
        <w:snapToGrid w:val="0"/>
        <w:spacing w:line="360" w:lineRule="auto"/>
        <w:ind w:firstLine="560"/>
        <w:rPr>
          <w:rFonts w:cs="仿宋" w:asciiTheme="minorEastAsia" w:hAnsiTheme="minorEastAsia" w:eastAsiaTheme="minorEastAsia"/>
          <w:color w:val="auto"/>
          <w:sz w:val="28"/>
          <w:szCs w:val="28"/>
        </w:rPr>
      </w:pPr>
      <w:r>
        <w:rPr>
          <w:rFonts w:hint="eastAsia" w:cs="仿宋" w:asciiTheme="minorEastAsia" w:hAnsiTheme="minorEastAsia" w:eastAsiaTheme="minorEastAsia"/>
          <w:color w:val="auto"/>
          <w:sz w:val="28"/>
          <w:szCs w:val="28"/>
        </w:rPr>
        <w:t>（2）正风肃纪：每周安排校级领导及中层干部各1人组成正风肃纪巡查小组，认真完成每周一次的校内正风肃纪巡查工作，加强预警教育，及时记录《安吉艺术高级中学校内正风肃纪巡查记录本》。</w:t>
      </w:r>
    </w:p>
    <w:p>
      <w:pPr>
        <w:pStyle w:val="29"/>
        <w:adjustRightInd w:val="0"/>
        <w:snapToGrid w:val="0"/>
        <w:spacing w:line="360" w:lineRule="auto"/>
        <w:ind w:firstLine="560"/>
        <w:rPr>
          <w:rFonts w:cs="仿宋" w:asciiTheme="minorEastAsia" w:hAnsiTheme="minorEastAsia" w:eastAsiaTheme="minorEastAsia"/>
          <w:color w:val="auto"/>
          <w:sz w:val="28"/>
          <w:szCs w:val="28"/>
        </w:rPr>
      </w:pPr>
      <w:r>
        <w:rPr>
          <w:rFonts w:hint="eastAsia" w:cs="仿宋" w:asciiTheme="minorEastAsia" w:hAnsiTheme="minorEastAsia" w:eastAsiaTheme="minorEastAsia"/>
          <w:color w:val="auto"/>
          <w:sz w:val="28"/>
          <w:szCs w:val="28"/>
        </w:rPr>
        <w:t>（3）师德师风教育：通过暑期师德教育周、全体教职工会议、“纪律教育教育一刻钟”、集体观影、党员争先创优等多种途径，以“整治有偿补课”、“坚决杜绝酒驾”和“严禁体罚和变相体罚学生”为主要工作，学习宣传师德师风建设的系列文件，通报有关案例，努力做到各项规定和要求“入脑、入心、入行”。</w:t>
      </w:r>
    </w:p>
    <w:p>
      <w:pPr>
        <w:pStyle w:val="29"/>
        <w:adjustRightInd w:val="0"/>
        <w:snapToGrid w:val="0"/>
        <w:spacing w:line="360" w:lineRule="auto"/>
        <w:ind w:firstLine="560"/>
        <w:rPr>
          <w:rFonts w:cs="仿宋" w:asciiTheme="minorEastAsia" w:hAnsiTheme="minorEastAsia" w:eastAsiaTheme="minorEastAsia"/>
          <w:color w:val="auto"/>
          <w:sz w:val="28"/>
          <w:szCs w:val="28"/>
        </w:rPr>
      </w:pPr>
      <w:r>
        <w:rPr>
          <w:rFonts w:hint="eastAsia" w:cs="仿宋" w:asciiTheme="minorEastAsia" w:hAnsiTheme="minorEastAsia" w:eastAsiaTheme="minorEastAsia"/>
          <w:color w:val="auto"/>
          <w:sz w:val="28"/>
          <w:szCs w:val="28"/>
        </w:rPr>
        <w:t>（4）校务监督：组建“20</w:t>
      </w:r>
      <w:r>
        <w:rPr>
          <w:rFonts w:hint="eastAsia" w:cs="仿宋" w:asciiTheme="minorEastAsia" w:hAnsiTheme="minorEastAsia" w:eastAsiaTheme="minorEastAsia"/>
          <w:color w:val="auto"/>
          <w:sz w:val="28"/>
          <w:szCs w:val="28"/>
          <w:lang w:val="en-US" w:eastAsia="zh-CN"/>
        </w:rPr>
        <w:t>20</w:t>
      </w:r>
      <w:r>
        <w:rPr>
          <w:rFonts w:hint="eastAsia" w:cs="仿宋" w:asciiTheme="minorEastAsia" w:hAnsiTheme="minorEastAsia" w:eastAsiaTheme="minorEastAsia"/>
          <w:color w:val="auto"/>
          <w:sz w:val="28"/>
          <w:szCs w:val="28"/>
        </w:rPr>
        <w:t>学年安吉艺术高级中学校监组”，班子会专题研究和召开校监组工作推进会，指导和支持校监组正常履职。重大决策执行“三重一大”制度，全程接受校务监督。</w:t>
      </w:r>
    </w:p>
    <w:p>
      <w:pPr>
        <w:pStyle w:val="29"/>
        <w:numPr>
          <w:ilvl w:val="0"/>
          <w:numId w:val="3"/>
        </w:numPr>
        <w:adjustRightInd w:val="0"/>
        <w:snapToGrid w:val="0"/>
        <w:spacing w:line="360" w:lineRule="auto"/>
        <w:ind w:firstLineChars="0"/>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党的阵地建设</w:t>
      </w:r>
    </w:p>
    <w:p>
      <w:pPr>
        <w:adjustRightInd w:val="0"/>
        <w:snapToGrid w:val="0"/>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（1）设置安吉艺术高级中学党员活动室，内容齐全，硬件</w:t>
      </w:r>
      <w:r>
        <w:rPr>
          <w:rFonts w:asciiTheme="minorEastAsia" w:hAnsiTheme="minorEastAsia" w:eastAsiaTheme="minorEastAsia"/>
          <w:color w:val="auto"/>
          <w:sz w:val="28"/>
          <w:szCs w:val="28"/>
        </w:rPr>
        <w:t>过</w:t>
      </w:r>
      <w:r>
        <w:rPr>
          <w:rFonts w:hint="eastAsia" w:asciiTheme="minorEastAsia" w:hAnsiTheme="minorEastAsia" w:eastAsiaTheme="minorEastAsia"/>
          <w:color w:val="auto"/>
          <w:sz w:val="28"/>
          <w:szCs w:val="28"/>
        </w:rPr>
        <w:t>硬</w:t>
      </w:r>
      <w:r>
        <w:rPr>
          <w:rFonts w:asciiTheme="minorEastAsia" w:hAnsiTheme="minorEastAsia" w:eastAsiaTheme="minorEastAsia"/>
          <w:color w:val="auto"/>
          <w:sz w:val="28"/>
          <w:szCs w:val="28"/>
        </w:rPr>
        <w:t>。</w:t>
      </w:r>
    </w:p>
    <w:p>
      <w:pPr>
        <w:adjustRightInd w:val="0"/>
        <w:snapToGrid w:val="0"/>
        <w:spacing w:line="360" w:lineRule="auto"/>
        <w:ind w:firstLine="548" w:firstLineChars="196"/>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（2）在校园网建立“党建工作专栏”，内容涵盖“</w:t>
      </w:r>
      <w:r>
        <w:rPr>
          <w:rFonts w:hint="eastAsia" w:cs="Arial" w:asciiTheme="minorEastAsia" w:hAnsiTheme="minorEastAsia" w:eastAsiaTheme="minorEastAsia"/>
          <w:color w:val="auto"/>
          <w:sz w:val="28"/>
          <w:szCs w:val="28"/>
        </w:rPr>
        <w:t>师德师风建设、党风廉政教育与正风肃纪工作</w:t>
      </w:r>
      <w:r>
        <w:rPr>
          <w:rFonts w:hint="eastAsia" w:asciiTheme="minorEastAsia" w:hAnsiTheme="minorEastAsia" w:eastAsiaTheme="minorEastAsia"/>
          <w:color w:val="auto"/>
          <w:sz w:val="28"/>
          <w:szCs w:val="28"/>
        </w:rPr>
        <w:t>”，将与以上主题有关文件、通知、案例及时上挂，并通过短信告知全体教职工。</w:t>
      </w:r>
    </w:p>
    <w:p>
      <w:pPr>
        <w:adjustRightInd w:val="0"/>
        <w:snapToGrid w:val="0"/>
        <w:spacing w:line="360" w:lineRule="auto"/>
        <w:ind w:firstLine="560" w:firstLineChars="200"/>
        <w:rPr>
          <w:rFonts w:cs="宋体" w:asciiTheme="minorEastAsia" w:hAnsiTheme="minorEastAsia" w:eastAsiaTheme="minorEastAsia"/>
          <w:color w:val="auto"/>
          <w:kern w:val="0"/>
          <w:sz w:val="28"/>
          <w:szCs w:val="28"/>
        </w:rPr>
      </w:pPr>
      <w:r>
        <w:rPr>
          <w:rFonts w:hint="eastAsia" w:cs="宋体" w:asciiTheme="minorEastAsia" w:hAnsiTheme="minorEastAsia" w:eastAsiaTheme="minorEastAsia"/>
          <w:color w:val="auto"/>
          <w:kern w:val="0"/>
          <w:sz w:val="28"/>
          <w:szCs w:val="28"/>
        </w:rPr>
        <w:t>（</w:t>
      </w:r>
      <w:r>
        <w:rPr>
          <w:rFonts w:hint="eastAsia" w:cs="宋体" w:asciiTheme="minorEastAsia" w:hAnsiTheme="minorEastAsia" w:eastAsiaTheme="minorEastAsia"/>
          <w:color w:val="auto"/>
          <w:kern w:val="0"/>
          <w:sz w:val="28"/>
          <w:szCs w:val="28"/>
          <w:lang w:val="en-US" w:eastAsia="zh-CN"/>
        </w:rPr>
        <w:t>2</w:t>
      </w:r>
      <w:r>
        <w:rPr>
          <w:rFonts w:hint="eastAsia" w:cs="宋体" w:asciiTheme="minorEastAsia" w:hAnsiTheme="minorEastAsia" w:eastAsiaTheme="minorEastAsia"/>
          <w:color w:val="auto"/>
          <w:kern w:val="0"/>
          <w:sz w:val="28"/>
          <w:szCs w:val="28"/>
        </w:rPr>
        <w:t>）认真做好党建带工建、党建带团建工作，党工团合力助力学校发展。</w:t>
      </w:r>
    </w:p>
    <w:p>
      <w:pPr>
        <w:pStyle w:val="29"/>
        <w:numPr>
          <w:ilvl w:val="0"/>
          <w:numId w:val="3"/>
        </w:numPr>
        <w:adjustRightInd w:val="0"/>
        <w:snapToGrid w:val="0"/>
        <w:spacing w:line="360" w:lineRule="auto"/>
        <w:ind w:firstLineChars="0"/>
        <w:rPr>
          <w:rFonts w:asciiTheme="minorEastAsia" w:hAnsiTheme="minorEastAsia"/>
          <w:color w:val="auto"/>
          <w:sz w:val="28"/>
          <w:szCs w:val="28"/>
        </w:rPr>
      </w:pPr>
      <w:r>
        <w:rPr>
          <w:rFonts w:hint="eastAsia" w:cs="宋体" w:asciiTheme="minorEastAsia" w:hAnsiTheme="minorEastAsia"/>
          <w:color w:val="auto"/>
          <w:kern w:val="0"/>
          <w:sz w:val="28"/>
          <w:szCs w:val="28"/>
        </w:rPr>
        <w:t>规范组织管理</w:t>
      </w:r>
    </w:p>
    <w:p>
      <w:pPr>
        <w:adjustRightInd w:val="0"/>
        <w:snapToGrid w:val="0"/>
        <w:spacing w:line="360" w:lineRule="auto"/>
        <w:ind w:firstLine="548" w:firstLineChars="196"/>
        <w:rPr>
          <w:rFonts w:cs="Arial" w:asciiTheme="minorEastAsia" w:hAnsiTheme="minorEastAsia" w:eastAsiaTheme="minorEastAsia"/>
          <w:color w:val="auto"/>
          <w:sz w:val="28"/>
          <w:szCs w:val="28"/>
        </w:rPr>
      </w:pPr>
      <w:r>
        <w:rPr>
          <w:rFonts w:hint="eastAsia" w:cs="Arial" w:asciiTheme="minorEastAsia" w:hAnsiTheme="minorEastAsia" w:eastAsiaTheme="minorEastAsia"/>
          <w:color w:val="auto"/>
          <w:sz w:val="28"/>
          <w:szCs w:val="28"/>
        </w:rPr>
        <w:t>（1）党员关系转接：根据20</w:t>
      </w:r>
      <w:r>
        <w:rPr>
          <w:rFonts w:hint="eastAsia" w:cs="Arial" w:asciiTheme="minorEastAsia" w:hAnsiTheme="minorEastAsia" w:eastAsiaTheme="minorEastAsia"/>
          <w:color w:val="auto"/>
          <w:sz w:val="28"/>
          <w:szCs w:val="28"/>
          <w:lang w:val="en-US" w:eastAsia="zh-CN"/>
        </w:rPr>
        <w:t>20</w:t>
      </w:r>
      <w:r>
        <w:rPr>
          <w:rFonts w:hint="eastAsia" w:cs="Arial" w:asciiTheme="minorEastAsia" w:hAnsiTheme="minorEastAsia" w:eastAsiaTheme="minorEastAsia"/>
          <w:color w:val="auto"/>
          <w:sz w:val="28"/>
          <w:szCs w:val="28"/>
        </w:rPr>
        <w:t>学年教职工出入情况，及时做好党员关系转接工作，完成20</w:t>
      </w:r>
      <w:r>
        <w:rPr>
          <w:rFonts w:hint="eastAsia" w:cs="Arial" w:asciiTheme="minorEastAsia" w:hAnsiTheme="minorEastAsia" w:eastAsiaTheme="minorEastAsia"/>
          <w:color w:val="auto"/>
          <w:sz w:val="28"/>
          <w:szCs w:val="28"/>
          <w:lang w:val="en-US" w:eastAsia="zh-CN"/>
        </w:rPr>
        <w:t>20</w:t>
      </w:r>
      <w:r>
        <w:rPr>
          <w:rFonts w:hint="eastAsia" w:cs="Arial" w:asciiTheme="minorEastAsia" w:hAnsiTheme="minorEastAsia" w:eastAsiaTheme="minorEastAsia"/>
          <w:color w:val="auto"/>
          <w:sz w:val="28"/>
          <w:szCs w:val="28"/>
        </w:rPr>
        <w:t>年度全国党员年报工作。</w:t>
      </w:r>
    </w:p>
    <w:p>
      <w:pPr>
        <w:adjustRightInd w:val="0"/>
        <w:snapToGrid w:val="0"/>
        <w:spacing w:line="360" w:lineRule="auto"/>
        <w:ind w:firstLine="548" w:firstLineChars="196"/>
        <w:rPr>
          <w:rFonts w:cs="Arial" w:asciiTheme="minorEastAsia" w:hAnsiTheme="minorEastAsia" w:eastAsiaTheme="minorEastAsia"/>
          <w:color w:val="auto"/>
          <w:sz w:val="28"/>
          <w:szCs w:val="28"/>
        </w:rPr>
      </w:pPr>
      <w:r>
        <w:rPr>
          <w:rFonts w:hint="eastAsia" w:cs="Arial" w:asciiTheme="minorEastAsia" w:hAnsiTheme="minorEastAsia" w:eastAsiaTheme="minorEastAsia"/>
          <w:color w:val="auto"/>
          <w:sz w:val="28"/>
          <w:szCs w:val="28"/>
        </w:rPr>
        <w:t>（2）档案归整：及时整理</w:t>
      </w:r>
      <w:r>
        <w:rPr>
          <w:rFonts w:hint="eastAsia" w:cs="Arial" w:asciiTheme="minorEastAsia" w:hAnsiTheme="minorEastAsia" w:eastAsiaTheme="minorEastAsia"/>
          <w:color w:val="auto"/>
          <w:sz w:val="28"/>
          <w:szCs w:val="28"/>
          <w:lang w:val="en-US" w:eastAsia="zh-CN"/>
        </w:rPr>
        <w:t>20</w:t>
      </w:r>
      <w:r>
        <w:rPr>
          <w:rFonts w:hint="eastAsia" w:cs="Arial" w:asciiTheme="minorEastAsia" w:hAnsiTheme="minorEastAsia" w:eastAsiaTheme="minorEastAsia"/>
          <w:color w:val="auto"/>
          <w:sz w:val="28"/>
          <w:szCs w:val="28"/>
        </w:rPr>
        <w:t>年度党务工作素材，归档党支部档案，装订成册，便于保存。</w:t>
      </w:r>
    </w:p>
    <w:p>
      <w:pPr>
        <w:pStyle w:val="3"/>
        <w:spacing w:before="0" w:after="0" w:line="240" w:lineRule="auto"/>
        <w:ind w:firstLine="560" w:firstLineChars="200"/>
        <w:rPr>
          <w:rFonts w:asciiTheme="minorEastAsia" w:hAnsiTheme="minorEastAsia" w:eastAsiaTheme="minorEastAsia"/>
          <w:b w:val="0"/>
          <w:color w:val="auto"/>
          <w:sz w:val="28"/>
          <w:szCs w:val="28"/>
        </w:rPr>
      </w:pPr>
      <w:bookmarkStart w:id="40" w:name="_Toc28958361"/>
      <w:r>
        <w:rPr>
          <w:rFonts w:hint="eastAsia" w:asciiTheme="minorEastAsia" w:hAnsiTheme="minorEastAsia" w:eastAsiaTheme="minorEastAsia"/>
          <w:b w:val="0"/>
          <w:color w:val="auto"/>
          <w:sz w:val="28"/>
          <w:szCs w:val="28"/>
        </w:rPr>
        <w:t>3.6.2重点工作</w:t>
      </w:r>
      <w:bookmarkEnd w:id="40"/>
    </w:p>
    <w:p>
      <w:pPr>
        <w:adjustRightInd w:val="0"/>
        <w:snapToGrid w:val="0"/>
        <w:spacing w:line="360" w:lineRule="auto"/>
        <w:ind w:firstLine="560" w:firstLineChars="200"/>
        <w:rPr>
          <w:rFonts w:cs="仿宋" w:asciiTheme="minorEastAsia" w:hAnsiTheme="minorEastAsia" w:eastAsiaTheme="minorEastAsia"/>
          <w:color w:val="auto"/>
          <w:sz w:val="28"/>
          <w:szCs w:val="28"/>
        </w:rPr>
      </w:pPr>
      <w:r>
        <w:rPr>
          <w:rFonts w:hint="eastAsia" w:cs="仿宋" w:asciiTheme="minorEastAsia" w:hAnsiTheme="minorEastAsia" w:eastAsiaTheme="minorEastAsia"/>
          <w:color w:val="auto"/>
          <w:sz w:val="28"/>
          <w:szCs w:val="28"/>
        </w:rPr>
        <w:t>（1）全面开展“不忘初心、牢记使命”主题教育，紧紧围绕总要求、总路径，将抓好主题教育作为履行全面从严治党主体责任的重要任务来抓，通过制定方案、召开动员会、书记上党课、理论中心组例会、主题党日、学习强国自学等，引导广大党员干部进一步明确了初心、凝聚了人心、夯实了作风、提升了质效。</w:t>
      </w:r>
    </w:p>
    <w:p>
      <w:pPr>
        <w:adjustRightInd w:val="0"/>
        <w:snapToGrid w:val="0"/>
        <w:spacing w:line="360" w:lineRule="auto"/>
        <w:ind w:firstLine="560" w:firstLineChars="200"/>
        <w:rPr>
          <w:rFonts w:cs="仿宋" w:asciiTheme="minorEastAsia" w:hAnsiTheme="minorEastAsia" w:eastAsiaTheme="minorEastAsia"/>
          <w:color w:val="auto"/>
          <w:kern w:val="0"/>
          <w:sz w:val="28"/>
          <w:szCs w:val="28"/>
        </w:rPr>
      </w:pPr>
      <w:r>
        <w:rPr>
          <w:rFonts w:hint="eastAsia" w:cs="仿宋" w:asciiTheme="minorEastAsia" w:hAnsiTheme="minorEastAsia" w:eastAsiaTheme="minorEastAsia"/>
          <w:color w:val="auto"/>
          <w:kern w:val="0"/>
          <w:sz w:val="28"/>
          <w:szCs w:val="28"/>
        </w:rPr>
        <w:t>（2）对照局党委书记、局长施明清提出的“什么是党建？班子团结、学校和谐、业绩优秀，就是一流党建。”和“学校党建创强：强班子、强队伍、强质量”要求和目标，研究我校党建工作思路和工作方案，打造“三全”党建（组织建设全覆盖，学习教育全覆盖，发挥作用全覆盖）。</w:t>
      </w:r>
    </w:p>
    <w:p>
      <w:pPr>
        <w:widowControl/>
        <w:adjustRightInd w:val="0"/>
        <w:snapToGrid w:val="0"/>
        <w:spacing w:line="360" w:lineRule="auto"/>
        <w:ind w:firstLine="560" w:firstLineChars="200"/>
        <w:jc w:val="left"/>
        <w:rPr>
          <w:rFonts w:cs="仿宋" w:asciiTheme="minorEastAsia" w:hAnsiTheme="minorEastAsia" w:eastAsiaTheme="minorEastAsia"/>
          <w:color w:val="auto"/>
          <w:kern w:val="0"/>
          <w:sz w:val="28"/>
          <w:szCs w:val="28"/>
        </w:rPr>
      </w:pPr>
      <w:r>
        <w:rPr>
          <w:rFonts w:hint="eastAsia" w:cs="仿宋" w:asciiTheme="minorEastAsia" w:hAnsiTheme="minorEastAsia" w:eastAsiaTheme="minorEastAsia"/>
          <w:color w:val="auto"/>
          <w:sz w:val="28"/>
          <w:szCs w:val="28"/>
        </w:rPr>
        <w:t>（3）</w:t>
      </w:r>
      <w:r>
        <w:rPr>
          <w:rFonts w:hint="eastAsia" w:cs="仿宋" w:asciiTheme="minorEastAsia" w:hAnsiTheme="minorEastAsia" w:eastAsiaTheme="minorEastAsia"/>
          <w:color w:val="auto"/>
          <w:kern w:val="0"/>
          <w:sz w:val="28"/>
          <w:szCs w:val="28"/>
        </w:rPr>
        <w:t>紧紧围绕提升教育质量中心工作开展政治思想工作，始终坚持立足教育强党建，使全体教师树立正确的教育观，人才观和质量观。发挥党小组和党员思想政治工作优势，使党建工作融于学校日常管理、德育育人、教学提升的方方面面，真正做到党建工作助力学校教育教学发展。</w:t>
      </w:r>
    </w:p>
    <w:p>
      <w:pPr>
        <w:pStyle w:val="3"/>
        <w:spacing w:before="0" w:after="0" w:line="240" w:lineRule="auto"/>
        <w:ind w:firstLine="560" w:firstLineChars="200"/>
        <w:rPr>
          <w:rFonts w:asciiTheme="minorEastAsia" w:hAnsiTheme="minorEastAsia" w:eastAsiaTheme="minorEastAsia"/>
          <w:b w:val="0"/>
          <w:color w:val="auto"/>
          <w:sz w:val="28"/>
          <w:szCs w:val="28"/>
        </w:rPr>
      </w:pPr>
      <w:bookmarkStart w:id="41" w:name="_Toc28958362"/>
      <w:r>
        <w:rPr>
          <w:rFonts w:hint="eastAsia" w:asciiTheme="minorEastAsia" w:hAnsiTheme="minorEastAsia" w:eastAsiaTheme="minorEastAsia"/>
          <w:b w:val="0"/>
          <w:color w:val="auto"/>
          <w:sz w:val="28"/>
          <w:szCs w:val="28"/>
        </w:rPr>
        <w:t>3.6.3亮点和特色工作</w:t>
      </w:r>
      <w:bookmarkEnd w:id="41"/>
    </w:p>
    <w:p>
      <w:pPr>
        <w:adjustRightInd w:val="0"/>
        <w:snapToGrid w:val="0"/>
        <w:spacing w:line="360" w:lineRule="auto"/>
        <w:ind w:firstLine="560" w:firstLineChars="200"/>
        <w:rPr>
          <w:rFonts w:cs="仿宋" w:asciiTheme="minorEastAsia" w:hAnsiTheme="minorEastAsia" w:eastAsiaTheme="minorEastAsia"/>
          <w:color w:val="auto"/>
          <w:kern w:val="0"/>
          <w:sz w:val="28"/>
          <w:szCs w:val="28"/>
        </w:rPr>
      </w:pPr>
      <w:r>
        <w:rPr>
          <w:rFonts w:hint="eastAsia" w:cs="仿宋" w:asciiTheme="minorEastAsia" w:hAnsiTheme="minorEastAsia" w:eastAsiaTheme="minorEastAsia"/>
          <w:color w:val="auto"/>
          <w:sz w:val="28"/>
          <w:szCs w:val="28"/>
        </w:rPr>
        <w:t>（1）</w:t>
      </w:r>
      <w:r>
        <w:rPr>
          <w:rFonts w:hint="eastAsia" w:cs="仿宋" w:asciiTheme="minorEastAsia" w:hAnsiTheme="minorEastAsia" w:eastAsiaTheme="minorEastAsia"/>
          <w:color w:val="auto"/>
          <w:kern w:val="0"/>
          <w:sz w:val="28"/>
          <w:szCs w:val="28"/>
        </w:rPr>
        <w:t xml:space="preserve"> 打造“三全”党建：组织建设全覆盖，学习教育全覆盖，发挥作用全覆盖。</w:t>
      </w:r>
    </w:p>
    <w:p>
      <w:pPr>
        <w:adjustRightInd w:val="0"/>
        <w:snapToGrid w:val="0"/>
        <w:spacing w:line="360" w:lineRule="auto"/>
        <w:ind w:firstLine="560" w:firstLineChars="200"/>
        <w:rPr>
          <w:rFonts w:hint="eastAsia" w:cs="仿宋" w:asciiTheme="minorEastAsia" w:hAnsiTheme="minorEastAsia" w:eastAsiaTheme="minorEastAsia"/>
          <w:color w:val="auto"/>
          <w:sz w:val="28"/>
          <w:szCs w:val="28"/>
        </w:rPr>
      </w:pPr>
      <w:r>
        <w:rPr>
          <w:rFonts w:hint="eastAsia" w:cs="仿宋" w:asciiTheme="minorEastAsia" w:hAnsiTheme="minorEastAsia" w:eastAsiaTheme="minorEastAsia"/>
          <w:color w:val="auto"/>
          <w:sz w:val="28"/>
          <w:szCs w:val="28"/>
        </w:rPr>
        <w:t>（2）打造“红心向党 潜心育人”支部党建品牌，争做有凝聚力的党支部，争创有育人情怀的党支部。</w:t>
      </w:r>
    </w:p>
    <w:p>
      <w:pPr>
        <w:pStyle w:val="12"/>
        <w:ind w:firstLine="562" w:firstLineChars="200"/>
        <w:jc w:val="left"/>
        <w:rPr>
          <w:color w:val="auto"/>
          <w:sz w:val="28"/>
          <w:szCs w:val="28"/>
        </w:rPr>
      </w:pPr>
      <w:bookmarkStart w:id="42" w:name="_Toc28958363"/>
      <w:r>
        <w:rPr>
          <w:rFonts w:hint="eastAsia"/>
          <w:color w:val="auto"/>
          <w:sz w:val="28"/>
          <w:szCs w:val="28"/>
        </w:rPr>
        <w:t>4.校企合作</w:t>
      </w:r>
      <w:bookmarkEnd w:id="42"/>
    </w:p>
    <w:p>
      <w:pPr>
        <w:pStyle w:val="2"/>
        <w:spacing w:before="0" w:after="0"/>
        <w:ind w:firstLine="560" w:firstLineChars="200"/>
        <w:rPr>
          <w:b w:val="0"/>
          <w:color w:val="auto"/>
          <w:sz w:val="28"/>
          <w:szCs w:val="28"/>
        </w:rPr>
      </w:pPr>
      <w:bookmarkStart w:id="43" w:name="_Toc28958364"/>
      <w:r>
        <w:rPr>
          <w:rFonts w:hint="eastAsia"/>
          <w:b w:val="0"/>
          <w:color w:val="auto"/>
          <w:sz w:val="28"/>
          <w:szCs w:val="28"/>
        </w:rPr>
        <w:t>4.1校企合作开展情况和效果</w:t>
      </w:r>
      <w:bookmarkEnd w:id="43"/>
    </w:p>
    <w:p>
      <w:pPr>
        <w:pStyle w:val="11"/>
        <w:shd w:val="clear" w:color="auto" w:fill="FFFFFF"/>
        <w:adjustRightInd w:val="0"/>
        <w:snapToGrid w:val="0"/>
        <w:spacing w:before="0" w:beforeAutospacing="0" w:after="0" w:afterAutospacing="0" w:line="360" w:lineRule="auto"/>
        <w:ind w:firstLine="560" w:firstLineChars="200"/>
        <w:rPr>
          <w:rFonts w:asciiTheme="minorEastAsia" w:hAnsiTheme="minorEastAsia"/>
          <w:b/>
          <w:bCs/>
          <w:color w:val="auto"/>
          <w:sz w:val="28"/>
          <w:szCs w:val="28"/>
        </w:rPr>
      </w:pPr>
      <w:r>
        <w:rPr>
          <w:rFonts w:hint="eastAsia" w:asciiTheme="minorEastAsia" w:hAnsiTheme="minorEastAsia"/>
          <w:color w:val="auto"/>
          <w:sz w:val="28"/>
          <w:szCs w:val="28"/>
        </w:rPr>
        <w:t>学校积极开展校企合作，建立紧密型校企合作关系。学校与孝源街道中心幼儿园、良朋幼儿园和嗳咪儿幼儿园进行了学前教育现代学徒制试点，开展校企合作共同育人，目前进展顺利效果良好。学生在全真的工作环境中进行就业实战，通过识岗、跟岗、轮岗、定岗和顶岗的专业梯度成长过程，逐步完成从“学员→准员工”的蜕变，为其真正成为企业员工作好心理和技能的双重准备，更加贴近企业需求。</w:t>
      </w:r>
    </w:p>
    <w:p>
      <w:pPr>
        <w:pStyle w:val="2"/>
        <w:spacing w:before="0" w:after="0"/>
        <w:ind w:firstLine="560" w:firstLineChars="200"/>
        <w:rPr>
          <w:b w:val="0"/>
          <w:color w:val="auto"/>
          <w:sz w:val="28"/>
          <w:szCs w:val="28"/>
        </w:rPr>
      </w:pPr>
      <w:bookmarkStart w:id="44" w:name="_Toc28958365"/>
      <w:r>
        <w:rPr>
          <w:rFonts w:hint="eastAsia"/>
          <w:b w:val="0"/>
          <w:color w:val="auto"/>
          <w:sz w:val="28"/>
          <w:szCs w:val="28"/>
        </w:rPr>
        <w:t>4.2学生实习情况</w:t>
      </w:r>
      <w:bookmarkEnd w:id="44"/>
    </w:p>
    <w:p>
      <w:pPr>
        <w:pStyle w:val="11"/>
        <w:shd w:val="clear" w:color="auto" w:fill="FFFFFF"/>
        <w:adjustRightInd w:val="0"/>
        <w:snapToGrid w:val="0"/>
        <w:spacing w:before="0" w:beforeAutospacing="0" w:after="0" w:afterAutospacing="0" w:line="360" w:lineRule="auto"/>
        <w:ind w:firstLine="560" w:firstLineChars="200"/>
        <w:rPr>
          <w:color w:val="auto"/>
          <w:sz w:val="28"/>
          <w:szCs w:val="28"/>
        </w:rPr>
      </w:pPr>
      <w:r>
        <w:rPr>
          <w:color w:val="auto"/>
          <w:sz w:val="28"/>
          <w:szCs w:val="28"/>
        </w:rPr>
        <w:t>根据上级和学校的相关管理制度，学生实习统一安排在高三年级。实习由学生本人自愿提出，监护人同意，学生自行选择顶岗实习单位，不通过中介机构代理、组织、安排和管理实习工作。20</w:t>
      </w:r>
      <w:r>
        <w:rPr>
          <w:rFonts w:hint="eastAsia"/>
          <w:color w:val="auto"/>
          <w:sz w:val="28"/>
          <w:szCs w:val="28"/>
          <w:lang w:val="en-US" w:eastAsia="zh-CN"/>
        </w:rPr>
        <w:t>20</w:t>
      </w:r>
      <w:r>
        <w:rPr>
          <w:color w:val="auto"/>
          <w:sz w:val="28"/>
          <w:szCs w:val="28"/>
        </w:rPr>
        <w:t>年学校有工艺美术专业实习生</w:t>
      </w:r>
      <w:r>
        <w:rPr>
          <w:rFonts w:hint="eastAsia"/>
          <w:color w:val="auto"/>
          <w:sz w:val="28"/>
          <w:szCs w:val="28"/>
          <w:lang w:val="en-US" w:eastAsia="zh-CN"/>
        </w:rPr>
        <w:t>7</w:t>
      </w:r>
      <w:r>
        <w:rPr>
          <w:color w:val="auto"/>
          <w:sz w:val="28"/>
          <w:szCs w:val="28"/>
        </w:rPr>
        <w:t>人，</w:t>
      </w:r>
      <w:r>
        <w:rPr>
          <w:rFonts w:hint="eastAsia"/>
          <w:color w:val="auto"/>
          <w:sz w:val="28"/>
          <w:szCs w:val="28"/>
          <w:lang w:val="en-US" w:eastAsia="zh-CN"/>
        </w:rPr>
        <w:t>音乐舞蹈</w:t>
      </w:r>
      <w:r>
        <w:rPr>
          <w:color w:val="auto"/>
          <w:sz w:val="28"/>
          <w:szCs w:val="28"/>
        </w:rPr>
        <w:t>专业实习生</w:t>
      </w:r>
      <w:r>
        <w:rPr>
          <w:rFonts w:hint="eastAsia"/>
          <w:color w:val="auto"/>
          <w:sz w:val="28"/>
          <w:szCs w:val="28"/>
          <w:lang w:val="en-US" w:eastAsia="zh-CN"/>
        </w:rPr>
        <w:t>4</w:t>
      </w:r>
      <w:r>
        <w:rPr>
          <w:color w:val="auto"/>
          <w:sz w:val="28"/>
          <w:szCs w:val="28"/>
        </w:rPr>
        <w:t>人。在整个实习期间，学校强调实习生要有安全意识、遵规守纪意识和创新意识。实习生除了自行自愿购买学平险外，由学校出资，100%参加实习保险。</w:t>
      </w:r>
      <w:bookmarkStart w:id="45" w:name="_Toc28958366"/>
    </w:p>
    <w:p>
      <w:pPr>
        <w:pStyle w:val="12"/>
        <w:numPr>
          <w:ilvl w:val="0"/>
          <w:numId w:val="0"/>
        </w:numPr>
        <w:ind w:firstLine="843" w:firstLineChars="300"/>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5.社会贡献</w:t>
      </w:r>
    </w:p>
    <w:p>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5.1技术技能人才培养</w:t>
      </w:r>
    </w:p>
    <w:p>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学校以工艺美术为主导，学前教育和音乐舞蹈为辅的专业布局，主要培养从事与艺术相关的各行各业人才，以及主要服务本地的幼儿教师，据不完全统计，我校毕业的幼师至少占据本县的半壁江山，社会各界对我校办学质量赞誉有加，用人单位对我校的毕业生也相当满意。</w:t>
      </w:r>
    </w:p>
    <w:p>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5.2社会服务</w:t>
      </w:r>
    </w:p>
    <w:p>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学校利用自己的特色参与美丽乡村建设，比如暑期组织美术生参与乡村壁画创作，给美丽乡村建设增光添彩，音舞专业教师对社区舞蹈队的义务指导等。</w:t>
      </w:r>
    </w:p>
    <w:p>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5.3服务抗疫</w:t>
      </w:r>
    </w:p>
    <w:p>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疫情期间，学校在做好本职疫情防控工作外，积极发动党员干部参与各条战线的疫情防控，为全县抗疫取得胜利贡献点滴之力。</w:t>
      </w:r>
    </w:p>
    <w:p>
      <w:pPr>
        <w:numPr>
          <w:ilvl w:val="0"/>
          <w:numId w:val="0"/>
        </w:numPr>
        <w:rPr>
          <w:rFonts w:hint="default"/>
          <w:lang w:val="en-US" w:eastAsia="zh-CN"/>
        </w:rPr>
      </w:pPr>
      <w:r>
        <w:rPr>
          <w:rFonts w:hint="eastAsia"/>
          <w:lang w:val="en-US" w:eastAsia="zh-CN"/>
        </w:rPr>
        <w:t xml:space="preserve">   </w:t>
      </w:r>
    </w:p>
    <w:p>
      <w:pPr>
        <w:pStyle w:val="12"/>
        <w:ind w:firstLine="562" w:firstLineChars="200"/>
        <w:jc w:val="left"/>
        <w:rPr>
          <w:color w:val="auto"/>
          <w:sz w:val="28"/>
          <w:szCs w:val="28"/>
        </w:rPr>
      </w:pPr>
      <w:r>
        <w:rPr>
          <w:rFonts w:hint="eastAsia"/>
          <w:color w:val="auto"/>
          <w:sz w:val="28"/>
          <w:szCs w:val="28"/>
        </w:rPr>
        <w:t>6.举办者履责</w:t>
      </w:r>
      <w:bookmarkEnd w:id="45"/>
    </w:p>
    <w:p>
      <w:pPr>
        <w:pStyle w:val="2"/>
        <w:spacing w:before="0" w:after="0"/>
        <w:ind w:firstLine="560" w:firstLineChars="200"/>
        <w:rPr>
          <w:b w:val="0"/>
          <w:color w:val="auto"/>
          <w:sz w:val="28"/>
          <w:szCs w:val="28"/>
        </w:rPr>
      </w:pPr>
      <w:bookmarkStart w:id="46" w:name="_Toc471109614"/>
      <w:bookmarkStart w:id="47" w:name="_Toc28958367"/>
      <w:r>
        <w:rPr>
          <w:rFonts w:hint="eastAsia"/>
          <w:b w:val="0"/>
          <w:color w:val="auto"/>
          <w:sz w:val="28"/>
          <w:szCs w:val="28"/>
        </w:rPr>
        <w:t>6.1</w:t>
      </w:r>
      <w:bookmarkEnd w:id="46"/>
      <w:r>
        <w:rPr>
          <w:rFonts w:hint="eastAsia"/>
          <w:b w:val="0"/>
          <w:color w:val="auto"/>
          <w:sz w:val="28"/>
          <w:szCs w:val="28"/>
        </w:rPr>
        <w:t>经费</w:t>
      </w:r>
      <w:bookmarkEnd w:id="47"/>
    </w:p>
    <w:p>
      <w:pPr>
        <w:widowControl/>
        <w:spacing w:line="500" w:lineRule="exact"/>
        <w:ind w:firstLine="560" w:firstLineChars="200"/>
        <w:rPr>
          <w:rFonts w:ascii="宋体" w:hAnsi="宋体" w:cs="宋体"/>
          <w:color w:val="auto"/>
          <w:kern w:val="0"/>
          <w:sz w:val="28"/>
          <w:szCs w:val="28"/>
        </w:rPr>
      </w:pPr>
      <w:bookmarkStart w:id="48" w:name="_Toc471109615"/>
      <w:r>
        <w:rPr>
          <w:rFonts w:hint="eastAsia" w:ascii="宋体" w:hAnsi="宋体" w:cs="宋体"/>
          <w:color w:val="auto"/>
          <w:kern w:val="0"/>
          <w:sz w:val="28"/>
          <w:szCs w:val="28"/>
        </w:rPr>
        <w:t>学校办学经费得到保障，根据学校20</w:t>
      </w:r>
      <w:r>
        <w:rPr>
          <w:rFonts w:hint="eastAsia" w:ascii="宋体" w:hAnsi="宋体" w:cs="宋体"/>
          <w:color w:val="auto"/>
          <w:kern w:val="0"/>
          <w:sz w:val="28"/>
          <w:szCs w:val="28"/>
          <w:lang w:val="en-US" w:eastAsia="zh-CN"/>
        </w:rPr>
        <w:t>20</w:t>
      </w:r>
      <w:r>
        <w:rPr>
          <w:rFonts w:hint="eastAsia" w:ascii="宋体" w:hAnsi="宋体" w:cs="宋体"/>
          <w:color w:val="auto"/>
          <w:kern w:val="0"/>
          <w:sz w:val="28"/>
          <w:szCs w:val="28"/>
        </w:rPr>
        <w:t>年部门预算，学校财政收入预算</w:t>
      </w:r>
      <w:r>
        <w:rPr>
          <w:rFonts w:hint="eastAsia" w:ascii="宋体" w:hAnsi="宋体" w:cs="宋体"/>
          <w:color w:val="auto"/>
          <w:kern w:val="0"/>
          <w:sz w:val="28"/>
          <w:szCs w:val="28"/>
          <w:lang w:val="en-US" w:eastAsia="zh-CN"/>
        </w:rPr>
        <w:t>22763902.71</w:t>
      </w:r>
      <w:r>
        <w:rPr>
          <w:rFonts w:hint="eastAsia" w:ascii="宋体" w:hAnsi="宋体" w:cs="宋体"/>
          <w:color w:val="auto"/>
          <w:kern w:val="0"/>
          <w:sz w:val="28"/>
          <w:szCs w:val="28"/>
        </w:rPr>
        <w:t>元，专户资金预算</w:t>
      </w:r>
      <w:r>
        <w:rPr>
          <w:rFonts w:hint="eastAsia" w:ascii="宋体" w:hAnsi="宋体" w:cs="宋体"/>
          <w:color w:val="auto"/>
          <w:kern w:val="0"/>
          <w:sz w:val="28"/>
          <w:szCs w:val="28"/>
          <w:lang w:val="en-US" w:eastAsia="zh-CN"/>
        </w:rPr>
        <w:t>1116360.48</w:t>
      </w:r>
      <w:r>
        <w:rPr>
          <w:rFonts w:hint="eastAsia" w:ascii="宋体" w:hAnsi="宋体" w:cs="宋体"/>
          <w:color w:val="auto"/>
          <w:kern w:val="0"/>
          <w:sz w:val="28"/>
          <w:szCs w:val="28"/>
        </w:rPr>
        <w:t>元，浙江省名牌专业项目建设项目拨款经费</w:t>
      </w:r>
      <w:r>
        <w:rPr>
          <w:rFonts w:hint="eastAsia" w:ascii="宋体" w:hAnsi="宋体" w:cs="宋体"/>
          <w:color w:val="auto"/>
          <w:kern w:val="0"/>
          <w:sz w:val="28"/>
          <w:szCs w:val="28"/>
          <w:lang w:val="en-US" w:eastAsia="zh-CN"/>
        </w:rPr>
        <w:t>50</w:t>
      </w:r>
      <w:r>
        <w:rPr>
          <w:rFonts w:hint="eastAsia" w:ascii="宋体" w:hAnsi="宋体" w:cs="宋体"/>
          <w:color w:val="auto"/>
          <w:kern w:val="0"/>
          <w:sz w:val="28"/>
          <w:szCs w:val="28"/>
        </w:rPr>
        <w:t>万元，已完成第</w:t>
      </w:r>
      <w:r>
        <w:rPr>
          <w:rFonts w:hint="eastAsia" w:ascii="宋体" w:hAnsi="宋体" w:cs="宋体"/>
          <w:color w:val="auto"/>
          <w:kern w:val="0"/>
          <w:sz w:val="28"/>
          <w:szCs w:val="28"/>
          <w:lang w:val="en-US" w:eastAsia="zh-CN"/>
        </w:rPr>
        <w:t>三</w:t>
      </w:r>
      <w:r>
        <w:rPr>
          <w:rFonts w:hint="eastAsia" w:ascii="宋体" w:hAnsi="宋体" w:cs="宋体"/>
          <w:color w:val="auto"/>
          <w:kern w:val="0"/>
          <w:sz w:val="28"/>
          <w:szCs w:val="28"/>
        </w:rPr>
        <w:t>阶段建设要求。</w:t>
      </w:r>
    </w:p>
    <w:p>
      <w:pPr>
        <w:pStyle w:val="2"/>
        <w:spacing w:before="0" w:after="0"/>
        <w:ind w:firstLine="560" w:firstLineChars="200"/>
        <w:rPr>
          <w:b w:val="0"/>
          <w:color w:val="auto"/>
          <w:sz w:val="28"/>
          <w:szCs w:val="28"/>
        </w:rPr>
      </w:pPr>
      <w:bookmarkStart w:id="49" w:name="_Toc28958368"/>
      <w:r>
        <w:rPr>
          <w:rFonts w:hint="eastAsia"/>
          <w:b w:val="0"/>
          <w:color w:val="auto"/>
          <w:sz w:val="28"/>
          <w:szCs w:val="28"/>
        </w:rPr>
        <w:t>6.2</w:t>
      </w:r>
      <w:bookmarkEnd w:id="48"/>
      <w:r>
        <w:rPr>
          <w:rFonts w:hint="eastAsia"/>
          <w:b w:val="0"/>
          <w:color w:val="auto"/>
          <w:sz w:val="28"/>
          <w:szCs w:val="28"/>
        </w:rPr>
        <w:t>政策措施</w:t>
      </w:r>
      <w:bookmarkEnd w:id="49"/>
    </w:p>
    <w:p>
      <w:pPr>
        <w:widowControl/>
        <w:spacing w:line="500" w:lineRule="exact"/>
        <w:ind w:firstLine="560" w:firstLineChars="200"/>
        <w:rPr>
          <w:rFonts w:ascii="宋体" w:hAnsi="宋体" w:cs="宋体"/>
          <w:color w:val="auto"/>
          <w:kern w:val="0"/>
          <w:sz w:val="28"/>
          <w:szCs w:val="28"/>
        </w:rPr>
      </w:pPr>
      <w:r>
        <w:rPr>
          <w:rFonts w:ascii="宋体" w:hAnsi="宋体" w:cs="宋体"/>
          <w:color w:val="auto"/>
          <w:kern w:val="0"/>
          <w:sz w:val="28"/>
          <w:szCs w:val="28"/>
        </w:rPr>
        <w:t>在学校发展的政策上，浙江省教育厅为打造安吉“</w:t>
      </w:r>
      <w:r>
        <w:rPr>
          <w:rFonts w:hint="eastAsia" w:ascii="宋体" w:hAnsi="宋体" w:cs="宋体"/>
          <w:color w:val="auto"/>
          <w:kern w:val="0"/>
          <w:sz w:val="28"/>
          <w:szCs w:val="28"/>
        </w:rPr>
        <w:t>‘</w:t>
      </w:r>
      <w:r>
        <w:rPr>
          <w:rFonts w:ascii="宋体" w:hAnsi="宋体" w:cs="宋体"/>
          <w:color w:val="auto"/>
          <w:kern w:val="0"/>
          <w:sz w:val="28"/>
          <w:szCs w:val="28"/>
        </w:rPr>
        <w:t>两山’教育基地”的宏伟目标，发文要求对我校的学前教育和美术专业建设进行大力扶持。2017年11月，中共安吉县委发布“安委发[2017]33号文件”，对学校发展明确提出了美术、音舞专业国内知名的长远目标，并明确指出将积极扶持安吉艺术高中与中国美术学院等全国一流艺术高校结对，突出幼师、美术、音乐舞蹈等专业建设，努力将学校建成省内知名的艺术类高中，同时品牌专业国内知名。</w:t>
      </w:r>
      <w:r>
        <w:rPr>
          <w:rFonts w:hint="eastAsia" w:ascii="宋体" w:hAnsi="宋体" w:cs="宋体"/>
          <w:color w:val="auto"/>
          <w:kern w:val="0"/>
          <w:sz w:val="28"/>
          <w:szCs w:val="28"/>
        </w:rPr>
        <w:t>2019年12月25日，</w:t>
      </w:r>
      <w:r>
        <w:rPr>
          <w:rFonts w:ascii="宋体" w:hAnsi="宋体" w:cs="宋体"/>
          <w:color w:val="auto"/>
          <w:kern w:val="0"/>
          <w:sz w:val="28"/>
          <w:szCs w:val="28"/>
        </w:rPr>
        <w:t>《浙江省教育厅办公室关于进一步支持安吉县加快建设县域“两山”理念综合改革创新试验区的通知》下发</w:t>
      </w:r>
      <w:r>
        <w:rPr>
          <w:rFonts w:hint="eastAsia" w:ascii="宋体" w:hAnsi="宋体" w:cs="宋体"/>
          <w:color w:val="auto"/>
          <w:kern w:val="0"/>
          <w:sz w:val="28"/>
          <w:szCs w:val="28"/>
        </w:rPr>
        <w:t>，</w:t>
      </w:r>
      <w:r>
        <w:rPr>
          <w:rFonts w:ascii="宋体" w:hAnsi="宋体" w:cs="宋体"/>
          <w:color w:val="auto"/>
          <w:kern w:val="0"/>
          <w:sz w:val="28"/>
          <w:szCs w:val="28"/>
        </w:rPr>
        <w:t>省教育厅出台十大举措，全力支持安吉教育</w:t>
      </w:r>
      <w:r>
        <w:rPr>
          <w:rFonts w:hint="eastAsia" w:ascii="宋体" w:hAnsi="宋体" w:cs="宋体"/>
          <w:color w:val="auto"/>
          <w:kern w:val="0"/>
          <w:sz w:val="28"/>
          <w:szCs w:val="28"/>
        </w:rPr>
        <w:t>。其中第八项：支持安吉进一步提升中职教育水平。支持安吉艺术高中与相关高校开展深度合作，争取打造成为省内县域一流特色高中。</w:t>
      </w:r>
    </w:p>
    <w:p>
      <w:pPr>
        <w:pStyle w:val="12"/>
        <w:ind w:firstLine="562" w:firstLineChars="200"/>
        <w:jc w:val="left"/>
        <w:rPr>
          <w:color w:val="auto"/>
          <w:sz w:val="28"/>
          <w:szCs w:val="28"/>
        </w:rPr>
      </w:pPr>
      <w:bookmarkStart w:id="50" w:name="_Toc28958369"/>
      <w:r>
        <w:rPr>
          <w:rFonts w:hint="eastAsia"/>
          <w:color w:val="auto"/>
          <w:sz w:val="28"/>
          <w:szCs w:val="28"/>
        </w:rPr>
        <w:t>7.特色创新</w:t>
      </w:r>
      <w:bookmarkEnd w:id="50"/>
    </w:p>
    <w:p>
      <w:pPr>
        <w:adjustRightInd w:val="0"/>
        <w:snapToGrid w:val="0"/>
        <w:spacing w:line="360" w:lineRule="auto"/>
        <w:ind w:firstLine="560" w:firstLineChars="200"/>
        <w:rPr>
          <w:rFonts w:ascii="宋体" w:hAnsi="宋体"/>
          <w:color w:val="auto"/>
          <w:kern w:val="0"/>
          <w:sz w:val="28"/>
          <w:szCs w:val="28"/>
        </w:rPr>
      </w:pPr>
      <w:r>
        <w:rPr>
          <w:rFonts w:hint="eastAsia" w:ascii="宋体" w:hAnsi="宋体"/>
          <w:color w:val="auto"/>
          <w:sz w:val="28"/>
          <w:szCs w:val="28"/>
        </w:rPr>
        <w:t>寝室特色亮点建设：安吉</w:t>
      </w:r>
      <w:r>
        <w:rPr>
          <w:rFonts w:hint="eastAsia" w:ascii="宋体" w:hAnsi="宋体"/>
          <w:color w:val="auto"/>
          <w:sz w:val="28"/>
          <w:szCs w:val="28"/>
          <w:lang w:eastAsia="zh-CN"/>
        </w:rPr>
        <w:t>艺术高级中学</w:t>
      </w:r>
      <w:r>
        <w:rPr>
          <w:rFonts w:hint="eastAsia" w:ascii="宋体" w:hAnsi="宋体"/>
          <w:color w:val="auto"/>
          <w:sz w:val="28"/>
          <w:szCs w:val="28"/>
        </w:rPr>
        <w:t>是一所以美术特色为主体的艺术类学校，学生的生活自理能力不强，给学校德育工作带来了挑战和难度，对学校的德育管理也是一次新的考验。为提高全校学生思想道德素质、学校以寝室文化建设为抓手，促使学生养成</w:t>
      </w:r>
      <w:r>
        <w:rPr>
          <w:rFonts w:ascii="宋体" w:hAnsi="宋体"/>
          <w:color w:val="auto"/>
          <w:sz w:val="28"/>
          <w:szCs w:val="28"/>
        </w:rPr>
        <w:t>“</w:t>
      </w:r>
      <w:r>
        <w:rPr>
          <w:rFonts w:hint="eastAsia" w:ascii="宋体" w:hAnsi="宋体"/>
          <w:color w:val="auto"/>
          <w:sz w:val="28"/>
          <w:szCs w:val="28"/>
        </w:rPr>
        <w:t>讲文明、守纪律、爱整洁、保安全</w:t>
      </w:r>
      <w:r>
        <w:rPr>
          <w:rFonts w:ascii="宋体" w:hAnsi="宋体"/>
          <w:color w:val="auto"/>
          <w:sz w:val="28"/>
          <w:szCs w:val="28"/>
        </w:rPr>
        <w:t>”</w:t>
      </w:r>
      <w:r>
        <w:rPr>
          <w:rFonts w:hint="eastAsia" w:ascii="宋体" w:hAnsi="宋体"/>
          <w:color w:val="auto"/>
          <w:sz w:val="28"/>
          <w:szCs w:val="28"/>
        </w:rPr>
        <w:t>的良好集体生活习惯，</w:t>
      </w:r>
      <w:r>
        <w:rPr>
          <w:rFonts w:hint="eastAsia" w:ascii="宋体" w:hAnsi="宋体"/>
          <w:color w:val="auto"/>
          <w:kern w:val="0"/>
          <w:sz w:val="28"/>
          <w:szCs w:val="28"/>
        </w:rPr>
        <w:t>我校把寝室打造成学生思想政治工作、培养良好文明行为为习惯的“第二课堂”，通过搭建美术、幼师、舞蹈三个专业平台，构建学生寝室育人体系，倡导学生爱室如爱家。</w:t>
      </w:r>
    </w:p>
    <w:p>
      <w:pPr>
        <w:pStyle w:val="12"/>
        <w:ind w:firstLine="562" w:firstLineChars="200"/>
        <w:jc w:val="left"/>
        <w:rPr>
          <w:color w:val="auto"/>
          <w:sz w:val="28"/>
          <w:szCs w:val="28"/>
        </w:rPr>
      </w:pPr>
      <w:bookmarkStart w:id="51" w:name="_Toc28958370"/>
      <w:r>
        <w:rPr>
          <w:rFonts w:hint="eastAsia"/>
          <w:color w:val="auto"/>
          <w:sz w:val="28"/>
          <w:szCs w:val="28"/>
        </w:rPr>
        <w:t>8.主要问题和改进措施</w:t>
      </w:r>
      <w:bookmarkEnd w:id="51"/>
    </w:p>
    <w:p>
      <w:pPr>
        <w:pStyle w:val="11"/>
        <w:shd w:val="clear" w:color="auto" w:fill="FFFFFF"/>
        <w:adjustRightInd w:val="0"/>
        <w:snapToGrid w:val="0"/>
        <w:spacing w:before="0" w:beforeAutospacing="0" w:after="0" w:afterAutospacing="0" w:line="360" w:lineRule="auto"/>
        <w:ind w:firstLine="48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办学水平方面：注重各项技能竞赛质量提升，研究符合我校特点的技能突破和培养机制；探索校企合作模式和运行机制，需要进一步创新，学校的精细化和专业化管理也有待于进一步加强。为此，学校应适应经济社会发展需要，认真调研做好部分专业调整的准备工作，把学校的美术品牌专业做强做大，吸引社会优质生源；进行多样化人才培养模式改革，加强与企业、高校的交流与深度合作；研究音乐舞蹈办学质量提升工作，为专业教师提供更多的校际合作、交流机会，提升教师的专业教授水平。</w:t>
      </w:r>
    </w:p>
    <w:p>
      <w:pPr>
        <w:pStyle w:val="11"/>
        <w:shd w:val="clear" w:color="auto" w:fill="FFFFFF"/>
        <w:adjustRightInd w:val="0"/>
        <w:snapToGrid w:val="0"/>
        <w:spacing w:before="0" w:beforeAutospacing="0" w:after="0" w:afterAutospacing="0" w:line="360" w:lineRule="auto"/>
        <w:ind w:firstLine="48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师资建设方面：加大师资培养力度，尤其是对中青年教师队伍设计有针对性的培养计划和方案，使得教师队伍的规模、质量和结构不断优化以适应学校未来的发展。加大教师引进力度，解决学校教师数量不足的难题。培养和造就一支具有良好职业素养，业务能力强、教学水平高、教学效果好、充满活力的教师队伍；全面普查职工在岗情况，合理制定聘请考核评价标准，更好地发挥绩效考核的激励作用。</w:t>
      </w:r>
    </w:p>
    <w:p>
      <w:pPr>
        <w:pStyle w:val="11"/>
        <w:shd w:val="clear" w:color="auto" w:fill="FFFFFF"/>
        <w:adjustRightInd w:val="0"/>
        <w:snapToGrid w:val="0"/>
        <w:spacing w:before="0" w:beforeAutospacing="0" w:after="0" w:afterAutospacing="0" w:line="360" w:lineRule="auto"/>
        <w:ind w:firstLine="48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评价机制方面，完善学生多元评价机制，教育教学评价的社会参与度还有待于进一步加强，学校教学诊断与改进工作需要加快推进。为此学校须加强学生创新创业教育，强化实践教学环节；进一步完善选课机制，制定学分制改革方案；建立健全教学质量评估、评价机制，使教学质量评估、评价常态化，及时发现、改进教学活动中存在的问题。</w:t>
      </w:r>
    </w:p>
    <w:p>
      <w:pPr>
        <w:pStyle w:val="11"/>
        <w:shd w:val="clear" w:color="auto" w:fill="FFFFFF"/>
        <w:adjustRightInd w:val="0"/>
        <w:snapToGrid w:val="0"/>
        <w:spacing w:before="0" w:beforeAutospacing="0" w:after="0" w:afterAutospacing="0" w:line="360" w:lineRule="auto"/>
        <w:ind w:firstLine="560" w:firstLineChars="200"/>
        <w:rPr>
          <w:rFonts w:asciiTheme="minorEastAsia" w:hAnsiTheme="minorEastAsia"/>
          <w:color w:val="auto"/>
          <w:sz w:val="28"/>
          <w:szCs w:val="28"/>
        </w:rPr>
      </w:pPr>
    </w:p>
    <w:sectPr>
      <w:pgSz w:w="11906" w:h="16838"/>
      <w:pgMar w:top="1440" w:right="1758" w:bottom="1440" w:left="1758"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楷体_GB2312">
    <w:altName w:val="方正楷体_GBK"/>
    <w:panose1 w:val="00000000000000000000"/>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3</w:t>
    </w:r>
    <w:r>
      <w:rPr>
        <w:lang w:val="zh-CN"/>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035"/>
        <w:tab w:val="center" w:pos="4195"/>
      </w:tabs>
    </w:pPr>
    <w:r>
      <w:rPr>
        <w:color w:val="FFFFFF" w:themeColor="background1"/>
      </w:rPr>
      <w:tab/>
    </w:r>
    <w:r>
      <w:rPr>
        <w:color w:val="FFFFFF" w:themeColor="background1"/>
      </w:rPr>
      <w:tab/>
    </w:r>
    <w:r>
      <w:fldChar w:fldCharType="begin"/>
    </w:r>
    <w:r>
      <w:instrText xml:space="preserve"> PAGE   \* MERGEFORMAT </w:instrText>
    </w:r>
    <w:r>
      <w:fldChar w:fldCharType="separate"/>
    </w:r>
    <w:r>
      <w:rPr>
        <w:lang w:val="zh-CN"/>
      </w:rPr>
      <w:t>1</w:t>
    </w:r>
    <w:r>
      <w:rPr>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21B75"/>
    <w:multiLevelType w:val="multilevel"/>
    <w:tmpl w:val="1CA21B75"/>
    <w:lvl w:ilvl="0" w:tentative="0">
      <w:start w:val="1"/>
      <w:numFmt w:val="decimal"/>
      <w:lvlText w:val="(%1)"/>
      <w:lvlJc w:val="left"/>
      <w:pPr>
        <w:ind w:left="900" w:hanging="420"/>
      </w:pPr>
      <w:rPr>
        <w:rFonts w:hint="eastAsia"/>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318A4ACA"/>
    <w:multiLevelType w:val="multilevel"/>
    <w:tmpl w:val="318A4ACA"/>
    <w:lvl w:ilvl="0" w:tentative="0">
      <w:start w:val="1"/>
      <w:numFmt w:val="decimal"/>
      <w:lvlText w:val="(%1)"/>
      <w:lvlJc w:val="left"/>
      <w:pPr>
        <w:ind w:left="900" w:hanging="420"/>
      </w:pPr>
      <w:rPr>
        <w:rFonts w:hint="eastAsia"/>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60B308BC"/>
    <w:multiLevelType w:val="multilevel"/>
    <w:tmpl w:val="60B308BC"/>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NotTrackMoves/>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56109DF"/>
    <w:rsid w:val="00001CEF"/>
    <w:rsid w:val="00002921"/>
    <w:rsid w:val="000133DC"/>
    <w:rsid w:val="00020DCC"/>
    <w:rsid w:val="00033F9A"/>
    <w:rsid w:val="00055891"/>
    <w:rsid w:val="000763C1"/>
    <w:rsid w:val="000B0D60"/>
    <w:rsid w:val="000B77A5"/>
    <w:rsid w:val="000C1A9E"/>
    <w:rsid w:val="000E5401"/>
    <w:rsid w:val="000F046D"/>
    <w:rsid w:val="00123118"/>
    <w:rsid w:val="0015320A"/>
    <w:rsid w:val="001966F5"/>
    <w:rsid w:val="001D2061"/>
    <w:rsid w:val="00224E2E"/>
    <w:rsid w:val="0022557E"/>
    <w:rsid w:val="00243E5D"/>
    <w:rsid w:val="00266107"/>
    <w:rsid w:val="0038164E"/>
    <w:rsid w:val="003827C9"/>
    <w:rsid w:val="00390867"/>
    <w:rsid w:val="003B0890"/>
    <w:rsid w:val="003B5EBB"/>
    <w:rsid w:val="003B7FF4"/>
    <w:rsid w:val="00400EF3"/>
    <w:rsid w:val="004110E2"/>
    <w:rsid w:val="00426B49"/>
    <w:rsid w:val="0043180F"/>
    <w:rsid w:val="0045576C"/>
    <w:rsid w:val="00463C7F"/>
    <w:rsid w:val="004646FD"/>
    <w:rsid w:val="00474205"/>
    <w:rsid w:val="004A1E75"/>
    <w:rsid w:val="004B4E51"/>
    <w:rsid w:val="004C0E3C"/>
    <w:rsid w:val="005112C2"/>
    <w:rsid w:val="00574FDF"/>
    <w:rsid w:val="00580840"/>
    <w:rsid w:val="005B1CCA"/>
    <w:rsid w:val="005D0CED"/>
    <w:rsid w:val="005E4EBD"/>
    <w:rsid w:val="00610EDA"/>
    <w:rsid w:val="00626A7A"/>
    <w:rsid w:val="00630241"/>
    <w:rsid w:val="0066553C"/>
    <w:rsid w:val="00694716"/>
    <w:rsid w:val="006A0984"/>
    <w:rsid w:val="006A42D5"/>
    <w:rsid w:val="006A6802"/>
    <w:rsid w:val="006B5217"/>
    <w:rsid w:val="006D7BF3"/>
    <w:rsid w:val="006D7D8A"/>
    <w:rsid w:val="00716FE4"/>
    <w:rsid w:val="00730C1E"/>
    <w:rsid w:val="00732CA9"/>
    <w:rsid w:val="00737D95"/>
    <w:rsid w:val="00775D29"/>
    <w:rsid w:val="007935D1"/>
    <w:rsid w:val="007B14FD"/>
    <w:rsid w:val="007B429C"/>
    <w:rsid w:val="007C6D5F"/>
    <w:rsid w:val="007E1308"/>
    <w:rsid w:val="00816AD3"/>
    <w:rsid w:val="00820346"/>
    <w:rsid w:val="00840A9A"/>
    <w:rsid w:val="008604C1"/>
    <w:rsid w:val="008A6369"/>
    <w:rsid w:val="0091320D"/>
    <w:rsid w:val="00913C9B"/>
    <w:rsid w:val="00932261"/>
    <w:rsid w:val="009542E6"/>
    <w:rsid w:val="00983A59"/>
    <w:rsid w:val="009A0125"/>
    <w:rsid w:val="009A4F7F"/>
    <w:rsid w:val="009D7391"/>
    <w:rsid w:val="009D7681"/>
    <w:rsid w:val="009D779F"/>
    <w:rsid w:val="009E0DA7"/>
    <w:rsid w:val="009E53A4"/>
    <w:rsid w:val="00A0447A"/>
    <w:rsid w:val="00A14882"/>
    <w:rsid w:val="00A4138A"/>
    <w:rsid w:val="00A94518"/>
    <w:rsid w:val="00A951BF"/>
    <w:rsid w:val="00AA19A1"/>
    <w:rsid w:val="00AC5E7B"/>
    <w:rsid w:val="00AE765D"/>
    <w:rsid w:val="00B119A6"/>
    <w:rsid w:val="00B16D96"/>
    <w:rsid w:val="00B2480A"/>
    <w:rsid w:val="00B54D60"/>
    <w:rsid w:val="00B645A5"/>
    <w:rsid w:val="00B669BA"/>
    <w:rsid w:val="00B773DF"/>
    <w:rsid w:val="00B917BD"/>
    <w:rsid w:val="00BF2085"/>
    <w:rsid w:val="00BF21F3"/>
    <w:rsid w:val="00BF3115"/>
    <w:rsid w:val="00BF7B33"/>
    <w:rsid w:val="00C24600"/>
    <w:rsid w:val="00C25BDD"/>
    <w:rsid w:val="00C763DD"/>
    <w:rsid w:val="00C93DE8"/>
    <w:rsid w:val="00CA11DE"/>
    <w:rsid w:val="00CC0D2C"/>
    <w:rsid w:val="00CD4EBA"/>
    <w:rsid w:val="00CE267A"/>
    <w:rsid w:val="00CE5364"/>
    <w:rsid w:val="00D00154"/>
    <w:rsid w:val="00D44997"/>
    <w:rsid w:val="00D45CF6"/>
    <w:rsid w:val="00D62F90"/>
    <w:rsid w:val="00DA6B10"/>
    <w:rsid w:val="00DE354B"/>
    <w:rsid w:val="00E16F35"/>
    <w:rsid w:val="00E56FFD"/>
    <w:rsid w:val="00E74CBA"/>
    <w:rsid w:val="00E74EF0"/>
    <w:rsid w:val="00E86D87"/>
    <w:rsid w:val="00E965FD"/>
    <w:rsid w:val="00ED1265"/>
    <w:rsid w:val="00EE59D5"/>
    <w:rsid w:val="00EE5E5A"/>
    <w:rsid w:val="00EF6732"/>
    <w:rsid w:val="00F25A55"/>
    <w:rsid w:val="00F27554"/>
    <w:rsid w:val="00F40A41"/>
    <w:rsid w:val="00F41B1F"/>
    <w:rsid w:val="00F41CDA"/>
    <w:rsid w:val="00F50C9D"/>
    <w:rsid w:val="00F51E27"/>
    <w:rsid w:val="00F55205"/>
    <w:rsid w:val="00F7249E"/>
    <w:rsid w:val="00F84717"/>
    <w:rsid w:val="00FA45B0"/>
    <w:rsid w:val="00FB2B83"/>
    <w:rsid w:val="156109DF"/>
    <w:rsid w:val="19651EF7"/>
    <w:rsid w:val="1DBC7D45"/>
    <w:rsid w:val="2E1E42C0"/>
    <w:rsid w:val="3830263C"/>
    <w:rsid w:val="4CFB1E75"/>
    <w:rsid w:val="4F43622F"/>
    <w:rsid w:val="517D09C7"/>
    <w:rsid w:val="5E6A6D81"/>
    <w:rsid w:val="5EEE1F4E"/>
    <w:rsid w:val="6C2B0B9E"/>
    <w:rsid w:val="6F386435"/>
    <w:rsid w:val="70363D7B"/>
    <w:rsid w:val="76485B7A"/>
    <w:rsid w:val="F7EF25A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unhideWhenUsed/>
    <w:qFormat/>
    <w:uiPriority w:val="0"/>
    <w:pPr>
      <w:keepNext/>
      <w:keepLines/>
      <w:spacing w:before="260" w:after="260" w:line="416" w:lineRule="auto"/>
      <w:outlineLvl w:val="1"/>
    </w:pPr>
    <w:rPr>
      <w:rFonts w:ascii="Cambria" w:hAnsi="Cambria"/>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qFormat/>
    <w:uiPriority w:val="0"/>
    <w:pPr>
      <w:jc w:val="left"/>
    </w:pPr>
  </w:style>
  <w:style w:type="paragraph" w:styleId="5">
    <w:name w:val="Body Text Indent"/>
    <w:basedOn w:val="1"/>
    <w:link w:val="24"/>
    <w:qFormat/>
    <w:uiPriority w:val="0"/>
    <w:pPr>
      <w:ind w:firstLine="567"/>
    </w:pPr>
    <w:rPr>
      <w:sz w:val="28"/>
      <w:szCs w:val="28"/>
    </w:rPr>
  </w:style>
  <w:style w:type="paragraph" w:styleId="6">
    <w:name w:val="Balloon Text"/>
    <w:basedOn w:val="1"/>
    <w:link w:val="21"/>
    <w:qFormat/>
    <w:uiPriority w:val="0"/>
    <w:rPr>
      <w:sz w:val="18"/>
      <w:szCs w:val="18"/>
    </w:rPr>
  </w:style>
  <w:style w:type="paragraph" w:styleId="7">
    <w:name w:val="footer"/>
    <w:basedOn w:val="1"/>
    <w:link w:val="27"/>
    <w:qFormat/>
    <w:uiPriority w:val="99"/>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link w:val="30"/>
    <w:qFormat/>
    <w:uiPriority w:val="0"/>
    <w:pPr>
      <w:spacing w:before="240" w:after="60"/>
      <w:jc w:val="center"/>
      <w:outlineLvl w:val="0"/>
    </w:pPr>
    <w:rPr>
      <w:rFonts w:ascii="Cambria" w:hAnsi="Cambria"/>
      <w:b/>
      <w:bCs/>
      <w:sz w:val="32"/>
      <w:szCs w:val="32"/>
    </w:rPr>
  </w:style>
  <w:style w:type="paragraph" w:styleId="13">
    <w:name w:val="annotation subject"/>
    <w:basedOn w:val="4"/>
    <w:next w:val="4"/>
    <w:link w:val="23"/>
    <w:qFormat/>
    <w:uiPriority w:val="0"/>
    <w:rPr>
      <w:b/>
      <w:bCs/>
    </w:rPr>
  </w:style>
  <w:style w:type="table" w:styleId="15">
    <w:name w:val="Table Grid"/>
    <w:basedOn w:val="14"/>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22"/>
    <w:rPr>
      <w:b/>
      <w:bCs/>
    </w:rPr>
  </w:style>
  <w:style w:type="character" w:styleId="18">
    <w:name w:val="Emphasis"/>
    <w:basedOn w:val="16"/>
    <w:qFormat/>
    <w:uiPriority w:val="0"/>
    <w:rPr>
      <w:i/>
    </w:rPr>
  </w:style>
  <w:style w:type="character" w:styleId="19">
    <w:name w:val="Hyperlink"/>
    <w:basedOn w:val="16"/>
    <w:unhideWhenUsed/>
    <w:qFormat/>
    <w:uiPriority w:val="99"/>
    <w:rPr>
      <w:color w:val="0000FF"/>
      <w:u w:val="single"/>
    </w:rPr>
  </w:style>
  <w:style w:type="character" w:styleId="20">
    <w:name w:val="annotation reference"/>
    <w:basedOn w:val="16"/>
    <w:qFormat/>
    <w:uiPriority w:val="0"/>
    <w:rPr>
      <w:sz w:val="21"/>
      <w:szCs w:val="21"/>
    </w:rPr>
  </w:style>
  <w:style w:type="character" w:customStyle="1" w:styleId="21">
    <w:name w:val="批注框文本 Char"/>
    <w:basedOn w:val="16"/>
    <w:link w:val="6"/>
    <w:qFormat/>
    <w:uiPriority w:val="0"/>
    <w:rPr>
      <w:kern w:val="2"/>
      <w:sz w:val="18"/>
      <w:szCs w:val="18"/>
    </w:rPr>
  </w:style>
  <w:style w:type="character" w:customStyle="1" w:styleId="22">
    <w:name w:val="批注文字 Char"/>
    <w:basedOn w:val="16"/>
    <w:link w:val="4"/>
    <w:qFormat/>
    <w:uiPriority w:val="0"/>
    <w:rPr>
      <w:kern w:val="2"/>
      <w:sz w:val="21"/>
      <w:szCs w:val="22"/>
    </w:rPr>
  </w:style>
  <w:style w:type="character" w:customStyle="1" w:styleId="23">
    <w:name w:val="批注主题 Char"/>
    <w:basedOn w:val="22"/>
    <w:link w:val="13"/>
    <w:qFormat/>
    <w:uiPriority w:val="0"/>
    <w:rPr>
      <w:b/>
      <w:bCs/>
      <w:kern w:val="2"/>
      <w:sz w:val="21"/>
      <w:szCs w:val="22"/>
    </w:rPr>
  </w:style>
  <w:style w:type="character" w:customStyle="1" w:styleId="24">
    <w:name w:val="正文文本缩进 Char"/>
    <w:link w:val="5"/>
    <w:qFormat/>
    <w:locked/>
    <w:uiPriority w:val="0"/>
    <w:rPr>
      <w:kern w:val="2"/>
      <w:sz w:val="28"/>
      <w:szCs w:val="28"/>
    </w:rPr>
  </w:style>
  <w:style w:type="character" w:customStyle="1" w:styleId="25">
    <w:name w:val="正文文本缩进 Char1"/>
    <w:basedOn w:val="16"/>
    <w:qFormat/>
    <w:uiPriority w:val="0"/>
    <w:rPr>
      <w:kern w:val="2"/>
      <w:sz w:val="21"/>
      <w:szCs w:val="22"/>
    </w:rPr>
  </w:style>
  <w:style w:type="character" w:customStyle="1" w:styleId="26">
    <w:name w:val="页眉 Char"/>
    <w:basedOn w:val="16"/>
    <w:link w:val="8"/>
    <w:qFormat/>
    <w:uiPriority w:val="0"/>
    <w:rPr>
      <w:kern w:val="2"/>
      <w:sz w:val="18"/>
      <w:szCs w:val="18"/>
    </w:rPr>
  </w:style>
  <w:style w:type="character" w:customStyle="1" w:styleId="27">
    <w:name w:val="页脚 Char"/>
    <w:basedOn w:val="16"/>
    <w:link w:val="7"/>
    <w:qFormat/>
    <w:uiPriority w:val="99"/>
    <w:rPr>
      <w:kern w:val="2"/>
      <w:sz w:val="18"/>
      <w:szCs w:val="18"/>
    </w:rPr>
  </w:style>
  <w:style w:type="character" w:customStyle="1" w:styleId="28">
    <w:name w:val="font71"/>
    <w:qFormat/>
    <w:uiPriority w:val="0"/>
    <w:rPr>
      <w:rFonts w:hint="default" w:ascii="Times New Roman" w:hAnsi="Times New Roman" w:eastAsia="楷体_GB2312" w:cs="Times New Roman"/>
      <w:sz w:val="28"/>
      <w:szCs w:val="24"/>
    </w:rPr>
  </w:style>
  <w:style w:type="paragraph" w:styleId="29">
    <w:name w:val="List Paragraph"/>
    <w:basedOn w:val="1"/>
    <w:unhideWhenUsed/>
    <w:qFormat/>
    <w:uiPriority w:val="99"/>
    <w:pPr>
      <w:ind w:firstLine="420" w:firstLineChars="200"/>
    </w:pPr>
  </w:style>
  <w:style w:type="character" w:customStyle="1" w:styleId="30">
    <w:name w:val="标题 Char"/>
    <w:basedOn w:val="16"/>
    <w:link w:val="12"/>
    <w:qFormat/>
    <w:uiPriority w:val="0"/>
    <w:rPr>
      <w:rFonts w:ascii="Cambria" w:hAnsi="Cambria" w:eastAsia="宋体" w:cs="Times New Roman"/>
      <w:b/>
      <w:bCs/>
      <w:kern w:val="2"/>
      <w:sz w:val="32"/>
      <w:szCs w:val="32"/>
    </w:rPr>
  </w:style>
  <w:style w:type="character" w:customStyle="1" w:styleId="31">
    <w:name w:val="标题 1 Char"/>
    <w:basedOn w:val="16"/>
    <w:link w:val="2"/>
    <w:qFormat/>
    <w:uiPriority w:val="0"/>
    <w:rPr>
      <w:b/>
      <w:bCs/>
      <w:kern w:val="44"/>
      <w:sz w:val="44"/>
      <w:szCs w:val="44"/>
    </w:rPr>
  </w:style>
  <w:style w:type="character" w:customStyle="1" w:styleId="32">
    <w:name w:val="标题 2 Char"/>
    <w:basedOn w:val="16"/>
    <w:link w:val="3"/>
    <w:qFormat/>
    <w:uiPriority w:val="0"/>
    <w:rPr>
      <w:rFonts w:ascii="Cambria" w:hAnsi="Cambria" w:eastAsia="宋体" w:cs="Times New Roman"/>
      <w:b/>
      <w:bCs/>
      <w:kern w:val="2"/>
      <w:sz w:val="32"/>
      <w:szCs w:val="32"/>
    </w:rPr>
  </w:style>
  <w:style w:type="paragraph" w:customStyle="1" w:styleId="33">
    <w:name w:val="TOC Heading"/>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2068</Words>
  <Characters>11788</Characters>
  <Lines>98</Lines>
  <Paragraphs>27</Paragraphs>
  <TotalTime>0</TotalTime>
  <ScaleCrop>false</ScaleCrop>
  <LinksUpToDate>false</LinksUpToDate>
  <CharactersWithSpaces>13829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2019-01-15T12:54:00Z</dcterms:created>
  <dc:creator>lenovo</dc:creator>
  <cp:lastModifiedBy>Huzhou</cp:lastModifiedBy>
  <cp:lastPrinted>2020-01-03T15:46:00Z</cp:lastPrinted>
  <dcterms:modified xsi:type="dcterms:W3CDTF">2021-02-01T10:17:34Z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