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Theme="minorEastAsia" w:hAnsiTheme="minorEastAsia" w:eastAsiaTheme="minorEastAsia"/>
          <w:b/>
          <w:sz w:val="44"/>
          <w:szCs w:val="44"/>
        </w:rPr>
      </w:pPr>
      <w:bookmarkStart w:id="0" w:name="OLE_LINK45"/>
      <w:bookmarkStart w:id="1" w:name="OLE_LINK40"/>
      <w:r>
        <w:rPr>
          <w:rFonts w:hint="eastAsia" w:asciiTheme="minorEastAsia" w:hAnsiTheme="minorEastAsia" w:eastAsiaTheme="minorEastAsia"/>
          <w:b/>
          <w:color w:val="000000"/>
          <w:sz w:val="40"/>
          <w:szCs w:val="40"/>
        </w:rPr>
        <w:t>桐乡市</w:t>
      </w:r>
      <w:r>
        <w:rPr>
          <w:rFonts w:asciiTheme="minorEastAsia" w:hAnsiTheme="minorEastAsia" w:eastAsiaTheme="minorEastAsia"/>
          <w:b/>
          <w:color w:val="000000"/>
          <w:sz w:val="40"/>
          <w:szCs w:val="40"/>
        </w:rPr>
        <w:t>卫生学校教育质量</w:t>
      </w:r>
      <w:r>
        <w:rPr>
          <w:rFonts w:hint="eastAsia" w:asciiTheme="minorEastAsia" w:hAnsiTheme="minorEastAsia" w:eastAsiaTheme="minorEastAsia"/>
          <w:b/>
          <w:color w:val="000000"/>
          <w:sz w:val="40"/>
          <w:szCs w:val="40"/>
        </w:rPr>
        <w:t>2020</w:t>
      </w:r>
      <w:r>
        <w:rPr>
          <w:rFonts w:asciiTheme="minorEastAsia" w:hAnsiTheme="minorEastAsia" w:eastAsiaTheme="minorEastAsia"/>
          <w:b/>
          <w:color w:val="000000"/>
          <w:sz w:val="40"/>
          <w:szCs w:val="40"/>
        </w:rPr>
        <w:t>年度报告</w:t>
      </w:r>
      <w:bookmarkEnd w:id="0"/>
      <w:bookmarkStart w:id="2" w:name="OLE_LINK41"/>
    </w:p>
    <w:bookmarkEnd w:id="1"/>
    <w:bookmarkEnd w:id="2"/>
    <w:p>
      <w:pPr>
        <w:adjustRightInd w:val="0"/>
        <w:snapToGrid w:val="0"/>
        <w:spacing w:line="500" w:lineRule="exact"/>
        <w:rPr>
          <w:rFonts w:asciiTheme="minorEastAsia" w:hAnsiTheme="minorEastAsia" w:eastAsiaTheme="minorEastAsia"/>
          <w:b/>
          <w:sz w:val="28"/>
          <w:szCs w:val="28"/>
        </w:rPr>
      </w:pPr>
    </w:p>
    <w:p>
      <w:pPr>
        <w:keepNext w:val="0"/>
        <w:keepLines w:val="0"/>
        <w:pageBreakBefore w:val="0"/>
        <w:kinsoku/>
        <w:wordWrap/>
        <w:overflowPunct/>
        <w:topLinePunct w:val="0"/>
        <w:autoSpaceDE/>
        <w:autoSpaceDN/>
        <w:bidi w:val="0"/>
        <w:adjustRightInd w:val="0"/>
        <w:snapToGrid w:val="0"/>
        <w:spacing w:line="312" w:lineRule="auto"/>
        <w:ind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一、基本情况</w:t>
      </w:r>
      <w:bookmarkStart w:id="3" w:name="OLE_LINK85"/>
    </w:p>
    <w:p>
      <w:pPr>
        <w:keepNext w:val="0"/>
        <w:keepLines w:val="0"/>
        <w:pageBreakBefore w:val="0"/>
        <w:kinsoku/>
        <w:wordWrap/>
        <w:overflowPunct/>
        <w:topLinePunct w:val="0"/>
        <w:autoSpaceDE/>
        <w:autoSpaceDN/>
        <w:bidi w:val="0"/>
        <w:adjustRightInd w:val="0"/>
        <w:snapToGrid w:val="0"/>
        <w:spacing w:line="312" w:lineRule="auto"/>
        <w:ind w:firstLine="562" w:firstLineChars="20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（一）学校概况</w:t>
      </w:r>
    </w:p>
    <w:bookmarkEnd w:id="3"/>
    <w:p>
      <w:pPr>
        <w:keepNext w:val="0"/>
        <w:keepLines w:val="0"/>
        <w:pageBreakBefore w:val="0"/>
        <w:kinsoku/>
        <w:wordWrap/>
        <w:overflowPunct/>
        <w:topLinePunct w:val="0"/>
        <w:autoSpaceDE/>
        <w:autoSpaceDN/>
        <w:bidi w:val="0"/>
        <w:adjustRightInd w:val="0"/>
        <w:snapToGrid w:val="0"/>
        <w:spacing w:line="312" w:lineRule="auto"/>
        <w:ind w:firstLine="560" w:firstLineChars="200"/>
        <w:textAlignment w:val="auto"/>
        <w:rPr>
          <w:rFonts w:cs="Times New Roman" w:asciiTheme="minorEastAsia" w:hAnsiTheme="minorEastAsia" w:eastAsiaTheme="minorEastAsia"/>
          <w:sz w:val="28"/>
          <w:szCs w:val="28"/>
        </w:rPr>
      </w:pPr>
      <w:bookmarkStart w:id="4" w:name="OLE_LINK77"/>
      <w:r>
        <w:rPr>
          <w:rFonts w:hint="eastAsia" w:asciiTheme="minorEastAsia" w:hAnsiTheme="minorEastAsia" w:eastAsiaTheme="minorEastAsia"/>
          <w:sz w:val="28"/>
          <w:szCs w:val="28"/>
        </w:rPr>
        <w:t>学校</w:t>
      </w:r>
      <w:r>
        <w:rPr>
          <w:rFonts w:asciiTheme="minorEastAsia" w:hAnsiTheme="minorEastAsia" w:eastAsiaTheme="minorEastAsia"/>
          <w:sz w:val="28"/>
          <w:szCs w:val="28"/>
        </w:rPr>
        <w:t>创建于1974年，系</w:t>
      </w:r>
      <w:r>
        <w:rPr>
          <w:rFonts w:hint="eastAsia" w:asciiTheme="minorEastAsia" w:hAnsiTheme="minorEastAsia" w:eastAsiaTheme="minorEastAsia"/>
          <w:sz w:val="28"/>
          <w:szCs w:val="28"/>
        </w:rPr>
        <w:t>桐乡</w:t>
      </w:r>
      <w:r>
        <w:rPr>
          <w:rFonts w:asciiTheme="minorEastAsia" w:hAnsiTheme="minorEastAsia" w:eastAsiaTheme="minorEastAsia"/>
          <w:sz w:val="28"/>
          <w:szCs w:val="28"/>
        </w:rPr>
        <w:t>市办学最早的职业学校</w:t>
      </w:r>
      <w:r>
        <w:rPr>
          <w:rFonts w:hint="eastAsia" w:asciiTheme="minorEastAsia" w:hAnsiTheme="minorEastAsia" w:eastAsiaTheme="minorEastAsia"/>
          <w:sz w:val="28"/>
          <w:szCs w:val="28"/>
        </w:rPr>
        <w:t>。</w:t>
      </w:r>
      <w:r>
        <w:rPr>
          <w:rFonts w:hint="eastAsia" w:ascii="宋体" w:hAnsi="宋体" w:cs="宋体"/>
          <w:sz w:val="28"/>
          <w:szCs w:val="28"/>
        </w:rPr>
        <w:t>学校隶属桐乡市卫生与</w:t>
      </w:r>
      <w:r>
        <w:rPr>
          <w:rFonts w:hint="eastAsia" w:ascii="宋体" w:hAnsi="宋体" w:cs="宋体"/>
          <w:sz w:val="28"/>
          <w:szCs w:val="28"/>
          <w:lang w:eastAsia="zh-CN"/>
        </w:rPr>
        <w:t>健康</w:t>
      </w:r>
      <w:r>
        <w:rPr>
          <w:rFonts w:hint="eastAsia" w:ascii="宋体" w:hAnsi="宋体" w:cs="宋体"/>
          <w:sz w:val="28"/>
          <w:szCs w:val="28"/>
        </w:rPr>
        <w:t>局主管，并同时接受各级教育行政部门及有关上级学校的业务管理</w:t>
      </w:r>
      <w:r>
        <w:rPr>
          <w:rFonts w:hint="eastAsia" w:cs="Times New Roman" w:asciiTheme="minorEastAsia" w:hAnsiTheme="minorEastAsia" w:eastAsiaTheme="minorEastAsia"/>
          <w:sz w:val="28"/>
          <w:szCs w:val="28"/>
        </w:rPr>
        <w:t>和指导。经桐乡市事业单位登记管理局登记，属公益二类事业单位。学校为公立全日制普通</w:t>
      </w:r>
      <w:bookmarkEnd w:id="4"/>
      <w:r>
        <w:rPr>
          <w:rFonts w:hint="eastAsia" w:cs="Times New Roman" w:asciiTheme="minorEastAsia" w:hAnsiTheme="minorEastAsia" w:eastAsiaTheme="minorEastAsia"/>
          <w:sz w:val="28"/>
          <w:szCs w:val="28"/>
        </w:rPr>
        <w:t>中等专业学校，具有法人资格，独立承担民事责任。</w:t>
      </w:r>
      <w:bookmarkStart w:id="5" w:name="OLE_LINK4"/>
      <w:r>
        <w:rPr>
          <w:rFonts w:hint="eastAsia" w:cs="Times New Roman" w:asciiTheme="minorEastAsia" w:hAnsiTheme="minorEastAsia" w:eastAsiaTheme="minorEastAsia"/>
          <w:sz w:val="28"/>
          <w:szCs w:val="28"/>
          <w:lang w:eastAsia="zh-CN"/>
        </w:rPr>
        <w:t>目前，</w:t>
      </w:r>
      <w:r>
        <w:rPr>
          <w:rFonts w:hint="eastAsia" w:cs="Times New Roman" w:asciiTheme="minorEastAsia" w:hAnsiTheme="minorEastAsia" w:eastAsiaTheme="minorEastAsia"/>
          <w:sz w:val="28"/>
          <w:szCs w:val="28"/>
        </w:rPr>
        <w:t>学校占地面积124000平方米，资产总值13430.55万元，其中固定资产7808.76万元。</w:t>
      </w:r>
      <w:bookmarkEnd w:id="5"/>
    </w:p>
    <w:p>
      <w:pPr>
        <w:keepNext w:val="0"/>
        <w:keepLines w:val="0"/>
        <w:pageBreakBefore w:val="0"/>
        <w:kinsoku/>
        <w:wordWrap/>
        <w:overflowPunct/>
        <w:topLinePunct w:val="0"/>
        <w:autoSpaceDE/>
        <w:autoSpaceDN/>
        <w:bidi w:val="0"/>
        <w:adjustRightInd w:val="0"/>
        <w:snapToGrid w:val="0"/>
        <w:spacing w:line="312" w:lineRule="auto"/>
        <w:ind w:firstLine="560" w:firstLineChars="200"/>
        <w:textAlignment w:val="auto"/>
        <w:rPr>
          <w:rFonts w:hint="eastAsia" w:asciiTheme="minorEastAsia" w:hAnsiTheme="minorEastAsia" w:eastAsiaTheme="minorEastAsia"/>
          <w:sz w:val="28"/>
          <w:szCs w:val="28"/>
        </w:rPr>
      </w:pPr>
      <w:r>
        <w:rPr>
          <w:rFonts w:hint="eastAsia" w:cs="Times New Roman" w:asciiTheme="minorEastAsia" w:hAnsiTheme="minorEastAsia" w:eastAsiaTheme="minorEastAsia"/>
          <w:sz w:val="28"/>
          <w:szCs w:val="28"/>
        </w:rPr>
        <w:t>学校是国家级重点职业学校、省一级重点</w:t>
      </w:r>
      <w:r>
        <w:rPr>
          <w:rFonts w:hint="eastAsia" w:ascii="宋体" w:hAnsi="宋体"/>
          <w:kern w:val="0"/>
          <w:sz w:val="28"/>
          <w:szCs w:val="28"/>
        </w:rPr>
        <w:t>中等职业学校，是首家中职全国护士执业资格考试基地学校</w:t>
      </w:r>
      <w:r>
        <w:rPr>
          <w:rFonts w:hint="eastAsia" w:ascii="宋体" w:hAnsi="宋体"/>
          <w:kern w:val="0"/>
          <w:sz w:val="28"/>
          <w:szCs w:val="28"/>
          <w:lang w:eastAsia="zh-CN"/>
        </w:rPr>
        <w:t>（</w:t>
      </w:r>
      <w:r>
        <w:rPr>
          <w:rFonts w:hint="eastAsia" w:ascii="宋体" w:hAnsi="宋体"/>
          <w:kern w:val="0"/>
          <w:sz w:val="28"/>
          <w:szCs w:val="28"/>
          <w:lang w:val="en-US" w:eastAsia="zh-CN"/>
        </w:rPr>
        <w:t>2017年</w:t>
      </w:r>
      <w:r>
        <w:rPr>
          <w:rFonts w:hint="eastAsia" w:ascii="宋体" w:hAnsi="宋体"/>
          <w:kern w:val="0"/>
          <w:sz w:val="28"/>
          <w:szCs w:val="28"/>
          <w:lang w:eastAsia="zh-CN"/>
        </w:rPr>
        <w:t>）</w:t>
      </w:r>
      <w:r>
        <w:rPr>
          <w:rFonts w:hint="eastAsia" w:ascii="宋体" w:hAnsi="宋体"/>
          <w:kern w:val="0"/>
          <w:sz w:val="28"/>
          <w:szCs w:val="28"/>
        </w:rPr>
        <w:t>。拥有护理国家级实训基地、卫生类省级实训基地、康复治疗技术省级产学研联合体、附属康复医院各一个。拥有首批国家级示范专业一个（康复治疗技术专业），浙江省示范专业</w:t>
      </w:r>
      <w:r>
        <w:rPr>
          <w:rFonts w:hint="eastAsia" w:ascii="宋体" w:hAnsi="宋体"/>
          <w:kern w:val="0"/>
          <w:sz w:val="28"/>
          <w:szCs w:val="28"/>
          <w:lang w:eastAsia="zh-CN"/>
        </w:rPr>
        <w:t>、品牌专业</w:t>
      </w:r>
      <w:r>
        <w:rPr>
          <w:rFonts w:hint="eastAsia" w:ascii="宋体" w:hAnsi="宋体"/>
          <w:kern w:val="0"/>
          <w:sz w:val="28"/>
          <w:szCs w:val="28"/>
        </w:rPr>
        <w:t>两个（护理专业、康复治疗技术专业)。学校是浙江省中职护理专业教研大组副理事长学校。</w:t>
      </w:r>
      <w:r>
        <w:rPr>
          <w:rFonts w:hint="eastAsia" w:asciiTheme="minorEastAsia" w:hAnsiTheme="minorEastAsia" w:eastAsiaTheme="minorEastAsia"/>
          <w:sz w:val="28"/>
          <w:szCs w:val="28"/>
        </w:rPr>
        <w:t>2009年，校内实训基地——附属桐乡市康复医院投入使用，实现了产、学、训、研的协调发展，在省内中等卫校中尚属唯一。</w:t>
      </w:r>
    </w:p>
    <w:p>
      <w:pPr>
        <w:keepNext w:val="0"/>
        <w:keepLines w:val="0"/>
        <w:pageBreakBefore w:val="0"/>
        <w:widowControl/>
        <w:suppressLineNumbers w:val="0"/>
        <w:kinsoku/>
        <w:wordWrap/>
        <w:overflowPunct/>
        <w:topLinePunct w:val="0"/>
        <w:autoSpaceDE/>
        <w:autoSpaceDN/>
        <w:bidi w:val="0"/>
        <w:adjustRightInd w:val="0"/>
        <w:snapToGrid w:val="0"/>
        <w:spacing w:line="312" w:lineRule="auto"/>
        <w:ind w:firstLine="560" w:firstLineChars="200"/>
        <w:jc w:val="left"/>
        <w:textAlignment w:val="auto"/>
        <w:rPr>
          <w:rFonts w:hint="eastAsia" w:ascii="宋体" w:hAnsi="宋体" w:eastAsia="宋体" w:cs="Times New Roman"/>
          <w:kern w:val="0"/>
          <w:sz w:val="28"/>
          <w:szCs w:val="28"/>
          <w:lang w:eastAsia="zh-CN"/>
        </w:rPr>
      </w:pPr>
      <w:r>
        <w:rPr>
          <w:rFonts w:hint="eastAsia" w:ascii="宋体" w:hAnsi="宋体" w:eastAsia="宋体" w:cs="Times New Roman"/>
          <w:kern w:val="0"/>
          <w:sz w:val="28"/>
          <w:szCs w:val="28"/>
        </w:rPr>
        <w:t>2017年，学校康复治疗技术专业被立为 “浙江省中职品牌专业”建设项目，杨建芬老师和她领衔的护理名师工作室被立为“浙江省中职名师”及“浙江省中职名师工作室” 建设项目。2018年，学校护理专业被立为 “浙江省中职品牌专业”建设项目，马建强老师和他领衔的康复治疗技术名师工作室被立为“浙江省中职名师”及“浙江省中职名师工作室” 建设项目。201</w:t>
      </w:r>
      <w:r>
        <w:rPr>
          <w:rFonts w:hint="eastAsia" w:ascii="宋体" w:hAnsi="宋体" w:eastAsia="宋体" w:cs="Times New Roman"/>
          <w:kern w:val="0"/>
          <w:sz w:val="28"/>
          <w:szCs w:val="28"/>
          <w:lang w:val="en-US" w:eastAsia="zh-CN"/>
        </w:rPr>
        <w:t>8</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义工银行</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立项为浙江省中职德育品牌项目</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2019年,“青春一体化服务体系”立项为浙江省中职德育品牌项目</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lang w:val="en-US" w:eastAsia="zh-CN"/>
        </w:rPr>
        <w:t>2018年，学校被确定为浙江省第二批省级现代学徒制</w:t>
      </w:r>
      <w:r>
        <w:rPr>
          <w:rFonts w:hint="default" w:ascii="宋体" w:hAnsi="宋体" w:eastAsia="宋体" w:cs="Times New Roman"/>
          <w:kern w:val="0"/>
          <w:sz w:val="28"/>
          <w:szCs w:val="28"/>
          <w:lang w:val="en-US" w:eastAsia="zh-CN"/>
        </w:rPr>
        <w:t>试点单位</w:t>
      </w:r>
      <w:r>
        <w:rPr>
          <w:rFonts w:hint="eastAsia" w:ascii="宋体" w:hAnsi="宋体" w:eastAsia="宋体" w:cs="Times New Roman"/>
          <w:kern w:val="0"/>
          <w:sz w:val="28"/>
          <w:szCs w:val="28"/>
          <w:lang w:val="en-US" w:eastAsia="zh-CN"/>
        </w:rPr>
        <w:t>。</w:t>
      </w:r>
      <w:r>
        <w:rPr>
          <w:rFonts w:hint="eastAsia" w:ascii="宋体" w:hAnsi="宋体" w:eastAsia="宋体" w:cs="Times New Roman"/>
          <w:kern w:val="0"/>
          <w:sz w:val="28"/>
          <w:szCs w:val="28"/>
        </w:rPr>
        <w:t>2019年,学校成功创建教育部1+X证书制度试点学校(老年照护职业技能证书)。2020年</w:t>
      </w:r>
      <w:r>
        <w:rPr>
          <w:rFonts w:hint="eastAsia" w:ascii="宋体" w:hAnsi="宋体" w:eastAsia="宋体" w:cs="Times New Roman"/>
          <w:kern w:val="0"/>
          <w:sz w:val="28"/>
          <w:szCs w:val="28"/>
          <w:lang w:eastAsia="zh-CN"/>
        </w:rPr>
        <w:t>，本校毕业生</w:t>
      </w:r>
      <w:r>
        <w:rPr>
          <w:rFonts w:hint="eastAsia" w:ascii="宋体" w:hAnsi="宋体" w:eastAsia="宋体" w:cs="Times New Roman"/>
          <w:kern w:val="0"/>
          <w:sz w:val="28"/>
          <w:szCs w:val="28"/>
        </w:rPr>
        <w:t>蒋小丽</w:t>
      </w:r>
      <w:r>
        <w:rPr>
          <w:rFonts w:hint="eastAsia" w:ascii="宋体" w:hAnsi="宋体" w:eastAsia="宋体" w:cs="Times New Roman"/>
          <w:kern w:val="0"/>
          <w:sz w:val="28"/>
          <w:szCs w:val="28"/>
          <w:lang w:eastAsia="zh-CN"/>
        </w:rPr>
        <w:t>被评为</w:t>
      </w:r>
      <w:r>
        <w:rPr>
          <w:rFonts w:hint="eastAsia" w:ascii="宋体" w:hAnsi="宋体" w:eastAsia="宋体" w:cs="Times New Roman"/>
          <w:kern w:val="0"/>
          <w:sz w:val="28"/>
          <w:szCs w:val="28"/>
        </w:rPr>
        <w:t>浙江省中职优秀毕业生典型</w:t>
      </w:r>
      <w:r>
        <w:rPr>
          <w:rFonts w:hint="eastAsia" w:ascii="宋体" w:hAnsi="宋体" w:eastAsia="宋体" w:cs="Times New Roman"/>
          <w:kern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12" w:lineRule="auto"/>
        <w:ind w:firstLine="560" w:firstLineChars="200"/>
        <w:jc w:val="left"/>
        <w:textAlignment w:val="auto"/>
        <w:rPr>
          <w:rFonts w:hint="eastAsia" w:ascii="宋体" w:hAnsi="宋体"/>
          <w:kern w:val="0"/>
          <w:sz w:val="28"/>
          <w:szCs w:val="28"/>
          <w:lang w:eastAsia="zh-CN"/>
        </w:rPr>
      </w:pPr>
      <w:r>
        <w:rPr>
          <w:rFonts w:hint="eastAsia" w:ascii="宋体" w:hAnsi="宋体"/>
          <w:kern w:val="0"/>
          <w:sz w:val="28"/>
          <w:szCs w:val="28"/>
          <w:lang w:val="en-US" w:eastAsia="zh-CN"/>
        </w:rPr>
        <w:t>2017年，周新杰</w:t>
      </w:r>
      <w:r>
        <w:rPr>
          <w:rFonts w:hint="eastAsia" w:ascii="宋体" w:hAnsi="宋体"/>
          <w:kern w:val="0"/>
          <w:sz w:val="28"/>
          <w:szCs w:val="28"/>
        </w:rPr>
        <w:t>老师</w:t>
      </w:r>
      <w:r>
        <w:rPr>
          <w:rFonts w:hint="eastAsia" w:ascii="宋体" w:hAnsi="宋体"/>
          <w:kern w:val="0"/>
          <w:sz w:val="28"/>
          <w:szCs w:val="28"/>
          <w:lang w:eastAsia="zh-CN"/>
        </w:rPr>
        <w:t>被评为</w:t>
      </w:r>
      <w:r>
        <w:rPr>
          <w:rFonts w:hint="eastAsia" w:ascii="宋体" w:hAnsi="宋体"/>
          <w:kern w:val="0"/>
          <w:sz w:val="28"/>
          <w:szCs w:val="28"/>
          <w:lang w:val="en-US" w:eastAsia="zh-CN"/>
        </w:rPr>
        <w:t>浙江省最美教师；2018年，陈玉英</w:t>
      </w:r>
      <w:r>
        <w:rPr>
          <w:rFonts w:hint="eastAsia" w:ascii="宋体" w:hAnsi="宋体"/>
          <w:kern w:val="0"/>
          <w:sz w:val="28"/>
          <w:szCs w:val="28"/>
        </w:rPr>
        <w:t>老师</w:t>
      </w:r>
      <w:r>
        <w:rPr>
          <w:rFonts w:hint="eastAsia" w:ascii="宋体" w:hAnsi="宋体"/>
          <w:kern w:val="0"/>
          <w:sz w:val="28"/>
          <w:szCs w:val="28"/>
          <w:lang w:eastAsia="zh-CN"/>
        </w:rPr>
        <w:t>被评为</w:t>
      </w:r>
      <w:r>
        <w:rPr>
          <w:rFonts w:hint="eastAsia" w:ascii="宋体" w:hAnsi="宋体"/>
          <w:kern w:val="0"/>
          <w:sz w:val="28"/>
          <w:szCs w:val="28"/>
          <w:lang w:val="en-US" w:eastAsia="zh-CN"/>
        </w:rPr>
        <w:t>浙江省最美教师；2018年，</w:t>
      </w:r>
      <w:r>
        <w:rPr>
          <w:rFonts w:hint="eastAsia" w:ascii="宋体" w:hAnsi="宋体"/>
          <w:kern w:val="0"/>
          <w:sz w:val="28"/>
          <w:szCs w:val="28"/>
        </w:rPr>
        <w:t>杨建芬老师</w:t>
      </w:r>
      <w:r>
        <w:rPr>
          <w:rFonts w:hint="eastAsia" w:ascii="宋体" w:hAnsi="宋体"/>
          <w:kern w:val="0"/>
          <w:sz w:val="28"/>
          <w:szCs w:val="28"/>
          <w:lang w:eastAsia="zh-CN"/>
        </w:rPr>
        <w:t>被命名为</w:t>
      </w:r>
      <w:r>
        <w:rPr>
          <w:rFonts w:hint="eastAsia" w:ascii="宋体" w:hAnsi="宋体"/>
          <w:kern w:val="0"/>
          <w:sz w:val="28"/>
          <w:szCs w:val="28"/>
        </w:rPr>
        <w:t>第十二批浙江省特级教师</w:t>
      </w:r>
      <w:r>
        <w:rPr>
          <w:rFonts w:hint="eastAsia" w:ascii="宋体" w:hAnsi="宋体"/>
          <w:kern w:val="0"/>
          <w:sz w:val="28"/>
          <w:szCs w:val="2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12" w:lineRule="auto"/>
        <w:ind w:firstLine="560" w:firstLineChars="200"/>
        <w:jc w:val="left"/>
        <w:textAlignment w:val="auto"/>
        <w:rPr>
          <w:rFonts w:hint="eastAsia" w:ascii="宋体" w:hAnsi="宋体"/>
          <w:kern w:val="0"/>
          <w:sz w:val="28"/>
          <w:szCs w:val="28"/>
        </w:rPr>
      </w:pPr>
      <w:r>
        <w:rPr>
          <w:rFonts w:hint="eastAsia" w:ascii="宋体" w:hAnsi="宋体" w:eastAsia="宋体" w:cs="Times New Roman"/>
          <w:kern w:val="0"/>
          <w:sz w:val="28"/>
          <w:szCs w:val="28"/>
          <w:lang w:val="en-US" w:eastAsia="zh-CN"/>
        </w:rPr>
        <w:t>2020年，本校顺利通过“十三五”期间“三名工程”四个项目的</w:t>
      </w:r>
      <w:r>
        <w:rPr>
          <w:rFonts w:hint="eastAsia" w:ascii="宋体" w:hAnsi="宋体" w:eastAsia="宋体" w:cs="Times New Roman"/>
          <w:kern w:val="0"/>
          <w:sz w:val="28"/>
          <w:szCs w:val="28"/>
        </w:rPr>
        <w:t>省教育评估院的</w:t>
      </w:r>
      <w:r>
        <w:rPr>
          <w:rFonts w:hint="eastAsia" w:ascii="宋体" w:hAnsi="宋体" w:eastAsia="宋体" w:cs="Times New Roman"/>
          <w:kern w:val="0"/>
          <w:sz w:val="28"/>
          <w:szCs w:val="28"/>
          <w:lang w:eastAsia="zh-CN"/>
        </w:rPr>
        <w:t>终期</w:t>
      </w:r>
      <w:r>
        <w:rPr>
          <w:rFonts w:hint="eastAsia" w:ascii="宋体" w:hAnsi="宋体" w:eastAsia="宋体" w:cs="Times New Roman"/>
          <w:kern w:val="0"/>
          <w:sz w:val="28"/>
          <w:szCs w:val="28"/>
        </w:rPr>
        <w:t>考核与验收</w:t>
      </w:r>
      <w:r>
        <w:rPr>
          <w:rFonts w:hint="eastAsia" w:ascii="宋体" w:hAnsi="宋体" w:eastAsia="宋体" w:cs="Times New Roman"/>
          <w:kern w:val="0"/>
          <w:sz w:val="28"/>
          <w:szCs w:val="28"/>
          <w:lang w:val="en-US" w:eastAsia="zh-CN"/>
        </w:rPr>
        <w:t>。2020年，学校成功入选省高水平学校建设单位，护理、康复技术专业成功入选“A类”省高水平专业建设。</w:t>
      </w:r>
      <w:r>
        <w:rPr>
          <w:rFonts w:hint="eastAsia" w:ascii="宋体" w:hAnsi="宋体" w:eastAsia="宋体" w:cs="Times New Roman"/>
          <w:kern w:val="0"/>
          <w:sz w:val="28"/>
          <w:szCs w:val="28"/>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12" w:lineRule="auto"/>
        <w:ind w:firstLine="560" w:firstLineChars="200"/>
        <w:jc w:val="left"/>
        <w:textAlignment w:val="auto"/>
        <w:rPr>
          <w:rFonts w:hint="eastAsia" w:ascii="宋体" w:hAnsi="宋体" w:eastAsia="宋体" w:cs="Times New Roman"/>
          <w:kern w:val="0"/>
          <w:sz w:val="28"/>
          <w:szCs w:val="28"/>
          <w:lang w:val="en-US" w:eastAsia="zh-CN"/>
        </w:rPr>
      </w:pPr>
      <w:r>
        <w:rPr>
          <w:rFonts w:hint="eastAsia" w:ascii="宋体" w:hAnsi="宋体" w:eastAsia="宋体" w:cs="Times New Roman"/>
          <w:kern w:val="0"/>
          <w:sz w:val="28"/>
          <w:szCs w:val="28"/>
          <w:lang w:val="en-US" w:eastAsia="zh-CN"/>
        </w:rPr>
        <w:t>近年来，学校在党和政府关心下，在全校师生的共同努力下，获得“全国青少年道德培养实验基地”、“健康促进金牌学校”、“浙江省健康服务开放实训中心”、“浙江省德育基地”、“浙江省家政服务人才培养培训学校”、“浙江省绿色学校”、“浙江省卫生先进单位”、“浙江省教科研先进集体” 、“浙江省卫生系统思想政治工作先进集体”、“浙江省乡医培训先进单位”等荣誉称号。</w:t>
      </w:r>
    </w:p>
    <w:p>
      <w:pPr>
        <w:keepNext w:val="0"/>
        <w:keepLines w:val="0"/>
        <w:pageBreakBefore w:val="0"/>
        <w:widowControl/>
        <w:suppressLineNumbers w:val="0"/>
        <w:kinsoku/>
        <w:wordWrap/>
        <w:overflowPunct/>
        <w:topLinePunct w:val="0"/>
        <w:autoSpaceDE/>
        <w:autoSpaceDN/>
        <w:bidi w:val="0"/>
        <w:adjustRightInd w:val="0"/>
        <w:snapToGrid w:val="0"/>
        <w:spacing w:line="312" w:lineRule="auto"/>
        <w:ind w:firstLine="560" w:firstLineChars="200"/>
        <w:jc w:val="left"/>
        <w:textAlignment w:val="auto"/>
        <w:rPr>
          <w:rFonts w:hint="eastAsia" w:ascii="宋体" w:hAnsi="宋体" w:eastAsia="宋体" w:cs="Times New Roman"/>
          <w:kern w:val="0"/>
          <w:sz w:val="28"/>
          <w:szCs w:val="28"/>
          <w:lang w:val="en-US" w:eastAsia="zh-CN"/>
        </w:rPr>
      </w:pPr>
      <w:r>
        <w:rPr>
          <w:rFonts w:hint="eastAsia" w:ascii="宋体" w:hAnsi="宋体" w:eastAsia="宋体" w:cs="Times New Roman"/>
          <w:kern w:val="0"/>
          <w:sz w:val="28"/>
          <w:szCs w:val="28"/>
          <w:lang w:val="en-US" w:eastAsia="zh-CN"/>
        </w:rPr>
        <w:t>2020年，招生1363人，共7个专业，在校生3832人，共81个行政班，设有护理、康复、药剂、食品、财会、文秘、普通融通等8个大类，卫生类专业学生占88.6%（见表1）。毕业生1201人。2019年巩固率为98.6%，2020年为98.4 %</w:t>
      </w:r>
      <w:r>
        <w:rPr>
          <w:rFonts w:hint="eastAsia" w:ascii="宋体" w:hAnsi="宋体" w:cs="Times New Roman"/>
          <w:kern w:val="0"/>
          <w:sz w:val="28"/>
          <w:szCs w:val="28"/>
          <w:lang w:val="en-US" w:eastAsia="zh-CN"/>
        </w:rPr>
        <w:t>。</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楷体" w:hAnsi="楷体" w:eastAsia="楷体" w:cs="Times New Roman"/>
          <w:color w:val="auto"/>
          <w:sz w:val="24"/>
        </w:rPr>
      </w:pPr>
      <w:r>
        <w:rPr>
          <w:rFonts w:hint="eastAsia" w:ascii="楷体" w:hAnsi="楷体" w:eastAsia="楷体" w:cs="Times New Roman"/>
          <w:color w:val="auto"/>
          <w:sz w:val="24"/>
        </w:rPr>
        <w:t>表1：近三年各专业招生数及在校生总数</w:t>
      </w:r>
    </w:p>
    <w:tbl>
      <w:tblPr>
        <w:tblStyle w:val="7"/>
        <w:tblW w:w="880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1134"/>
        <w:gridCol w:w="992"/>
        <w:gridCol w:w="992"/>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71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bookmarkStart w:id="6" w:name="OLE_LINK6"/>
            <w:bookmarkStart w:id="7" w:name="OLE_LINK7" w:colFirst="0" w:colLast="0"/>
            <w:r>
              <w:rPr>
                <w:rFonts w:hint="eastAsia" w:ascii="宋体" w:hAnsi="宋体" w:eastAsia="宋体" w:cs="宋体"/>
                <w:b w:val="0"/>
                <w:bCs w:val="0"/>
                <w:color w:val="auto"/>
                <w:kern w:val="0"/>
                <w:sz w:val="24"/>
                <w:szCs w:val="24"/>
              </w:rPr>
              <w:t>　</w:t>
            </w:r>
            <w:bookmarkEnd w:id="6"/>
            <w:r>
              <w:rPr>
                <w:rFonts w:hint="eastAsia" w:ascii="宋体" w:hAnsi="宋体" w:eastAsia="宋体" w:cs="宋体"/>
                <w:b w:val="0"/>
                <w:bCs w:val="0"/>
                <w:color w:val="auto"/>
                <w:kern w:val="0"/>
                <w:sz w:val="24"/>
                <w:szCs w:val="24"/>
              </w:rPr>
              <w:t>专业名称</w:t>
            </w:r>
          </w:p>
        </w:tc>
        <w:tc>
          <w:tcPr>
            <w:tcW w:w="3118"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招生数</w:t>
            </w:r>
          </w:p>
        </w:tc>
        <w:tc>
          <w:tcPr>
            <w:tcW w:w="2977" w:type="dxa"/>
            <w:gridSpan w:val="3"/>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在校生总数</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2018年</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2019年</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2020年</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2018年</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2019年</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康复治疗技术</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50</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50</w:t>
            </w:r>
          </w:p>
        </w:tc>
        <w:tc>
          <w:tcPr>
            <w:tcW w:w="992" w:type="dxa"/>
            <w:tcBorders>
              <w:tl2br w:val="nil"/>
              <w:tr2bl w:val="nil"/>
            </w:tcBorders>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50</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149</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148</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医学检验技术</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40</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30</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0</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119</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109</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药品食品检验</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40</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38</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40</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117</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115</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五年一贯制中药</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45</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44</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45</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134</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133</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ind w:firstLine="120" w:firstLineChars="5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护理</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802</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786</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874</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2417</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2465</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药剂</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172</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146</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161</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474</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318</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文秘与现代办公</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43</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90</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83</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194</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164</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ind w:firstLine="240" w:firstLineChars="1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会计电算化</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81</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95</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110</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278</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256</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合计</w:t>
            </w:r>
          </w:p>
        </w:tc>
        <w:tc>
          <w:tcPr>
            <w:tcW w:w="1134"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1273</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1279</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1363</w:t>
            </w:r>
          </w:p>
        </w:tc>
        <w:tc>
          <w:tcPr>
            <w:tcW w:w="99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3922</w:t>
            </w:r>
          </w:p>
        </w:tc>
        <w:tc>
          <w:tcPr>
            <w:tcW w:w="99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3708</w:t>
            </w:r>
          </w:p>
        </w:tc>
        <w:tc>
          <w:tcPr>
            <w:tcW w:w="992" w:type="dxa"/>
            <w:tcBorders>
              <w:tl2br w:val="nil"/>
              <w:tr2bl w:val="nil"/>
            </w:tcBorders>
          </w:tcPr>
          <w:p>
            <w:pPr>
              <w:keepNext w:val="0"/>
              <w:keepLines w:val="0"/>
              <w:pageBreakBefore w:val="0"/>
              <w:widowControl/>
              <w:kinsoku/>
              <w:wordWrap/>
              <w:overflowPunct/>
              <w:topLinePunct w:val="0"/>
              <w:autoSpaceDE/>
              <w:autoSpaceDN/>
              <w:bidi w:val="0"/>
              <w:adjustRightInd w:val="0"/>
              <w:snapToGrid w:val="0"/>
              <w:spacing w:line="240" w:lineRule="auto"/>
              <w:ind w:firstLine="120" w:firstLineChars="5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3832</w:t>
            </w:r>
          </w:p>
        </w:tc>
      </w:tr>
    </w:tbl>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（三）教师队伍</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asciiTheme="minorEastAsia" w:hAnsiTheme="minorEastAsia" w:eastAsiaTheme="minorEastAsia"/>
          <w:color w:val="auto"/>
          <w:sz w:val="28"/>
          <w:szCs w:val="28"/>
        </w:rPr>
      </w:pPr>
      <w:bookmarkStart w:id="8" w:name="OLE_LINK29"/>
      <w:bookmarkStart w:id="9" w:name="OLE_LINK30"/>
      <w:bookmarkStart w:id="10" w:name="OLE_LINK31"/>
      <w:r>
        <w:rPr>
          <w:rFonts w:hint="eastAsia" w:asciiTheme="minorEastAsia" w:hAnsiTheme="minorEastAsia" w:eastAsiaTheme="minorEastAsia"/>
          <w:color w:val="auto"/>
          <w:sz w:val="28"/>
          <w:szCs w:val="28"/>
        </w:rPr>
        <w:t>学校核定编制</w:t>
      </w:r>
      <w:r>
        <w:rPr>
          <w:rFonts w:asciiTheme="minorEastAsia" w:hAnsiTheme="minorEastAsia" w:eastAsiaTheme="minorEastAsia"/>
          <w:color w:val="auto"/>
          <w:sz w:val="28"/>
          <w:szCs w:val="28"/>
        </w:rPr>
        <w:t>2</w:t>
      </w:r>
      <w:r>
        <w:rPr>
          <w:rFonts w:hint="eastAsia" w:asciiTheme="minorEastAsia" w:hAnsiTheme="minorEastAsia" w:eastAsiaTheme="minorEastAsia"/>
          <w:color w:val="auto"/>
          <w:sz w:val="28"/>
          <w:szCs w:val="28"/>
          <w:lang w:val="en-US" w:eastAsia="zh-CN"/>
        </w:rPr>
        <w:t>18</w:t>
      </w:r>
      <w:r>
        <w:rPr>
          <w:rFonts w:hint="eastAsia" w:asciiTheme="minorEastAsia" w:hAnsiTheme="minorEastAsia" w:eastAsiaTheme="minorEastAsia"/>
          <w:color w:val="auto"/>
          <w:sz w:val="28"/>
          <w:szCs w:val="28"/>
        </w:rPr>
        <w:t>名，</w:t>
      </w:r>
      <w:r>
        <w:rPr>
          <w:rFonts w:hint="eastAsia" w:cs="Times New Roman" w:asciiTheme="minorEastAsia" w:hAnsiTheme="minorEastAsia" w:eastAsiaTheme="minorEastAsia"/>
          <w:color w:val="auto"/>
          <w:sz w:val="28"/>
          <w:szCs w:val="28"/>
        </w:rPr>
        <w:t>现有在编人员19</w:t>
      </w:r>
      <w:r>
        <w:rPr>
          <w:rFonts w:hint="eastAsia" w:cs="Times New Roman" w:asciiTheme="minorEastAsia" w:hAnsiTheme="minorEastAsia" w:eastAsiaTheme="minorEastAsia"/>
          <w:color w:val="auto"/>
          <w:sz w:val="28"/>
          <w:szCs w:val="28"/>
          <w:lang w:val="en-US" w:eastAsia="zh-CN"/>
        </w:rPr>
        <w:t>6</w:t>
      </w:r>
      <w:r>
        <w:rPr>
          <w:rFonts w:hint="eastAsia" w:cs="Times New Roman" w:asciiTheme="minorEastAsia" w:hAnsiTheme="minorEastAsia" w:eastAsiaTheme="minorEastAsia"/>
          <w:color w:val="auto"/>
          <w:sz w:val="28"/>
          <w:szCs w:val="28"/>
        </w:rPr>
        <w:t>人，编外人员</w:t>
      </w:r>
      <w:r>
        <w:rPr>
          <w:rFonts w:hint="eastAsia" w:cs="Times New Roman" w:asciiTheme="minorEastAsia" w:hAnsiTheme="minorEastAsia" w:eastAsiaTheme="minorEastAsia"/>
          <w:color w:val="auto"/>
          <w:sz w:val="28"/>
          <w:szCs w:val="28"/>
          <w:lang w:val="en-US" w:eastAsia="zh-CN"/>
        </w:rPr>
        <w:t>48</w:t>
      </w:r>
      <w:r>
        <w:rPr>
          <w:rFonts w:hint="eastAsia" w:cs="Times New Roman" w:asciiTheme="minorEastAsia" w:hAnsiTheme="minorEastAsia" w:eastAsiaTheme="minorEastAsia"/>
          <w:color w:val="auto"/>
          <w:sz w:val="28"/>
          <w:szCs w:val="28"/>
        </w:rPr>
        <w:t>人。教师与全日制在校学生的比例为1：1</w:t>
      </w:r>
      <w:r>
        <w:rPr>
          <w:rFonts w:hint="eastAsia" w:cs="Times New Roman" w:asciiTheme="minorEastAsia" w:hAnsiTheme="minorEastAsia" w:eastAsiaTheme="minorEastAsia"/>
          <w:color w:val="auto"/>
          <w:sz w:val="28"/>
          <w:szCs w:val="28"/>
          <w:lang w:val="en-US" w:eastAsia="zh-CN"/>
        </w:rPr>
        <w:t>5</w:t>
      </w:r>
      <w:r>
        <w:rPr>
          <w:rFonts w:hint="eastAsia" w:cs="Times New Roman" w:asciiTheme="minorEastAsia" w:hAnsiTheme="minorEastAsia" w:eastAsiaTheme="minorEastAsia"/>
          <w:color w:val="auto"/>
          <w:sz w:val="28"/>
          <w:szCs w:val="28"/>
        </w:rPr>
        <w:t>.</w:t>
      </w:r>
      <w:r>
        <w:rPr>
          <w:rFonts w:hint="eastAsia" w:cs="Times New Roman" w:asciiTheme="minorEastAsia" w:hAnsiTheme="minorEastAsia" w:eastAsiaTheme="minorEastAsia"/>
          <w:color w:val="auto"/>
          <w:sz w:val="28"/>
          <w:szCs w:val="28"/>
          <w:lang w:val="en-US" w:eastAsia="zh-CN"/>
        </w:rPr>
        <w:t>8(191:3009)</w:t>
      </w:r>
      <w:r>
        <w:rPr>
          <w:rFonts w:hint="eastAsia" w:cs="Times New Roman" w:asciiTheme="minorEastAsia" w:hAnsiTheme="minorEastAsia" w:eastAsiaTheme="minorEastAsia"/>
          <w:color w:val="auto"/>
          <w:sz w:val="28"/>
          <w:szCs w:val="28"/>
        </w:rPr>
        <w:t>。专任教师19</w:t>
      </w:r>
      <w:r>
        <w:rPr>
          <w:rFonts w:hint="eastAsia" w:cs="Times New Roman" w:asciiTheme="minorEastAsia" w:hAnsiTheme="minorEastAsia" w:eastAsiaTheme="minorEastAsia"/>
          <w:color w:val="auto"/>
          <w:sz w:val="28"/>
          <w:szCs w:val="28"/>
          <w:lang w:val="en-US" w:eastAsia="zh-CN"/>
        </w:rPr>
        <w:t>0</w:t>
      </w:r>
      <w:r>
        <w:rPr>
          <w:rFonts w:hint="eastAsia" w:cs="Times New Roman" w:asciiTheme="minorEastAsia" w:hAnsiTheme="minorEastAsia" w:eastAsiaTheme="minorEastAsia"/>
          <w:color w:val="auto"/>
          <w:sz w:val="28"/>
          <w:szCs w:val="28"/>
        </w:rPr>
        <w:t>人，本科以上学历100%，硕士以上学历1</w:t>
      </w:r>
      <w:r>
        <w:rPr>
          <w:rFonts w:hint="eastAsia" w:cs="Times New Roman" w:asciiTheme="minorEastAsia" w:hAnsiTheme="minorEastAsia" w:eastAsiaTheme="minorEastAsia"/>
          <w:color w:val="auto"/>
          <w:sz w:val="28"/>
          <w:szCs w:val="28"/>
          <w:lang w:val="en-US" w:eastAsia="zh-CN"/>
        </w:rPr>
        <w:t>9</w:t>
      </w:r>
      <w:r>
        <w:rPr>
          <w:rFonts w:hint="eastAsia" w:cs="Times New Roman" w:asciiTheme="minorEastAsia" w:hAnsiTheme="minorEastAsia" w:eastAsiaTheme="minorEastAsia"/>
          <w:color w:val="auto"/>
          <w:sz w:val="28"/>
          <w:szCs w:val="28"/>
        </w:rPr>
        <w:t>.</w:t>
      </w:r>
      <w:r>
        <w:rPr>
          <w:rFonts w:hint="eastAsia" w:cs="Times New Roman" w:asciiTheme="minorEastAsia" w:hAnsiTheme="minorEastAsia" w:eastAsiaTheme="minorEastAsia"/>
          <w:color w:val="auto"/>
          <w:sz w:val="28"/>
          <w:szCs w:val="28"/>
          <w:lang w:val="en-US" w:eastAsia="zh-CN"/>
        </w:rPr>
        <w:t>5</w:t>
      </w:r>
      <w:r>
        <w:rPr>
          <w:rFonts w:hint="eastAsia" w:cs="Times New Roman" w:asciiTheme="minorEastAsia" w:hAnsiTheme="minorEastAsia" w:eastAsiaTheme="minorEastAsia"/>
          <w:color w:val="auto"/>
          <w:sz w:val="28"/>
          <w:szCs w:val="28"/>
        </w:rPr>
        <w:t>%；</w:t>
      </w:r>
      <w:bookmarkStart w:id="11" w:name="OLE_LINK8"/>
      <w:r>
        <w:rPr>
          <w:rFonts w:hint="eastAsia" w:cs="Times New Roman" w:asciiTheme="minorEastAsia" w:hAnsiTheme="minorEastAsia" w:eastAsiaTheme="minorEastAsia"/>
          <w:color w:val="auto"/>
          <w:sz w:val="28"/>
          <w:szCs w:val="28"/>
        </w:rPr>
        <w:t>高级职称占</w:t>
      </w:r>
      <w:r>
        <w:rPr>
          <w:rFonts w:hint="eastAsia" w:cs="Times New Roman" w:asciiTheme="minorEastAsia" w:hAnsiTheme="minorEastAsia" w:eastAsiaTheme="minorEastAsia"/>
          <w:color w:val="auto"/>
          <w:sz w:val="28"/>
          <w:szCs w:val="28"/>
          <w:lang w:val="en-US" w:eastAsia="zh-CN"/>
        </w:rPr>
        <w:t>42</w:t>
      </w:r>
      <w:r>
        <w:rPr>
          <w:rFonts w:hint="eastAsia" w:cs="Times New Roman" w:asciiTheme="minorEastAsia" w:hAnsiTheme="minorEastAsia" w:eastAsiaTheme="minorEastAsia"/>
          <w:color w:val="auto"/>
          <w:sz w:val="28"/>
          <w:szCs w:val="28"/>
        </w:rPr>
        <w:t>.</w:t>
      </w:r>
      <w:r>
        <w:rPr>
          <w:rFonts w:hint="eastAsia" w:cs="Times New Roman" w:asciiTheme="minorEastAsia" w:hAnsiTheme="minorEastAsia" w:eastAsiaTheme="minorEastAsia"/>
          <w:color w:val="auto"/>
          <w:sz w:val="28"/>
          <w:szCs w:val="28"/>
          <w:lang w:val="en-US" w:eastAsia="zh-CN"/>
        </w:rPr>
        <w:t>1</w:t>
      </w:r>
      <w:r>
        <w:rPr>
          <w:rFonts w:hint="eastAsia" w:cs="Times New Roman" w:asciiTheme="minorEastAsia" w:hAnsiTheme="minorEastAsia" w:eastAsiaTheme="minorEastAsia"/>
          <w:color w:val="auto"/>
          <w:sz w:val="28"/>
          <w:szCs w:val="28"/>
        </w:rPr>
        <w:t>%</w:t>
      </w:r>
      <w:bookmarkEnd w:id="11"/>
      <w:r>
        <w:rPr>
          <w:rFonts w:hint="eastAsia" w:cs="Times New Roman" w:asciiTheme="minorEastAsia" w:hAnsiTheme="minorEastAsia" w:eastAsiaTheme="minorEastAsia"/>
          <w:color w:val="auto"/>
          <w:sz w:val="28"/>
          <w:szCs w:val="28"/>
        </w:rPr>
        <w:t>。双师型教师11</w:t>
      </w:r>
      <w:r>
        <w:rPr>
          <w:rFonts w:hint="eastAsia" w:cs="Times New Roman" w:asciiTheme="minorEastAsia" w:hAnsiTheme="minorEastAsia" w:eastAsiaTheme="minorEastAsia"/>
          <w:color w:val="auto"/>
          <w:sz w:val="28"/>
          <w:szCs w:val="28"/>
          <w:lang w:val="en-US" w:eastAsia="zh-CN"/>
        </w:rPr>
        <w:t>1</w:t>
      </w:r>
      <w:r>
        <w:rPr>
          <w:rFonts w:hint="eastAsia" w:cs="Times New Roman" w:asciiTheme="minorEastAsia" w:hAnsiTheme="minorEastAsia" w:eastAsiaTheme="minorEastAsia"/>
          <w:color w:val="auto"/>
          <w:sz w:val="28"/>
          <w:szCs w:val="28"/>
        </w:rPr>
        <w:t>人，占专业课和实习指导教师比例为9</w:t>
      </w:r>
      <w:r>
        <w:rPr>
          <w:rFonts w:hint="eastAsia" w:cs="Times New Roman" w:asciiTheme="minorEastAsia" w:hAnsiTheme="minorEastAsia" w:eastAsiaTheme="minorEastAsia"/>
          <w:color w:val="auto"/>
          <w:sz w:val="28"/>
          <w:szCs w:val="28"/>
          <w:lang w:val="en-US" w:eastAsia="zh-CN"/>
        </w:rPr>
        <w:t>1</w:t>
      </w:r>
      <w:r>
        <w:rPr>
          <w:rFonts w:hint="eastAsia" w:cs="Times New Roman" w:asciiTheme="minorEastAsia" w:hAnsiTheme="minorEastAsia" w:eastAsiaTheme="minorEastAsia"/>
          <w:color w:val="auto"/>
          <w:sz w:val="28"/>
          <w:szCs w:val="28"/>
        </w:rPr>
        <w:t>.</w:t>
      </w:r>
      <w:r>
        <w:rPr>
          <w:rFonts w:hint="eastAsia" w:cs="Times New Roman" w:asciiTheme="minorEastAsia" w:hAnsiTheme="minorEastAsia" w:eastAsiaTheme="minorEastAsia"/>
          <w:color w:val="auto"/>
          <w:sz w:val="28"/>
          <w:szCs w:val="28"/>
          <w:lang w:val="en-US" w:eastAsia="zh-CN"/>
        </w:rPr>
        <w:t>7</w:t>
      </w:r>
      <w:r>
        <w:rPr>
          <w:rFonts w:hint="eastAsia" w:cs="Times New Roman" w:asciiTheme="minorEastAsia" w:hAnsiTheme="minorEastAsia" w:eastAsiaTheme="minorEastAsia"/>
          <w:color w:val="auto"/>
          <w:sz w:val="28"/>
          <w:szCs w:val="28"/>
        </w:rPr>
        <w:t>%，双师型教师中技师以上职称</w:t>
      </w:r>
      <w:r>
        <w:rPr>
          <w:rFonts w:hint="eastAsia" w:cs="Times New Roman" w:asciiTheme="minorEastAsia" w:hAnsiTheme="minorEastAsia" w:eastAsiaTheme="minorEastAsia"/>
          <w:color w:val="auto"/>
          <w:sz w:val="28"/>
          <w:szCs w:val="28"/>
          <w:lang w:val="en-US" w:eastAsia="zh-CN"/>
        </w:rPr>
        <w:t>100</w:t>
      </w:r>
      <w:r>
        <w:rPr>
          <w:rFonts w:hint="eastAsia" w:cs="Times New Roman" w:asciiTheme="minorEastAsia" w:hAnsiTheme="minorEastAsia" w:eastAsiaTheme="minorEastAsia"/>
          <w:color w:val="auto"/>
          <w:sz w:val="28"/>
          <w:szCs w:val="28"/>
        </w:rPr>
        <w:t>人。兼职教师</w:t>
      </w:r>
      <w:r>
        <w:rPr>
          <w:rFonts w:hint="eastAsia" w:cs="Times New Roman" w:asciiTheme="minorEastAsia" w:hAnsiTheme="minorEastAsia" w:eastAsiaTheme="minorEastAsia"/>
          <w:color w:val="auto"/>
          <w:sz w:val="28"/>
          <w:szCs w:val="28"/>
          <w:lang w:val="en-US" w:eastAsia="zh-CN"/>
        </w:rPr>
        <w:t>45</w:t>
      </w:r>
      <w:r>
        <w:rPr>
          <w:rFonts w:hint="eastAsia" w:cs="Times New Roman" w:asciiTheme="minorEastAsia" w:hAnsiTheme="minorEastAsia" w:eastAsiaTheme="minorEastAsia"/>
          <w:color w:val="auto"/>
          <w:sz w:val="28"/>
          <w:szCs w:val="28"/>
        </w:rPr>
        <w:t>人，授课课时数占专业课时总数的比例</w:t>
      </w:r>
      <w:r>
        <w:rPr>
          <w:rFonts w:hint="eastAsia" w:cs="Times New Roman" w:asciiTheme="minorEastAsia" w:hAnsiTheme="minorEastAsia" w:eastAsiaTheme="minorEastAsia"/>
          <w:color w:val="auto"/>
          <w:sz w:val="28"/>
          <w:szCs w:val="28"/>
          <w:lang w:eastAsia="zh-CN"/>
        </w:rPr>
        <w:t>为</w:t>
      </w:r>
      <w:r>
        <w:rPr>
          <w:rFonts w:hint="eastAsia" w:cs="Times New Roman" w:asciiTheme="minorEastAsia" w:hAnsiTheme="minorEastAsia" w:eastAsiaTheme="minorEastAsia"/>
          <w:color w:val="auto"/>
          <w:sz w:val="28"/>
          <w:szCs w:val="28"/>
          <w:lang w:val="en-US" w:eastAsia="zh-CN"/>
        </w:rPr>
        <w:t>5.8%</w:t>
      </w:r>
      <w:r>
        <w:rPr>
          <w:rFonts w:hint="eastAsia" w:cs="Times New Roman" w:asciiTheme="minorEastAsia" w:hAnsiTheme="minorEastAsia" w:eastAsiaTheme="minorEastAsia"/>
          <w:color w:val="auto"/>
          <w:sz w:val="28"/>
          <w:szCs w:val="28"/>
        </w:rPr>
        <w:t>。</w:t>
      </w:r>
      <w:bookmarkEnd w:id="8"/>
      <w:r>
        <w:rPr>
          <w:rFonts w:hint="eastAsia" w:cs="Times New Roman" w:asciiTheme="minorEastAsia" w:hAnsiTheme="minorEastAsia" w:eastAsiaTheme="minorEastAsia"/>
          <w:color w:val="auto"/>
          <w:sz w:val="28"/>
          <w:szCs w:val="28"/>
        </w:rPr>
        <w:t>拥有浙江省名师建设对象2人，其它种类学科带头人等荣誉称号45人（见表2）</w:t>
      </w:r>
      <w:r>
        <w:rPr>
          <w:rFonts w:hint="eastAsia" w:asciiTheme="minorEastAsia" w:hAnsiTheme="minorEastAsia" w:eastAsiaTheme="minorEastAsia"/>
          <w:color w:val="auto"/>
          <w:sz w:val="28"/>
          <w:szCs w:val="28"/>
        </w:rPr>
        <w:t>。本年度，师资梯队更加优化，骨干队伍成长迅速。</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楷体" w:hAnsi="楷体" w:eastAsia="楷体" w:cs="Times New Roman"/>
          <w:color w:val="auto"/>
          <w:sz w:val="24"/>
        </w:rPr>
      </w:pPr>
      <w:r>
        <w:rPr>
          <w:rFonts w:hint="eastAsia" w:ascii="楷体" w:hAnsi="楷体" w:eastAsia="楷体" w:cs="Times New Roman"/>
          <w:color w:val="auto"/>
          <w:sz w:val="24"/>
        </w:rPr>
        <w:t>表2：</w:t>
      </w:r>
      <w:bookmarkEnd w:id="9"/>
      <w:bookmarkEnd w:id="10"/>
      <w:r>
        <w:rPr>
          <w:rFonts w:hint="eastAsia" w:ascii="楷体" w:hAnsi="楷体" w:eastAsia="楷体" w:cs="Times New Roman"/>
          <w:color w:val="auto"/>
          <w:sz w:val="24"/>
        </w:rPr>
        <w:t>近三年教师情况</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440"/>
        <w:gridCol w:w="2028"/>
        <w:gridCol w:w="1752"/>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年份</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在编教师数</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专任教师数</w:t>
            </w:r>
          </w:p>
        </w:tc>
        <w:tc>
          <w:tcPr>
            <w:tcW w:w="20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高级职称教师数</w:t>
            </w:r>
          </w:p>
        </w:tc>
        <w:tc>
          <w:tcPr>
            <w:tcW w:w="17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双师型教师数</w:t>
            </w:r>
          </w:p>
        </w:tc>
        <w:tc>
          <w:tcPr>
            <w:tcW w:w="15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兼职教师数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2018</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191</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186</w:t>
            </w:r>
          </w:p>
        </w:tc>
        <w:tc>
          <w:tcPr>
            <w:tcW w:w="20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17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w:t>
            </w:r>
          </w:p>
        </w:tc>
        <w:tc>
          <w:tcPr>
            <w:tcW w:w="15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2019</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195</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190</w:t>
            </w:r>
          </w:p>
        </w:tc>
        <w:tc>
          <w:tcPr>
            <w:tcW w:w="20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77</w:t>
            </w:r>
          </w:p>
        </w:tc>
        <w:tc>
          <w:tcPr>
            <w:tcW w:w="17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110</w:t>
            </w:r>
          </w:p>
        </w:tc>
        <w:tc>
          <w:tcPr>
            <w:tcW w:w="15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2020</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195</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191</w:t>
            </w:r>
          </w:p>
        </w:tc>
        <w:tc>
          <w:tcPr>
            <w:tcW w:w="202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w:t>
            </w:r>
          </w:p>
        </w:tc>
        <w:tc>
          <w:tcPr>
            <w:tcW w:w="1752"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111</w:t>
            </w:r>
          </w:p>
        </w:tc>
        <w:tc>
          <w:tcPr>
            <w:tcW w:w="155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p>
    <w:tbl>
      <w:tblPr>
        <w:tblStyle w:val="8"/>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78"/>
        <w:gridCol w:w="992"/>
        <w:gridCol w:w="1276"/>
        <w:gridCol w:w="1417"/>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浙江省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名师</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嘉兴市名师</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嘉兴市学科带头人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嘉兴市后备带头人</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桐乡市学科带头人、骨干教师、卫生骨干、医坛新秀等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2018</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2019</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2020</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w:t>
            </w:r>
          </w:p>
        </w:tc>
      </w:tr>
    </w:tbl>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（四）设施设备</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学校实训场所面积</w:t>
      </w:r>
      <w:r>
        <w:rPr>
          <w:rFonts w:hint="eastAsia" w:ascii="宋体" w:hAnsi="宋体" w:cs="宋体"/>
          <w:color w:val="auto"/>
          <w:sz w:val="28"/>
          <w:szCs w:val="28"/>
          <w:lang w:val="en-US" w:eastAsia="zh-CN"/>
        </w:rPr>
        <w:t>14600</w:t>
      </w:r>
      <w:r>
        <w:rPr>
          <w:rFonts w:hint="eastAsia" w:ascii="宋体" w:hAnsi="宋体" w:eastAsia="宋体" w:cs="宋体"/>
          <w:color w:val="auto"/>
          <w:sz w:val="28"/>
          <w:szCs w:val="28"/>
        </w:rPr>
        <w:t>平方米</w:t>
      </w:r>
      <w:r>
        <w:rPr>
          <w:rFonts w:hint="eastAsia" w:ascii="宋体" w:hAnsi="宋体" w:cs="宋体"/>
          <w:color w:val="auto"/>
          <w:sz w:val="28"/>
          <w:szCs w:val="28"/>
          <w:lang w:eastAsia="zh-CN"/>
        </w:rPr>
        <w:t>。</w:t>
      </w:r>
      <w:r>
        <w:rPr>
          <w:rFonts w:hint="eastAsia" w:ascii="宋体" w:hAnsi="宋体" w:eastAsia="宋体" w:cs="宋体"/>
          <w:color w:val="auto"/>
          <w:sz w:val="28"/>
          <w:szCs w:val="28"/>
        </w:rPr>
        <w:t>教学仪器包括护理药学等实验室仪器设备512.93万元，康复实训仪器设备896.85万元，教室仪器设备414.38万元，音体仪器设备190.5万元，共计2014.66万元。按在校学生3</w:t>
      </w:r>
      <w:r>
        <w:rPr>
          <w:rFonts w:hint="eastAsia" w:ascii="宋体" w:hAnsi="宋体" w:eastAsia="宋体" w:cs="宋体"/>
          <w:color w:val="auto"/>
          <w:sz w:val="28"/>
          <w:szCs w:val="28"/>
          <w:lang w:val="en-US" w:eastAsia="zh-CN"/>
        </w:rPr>
        <w:t>009</w:t>
      </w:r>
      <w:r>
        <w:rPr>
          <w:rFonts w:hint="eastAsia" w:ascii="宋体" w:hAnsi="宋体" w:eastAsia="宋体" w:cs="宋体"/>
          <w:color w:val="auto"/>
          <w:sz w:val="28"/>
          <w:szCs w:val="28"/>
        </w:rPr>
        <w:t>人计算，生均教学仪器设备值为</w:t>
      </w:r>
      <w:r>
        <w:rPr>
          <w:rFonts w:hint="eastAsia" w:ascii="宋体" w:hAnsi="宋体" w:eastAsia="宋体" w:cs="宋体"/>
          <w:color w:val="auto"/>
          <w:sz w:val="28"/>
          <w:szCs w:val="28"/>
          <w:lang w:val="en-US" w:eastAsia="zh-CN"/>
        </w:rPr>
        <w:t>6695</w:t>
      </w:r>
      <w:r>
        <w:rPr>
          <w:rFonts w:hint="eastAsia" w:ascii="宋体" w:hAnsi="宋体" w:eastAsia="宋体" w:cs="宋体"/>
          <w:color w:val="auto"/>
          <w:sz w:val="28"/>
          <w:szCs w:val="28"/>
        </w:rPr>
        <w:t>元。较2019年相比，</w:t>
      </w:r>
      <w:r>
        <w:rPr>
          <w:rFonts w:hint="eastAsia" w:ascii="宋体" w:hAnsi="宋体" w:eastAsia="宋体" w:cs="宋体"/>
          <w:color w:val="auto"/>
          <w:sz w:val="28"/>
          <w:szCs w:val="28"/>
          <w:lang w:eastAsia="zh-CN"/>
        </w:rPr>
        <w:t>因部分老旧设备处置，</w:t>
      </w:r>
      <w:r>
        <w:rPr>
          <w:rFonts w:hint="eastAsia" w:ascii="宋体" w:hAnsi="宋体" w:eastAsia="宋体" w:cs="宋体"/>
          <w:color w:val="auto"/>
          <w:sz w:val="28"/>
          <w:szCs w:val="28"/>
        </w:rPr>
        <w:t>教学仪器设备增加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22.01</w:t>
      </w:r>
      <w:r>
        <w:rPr>
          <w:rFonts w:hint="eastAsia" w:ascii="宋体" w:hAnsi="宋体" w:eastAsia="宋体" w:cs="宋体"/>
          <w:color w:val="auto"/>
          <w:sz w:val="28"/>
          <w:szCs w:val="28"/>
        </w:rPr>
        <w:t>万元，生均仪器设备值增长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7.76</w:t>
      </w:r>
      <w:r>
        <w:rPr>
          <w:rFonts w:hint="eastAsia" w:ascii="宋体" w:hAnsi="宋体" w:eastAsia="宋体" w:cs="宋体"/>
          <w:color w:val="auto"/>
          <w:sz w:val="28"/>
          <w:szCs w:val="28"/>
        </w:rPr>
        <w:t>%。我校20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年实训总工位数</w:t>
      </w:r>
      <w:r>
        <w:rPr>
          <w:rFonts w:hint="eastAsia" w:ascii="宋体" w:hAnsi="宋体" w:eastAsia="宋体" w:cs="宋体"/>
          <w:color w:val="auto"/>
          <w:sz w:val="28"/>
          <w:szCs w:val="28"/>
          <w:lang w:val="en-US" w:eastAsia="zh-CN"/>
        </w:rPr>
        <w:t>1080</w:t>
      </w:r>
      <w:r>
        <w:rPr>
          <w:rFonts w:hint="eastAsia" w:ascii="宋体" w:hAnsi="宋体" w:eastAsia="宋体" w:cs="宋体"/>
          <w:color w:val="auto"/>
          <w:sz w:val="28"/>
          <w:szCs w:val="28"/>
        </w:rPr>
        <w:t>个，实习工位数</w:t>
      </w:r>
      <w:r>
        <w:rPr>
          <w:rFonts w:hint="eastAsia" w:ascii="宋体" w:hAnsi="宋体" w:eastAsia="宋体" w:cs="宋体"/>
          <w:color w:val="auto"/>
          <w:sz w:val="28"/>
          <w:szCs w:val="28"/>
          <w:lang w:val="en-US" w:eastAsia="zh-CN"/>
        </w:rPr>
        <w:t>910</w:t>
      </w:r>
      <w:r>
        <w:rPr>
          <w:rFonts w:hint="eastAsia" w:ascii="宋体" w:hAnsi="宋体" w:eastAsia="宋体" w:cs="宋体"/>
          <w:color w:val="auto"/>
          <w:sz w:val="28"/>
          <w:szCs w:val="28"/>
        </w:rPr>
        <w:t>，共计1</w:t>
      </w:r>
      <w:r>
        <w:rPr>
          <w:rFonts w:hint="eastAsia" w:ascii="宋体" w:hAnsi="宋体" w:eastAsia="宋体" w:cs="宋体"/>
          <w:color w:val="auto"/>
          <w:sz w:val="28"/>
          <w:szCs w:val="28"/>
          <w:lang w:val="en-US" w:eastAsia="zh-CN"/>
        </w:rPr>
        <w:t>990</w:t>
      </w:r>
      <w:r>
        <w:rPr>
          <w:rFonts w:hint="eastAsia" w:ascii="宋体" w:hAnsi="宋体" w:eastAsia="宋体" w:cs="宋体"/>
          <w:color w:val="auto"/>
          <w:sz w:val="28"/>
          <w:szCs w:val="28"/>
        </w:rPr>
        <w:t>个（见表3）。20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年度图书馆藏有纸质图书12万册，20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年度截止到9月底在校生数约3</w:t>
      </w:r>
      <w:r>
        <w:rPr>
          <w:rFonts w:hint="eastAsia" w:ascii="宋体" w:hAnsi="宋体" w:eastAsia="宋体" w:cs="宋体"/>
          <w:color w:val="auto"/>
          <w:sz w:val="28"/>
          <w:szCs w:val="28"/>
          <w:lang w:val="en-US" w:eastAsia="zh-CN"/>
        </w:rPr>
        <w:t>009</w:t>
      </w:r>
      <w:r>
        <w:rPr>
          <w:rFonts w:hint="eastAsia" w:ascii="宋体" w:hAnsi="宋体" w:eastAsia="宋体" w:cs="宋体"/>
          <w:color w:val="auto"/>
          <w:sz w:val="28"/>
          <w:szCs w:val="28"/>
        </w:rPr>
        <w:t>人，生均纸质图书</w:t>
      </w:r>
      <w:r>
        <w:rPr>
          <w:rFonts w:hint="eastAsia" w:ascii="宋体" w:hAnsi="宋体" w:eastAsia="宋体" w:cs="宋体"/>
          <w:color w:val="auto"/>
          <w:sz w:val="28"/>
          <w:szCs w:val="28"/>
          <w:lang w:val="en-US" w:eastAsia="zh-CN"/>
        </w:rPr>
        <w:t>39</w:t>
      </w:r>
      <w:r>
        <w:rPr>
          <w:rFonts w:hint="eastAsia" w:ascii="宋体" w:hAnsi="宋体" w:eastAsia="宋体" w:cs="宋体"/>
          <w:color w:val="auto"/>
          <w:sz w:val="28"/>
          <w:szCs w:val="28"/>
        </w:rPr>
        <w:t>.9本，生均较20</w:t>
      </w: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年增加</w:t>
      </w:r>
      <w:r>
        <w:rPr>
          <w:rFonts w:hint="eastAsia" w:ascii="宋体" w:hAnsi="宋体" w:eastAsia="宋体" w:cs="宋体"/>
          <w:color w:val="auto"/>
          <w:sz w:val="28"/>
          <w:szCs w:val="28"/>
          <w:lang w:val="en-US" w:eastAsia="zh-CN"/>
        </w:rPr>
        <w:t>0.7</w:t>
      </w:r>
      <w:r>
        <w:rPr>
          <w:rFonts w:hint="eastAsia" w:ascii="宋体" w:hAnsi="宋体" w:eastAsia="宋体" w:cs="宋体"/>
          <w:color w:val="auto"/>
          <w:sz w:val="28"/>
          <w:szCs w:val="28"/>
        </w:rPr>
        <w:t>本（见表3）。另建有学校超星网络图书馆，拥有电子图书 6</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万册，纸质和电子图书逐年有计划更新。</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楷体" w:hAnsi="楷体" w:eastAsia="楷体" w:cs="Times New Roman"/>
          <w:color w:val="auto"/>
          <w:sz w:val="24"/>
        </w:rPr>
      </w:pPr>
      <w:r>
        <w:rPr>
          <w:rFonts w:hint="eastAsia" w:ascii="楷体" w:hAnsi="楷体" w:eastAsia="楷体" w:cs="Times New Roman"/>
          <w:color w:val="auto"/>
          <w:sz w:val="24"/>
        </w:rPr>
        <w:t>表3：近三年主要设施设备情况</w:t>
      </w:r>
    </w:p>
    <w:tbl>
      <w:tblPr>
        <w:tblStyle w:val="7"/>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113"/>
        <w:gridCol w:w="189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2018年</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2019年</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教学仪器设备总值（万元）</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1679.5</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2036.67</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生均教学仪器设备值（元）</w:t>
            </w:r>
            <w:r>
              <w:rPr>
                <w:rFonts w:hint="eastAsia" w:ascii="宋体" w:hAnsi="宋体" w:eastAsia="宋体" w:cs="宋体"/>
                <w:color w:val="auto"/>
                <w:sz w:val="24"/>
                <w:szCs w:val="24"/>
                <w:lang w:eastAsia="zh-CN"/>
              </w:rPr>
              <w:t>（按在校生数计）</w:t>
            </w:r>
          </w:p>
        </w:tc>
        <w:tc>
          <w:tcPr>
            <w:tcW w:w="1113" w:type="dxa"/>
            <w:tcBorders>
              <w:top w:val="single" w:color="auto" w:sz="4" w:space="0"/>
              <w:left w:val="single" w:color="auto" w:sz="4" w:space="0"/>
              <w:bottom w:val="single" w:color="auto" w:sz="4" w:space="0"/>
              <w:right w:val="single" w:color="auto" w:sz="4" w:space="0"/>
            </w:tcBorders>
            <w:vAlign w:val="center"/>
          </w:tcPr>
          <w:p>
            <w:pPr>
              <w:pStyle w:val="32"/>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5968.4</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7258.3</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实训工位数</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812</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812</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实习工位数</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864</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864</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总工位数</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1676</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1676</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在校生总人数</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3922</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3708</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在校生人数</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2814</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2806</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生均工位数</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0.60</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0.6</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纸质图书总量（万册）</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10.5</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11</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生均纸质图书（本）</w:t>
            </w:r>
          </w:p>
        </w:tc>
        <w:tc>
          <w:tcPr>
            <w:tcW w:w="11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37.3</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39.2</w:t>
            </w:r>
          </w:p>
        </w:tc>
        <w:tc>
          <w:tcPr>
            <w:tcW w:w="1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39.9</w:t>
            </w:r>
          </w:p>
        </w:tc>
      </w:tr>
    </w:tbl>
    <w:p>
      <w:pPr>
        <w:adjustRightInd w:val="0"/>
        <w:snapToGrid w:val="0"/>
        <w:spacing w:line="500" w:lineRule="exact"/>
        <w:ind w:firstLine="560" w:firstLineChars="200"/>
        <w:rPr>
          <w:rFonts w:asciiTheme="minorEastAsia" w:hAnsiTheme="minorEastAsia" w:eastAsiaTheme="minorEastAsia"/>
          <w:sz w:val="28"/>
          <w:szCs w:val="28"/>
        </w:rPr>
      </w:pPr>
    </w:p>
    <w:p>
      <w:pPr>
        <w:adjustRightInd w:val="0"/>
        <w:snapToGrid w:val="0"/>
        <w:spacing w:line="312"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二、学生发展</w:t>
      </w:r>
    </w:p>
    <w:p>
      <w:pPr>
        <w:adjustRightInd w:val="0"/>
        <w:snapToGrid w:val="0"/>
        <w:spacing w:line="312"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（一）学生素质</w:t>
      </w:r>
    </w:p>
    <w:p>
      <w:pPr>
        <w:adjustRightInd w:val="0"/>
        <w:snapToGrid w:val="0"/>
        <w:spacing w:line="312" w:lineRule="auto"/>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立德树人。学校结合实际，创新德育机制，提出“三自一导”的德育模式，搭建“四个平台”：一个教师引导平台和三个学生锻炼平台。一个引导平台：“两校一站”即党校、团校和心里辅导站，帮助学生树立正确的人生观、价值观；三个锻炼平台：自我管理、服务和教育平台，通过德育实践周、“义工银行”、道德讲堂、社团建设、“文明风采”竞赛等活动载体和形式，培养学生的自信、自主、自强、自律、责任、创新精神，促进其全面发展。</w:t>
      </w:r>
    </w:p>
    <w:p>
      <w:pPr>
        <w:adjustRightInd w:val="0"/>
        <w:snapToGrid w:val="0"/>
        <w:spacing w:line="312" w:lineRule="auto"/>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2.文化育人。</w:t>
      </w:r>
      <w:bookmarkStart w:id="12" w:name="OLE_LINK11"/>
      <w:r>
        <w:rPr>
          <w:rFonts w:hint="eastAsia" w:cs="Times New Roman" w:asciiTheme="minorEastAsia" w:hAnsiTheme="minorEastAsia" w:eastAsiaTheme="minorEastAsia"/>
          <w:sz w:val="28"/>
          <w:szCs w:val="28"/>
        </w:rPr>
        <w:t>20</w:t>
      </w:r>
      <w:r>
        <w:rPr>
          <w:rFonts w:hint="eastAsia" w:cs="Times New Roman" w:asciiTheme="minorEastAsia" w:hAnsiTheme="minorEastAsia" w:eastAsiaTheme="minorEastAsia"/>
          <w:sz w:val="28"/>
          <w:szCs w:val="28"/>
          <w:lang w:val="en-US" w:eastAsia="zh-CN"/>
        </w:rPr>
        <w:t>20</w:t>
      </w:r>
      <w:r>
        <w:rPr>
          <w:rFonts w:hint="eastAsia" w:cs="Times New Roman" w:asciiTheme="minorEastAsia" w:hAnsiTheme="minorEastAsia" w:eastAsiaTheme="minorEastAsia"/>
          <w:sz w:val="28"/>
          <w:szCs w:val="28"/>
        </w:rPr>
        <w:t>年11月底在校生</w:t>
      </w:r>
      <w:r>
        <w:rPr>
          <w:rFonts w:hint="eastAsia" w:cs="Times New Roman" w:asciiTheme="minorEastAsia" w:hAnsiTheme="minorEastAsia" w:eastAsiaTheme="minorEastAsia"/>
          <w:sz w:val="28"/>
          <w:szCs w:val="28"/>
          <w:lang w:val="en-US" w:eastAsia="zh-CN"/>
        </w:rPr>
        <w:t>3009</w:t>
      </w:r>
      <w:r>
        <w:rPr>
          <w:rFonts w:hint="eastAsia" w:cs="Times New Roman" w:asciiTheme="minorEastAsia" w:hAnsiTheme="minorEastAsia" w:eastAsiaTheme="minorEastAsia"/>
          <w:sz w:val="28"/>
          <w:szCs w:val="28"/>
        </w:rPr>
        <w:t>人，文化课补考后全部合格，文化课合格率为100%；20</w:t>
      </w:r>
      <w:r>
        <w:rPr>
          <w:rFonts w:hint="eastAsia" w:cs="Times New Roman" w:asciiTheme="minorEastAsia" w:hAnsiTheme="minorEastAsia" w:eastAsiaTheme="minorEastAsia"/>
          <w:sz w:val="28"/>
          <w:szCs w:val="28"/>
          <w:lang w:val="en-US" w:eastAsia="zh-CN"/>
        </w:rPr>
        <w:t>20</w:t>
      </w:r>
      <w:r>
        <w:rPr>
          <w:rFonts w:hint="eastAsia" w:cs="Times New Roman" w:asciiTheme="minorEastAsia" w:hAnsiTheme="minorEastAsia" w:eastAsiaTheme="minorEastAsia"/>
          <w:sz w:val="28"/>
          <w:szCs w:val="28"/>
        </w:rPr>
        <w:t>年度体质测评合格率为98.</w:t>
      </w:r>
      <w:r>
        <w:rPr>
          <w:rFonts w:hint="eastAsia" w:cs="Times New Roman" w:asciiTheme="minorEastAsia" w:hAnsiTheme="minorEastAsia" w:eastAsiaTheme="minorEastAsia"/>
          <w:sz w:val="28"/>
          <w:szCs w:val="28"/>
          <w:lang w:val="en-US" w:eastAsia="zh-CN"/>
        </w:rPr>
        <w:t>6</w:t>
      </w:r>
      <w:r>
        <w:rPr>
          <w:rFonts w:hint="eastAsia" w:cs="Times New Roman" w:asciiTheme="minorEastAsia" w:hAnsiTheme="minorEastAsia" w:eastAsiaTheme="minorEastAsia"/>
          <w:sz w:val="28"/>
          <w:szCs w:val="28"/>
        </w:rPr>
        <w:t>%，较20</w:t>
      </w:r>
      <w:r>
        <w:rPr>
          <w:rFonts w:hint="eastAsia" w:cs="Times New Roman" w:asciiTheme="minorEastAsia" w:hAnsiTheme="minorEastAsia" w:eastAsiaTheme="minorEastAsia"/>
          <w:sz w:val="28"/>
          <w:szCs w:val="28"/>
          <w:lang w:val="en-US" w:eastAsia="zh-CN"/>
        </w:rPr>
        <w:t>19</w:t>
      </w:r>
      <w:r>
        <w:rPr>
          <w:rFonts w:hint="eastAsia" w:cs="Times New Roman" w:asciiTheme="minorEastAsia" w:hAnsiTheme="minorEastAsia" w:eastAsiaTheme="minorEastAsia"/>
          <w:sz w:val="28"/>
          <w:szCs w:val="28"/>
        </w:rPr>
        <w:t>年有提高。20</w:t>
      </w:r>
      <w:r>
        <w:rPr>
          <w:rFonts w:hint="eastAsia" w:cs="Times New Roman" w:asciiTheme="minorEastAsia" w:hAnsiTheme="minorEastAsia" w:eastAsiaTheme="minorEastAsia"/>
          <w:sz w:val="28"/>
          <w:szCs w:val="28"/>
          <w:lang w:val="en-US" w:eastAsia="zh-CN"/>
        </w:rPr>
        <w:t>20</w:t>
      </w:r>
      <w:r>
        <w:rPr>
          <w:rFonts w:hint="eastAsia" w:cs="Times New Roman" w:asciiTheme="minorEastAsia" w:hAnsiTheme="minorEastAsia" w:eastAsiaTheme="minorEastAsia"/>
          <w:sz w:val="28"/>
          <w:szCs w:val="28"/>
        </w:rPr>
        <w:t>年学生毕业率为100%（见表4）。</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楷体" w:hAnsi="楷体" w:eastAsia="楷体" w:cs="Times New Roman"/>
          <w:color w:val="auto"/>
          <w:sz w:val="24"/>
        </w:rPr>
      </w:pPr>
      <w:r>
        <w:rPr>
          <w:rFonts w:hint="eastAsia" w:ascii="楷体" w:hAnsi="楷体" w:eastAsia="楷体" w:cs="Times New Roman"/>
          <w:color w:val="auto"/>
          <w:sz w:val="24"/>
        </w:rPr>
        <w:t>表4：近三年学生素质主要指标</w:t>
      </w:r>
    </w:p>
    <w:tbl>
      <w:tblPr>
        <w:tblStyle w:val="7"/>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824"/>
        <w:gridCol w:w="1990"/>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24"/>
                <w:szCs w:val="24"/>
              </w:rPr>
            </w:pPr>
          </w:p>
        </w:tc>
        <w:tc>
          <w:tcPr>
            <w:tcW w:w="1824"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2018年</w:t>
            </w:r>
          </w:p>
        </w:tc>
        <w:tc>
          <w:tcPr>
            <w:tcW w:w="199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2019年</w:t>
            </w:r>
          </w:p>
        </w:tc>
        <w:tc>
          <w:tcPr>
            <w:tcW w:w="2378"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文化课合格率</w:t>
            </w:r>
          </w:p>
        </w:tc>
        <w:tc>
          <w:tcPr>
            <w:tcW w:w="1824"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199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2378"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体质测评合格率</w:t>
            </w:r>
          </w:p>
        </w:tc>
        <w:tc>
          <w:tcPr>
            <w:tcW w:w="1824"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96.5%</w:t>
            </w:r>
          </w:p>
        </w:tc>
        <w:tc>
          <w:tcPr>
            <w:tcW w:w="199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98.5%</w:t>
            </w:r>
          </w:p>
        </w:tc>
        <w:tc>
          <w:tcPr>
            <w:tcW w:w="2378"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98.</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59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学生毕业率</w:t>
            </w:r>
          </w:p>
        </w:tc>
        <w:tc>
          <w:tcPr>
            <w:tcW w:w="1824"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199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2378"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spacing w:before="0" w:beforeAutospacing="0" w:after="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pPr>
        <w:pStyle w:val="32"/>
        <w:adjustRightInd w:val="0"/>
        <w:snapToGrid w:val="0"/>
        <w:spacing w:before="0" w:beforeAutospacing="0" w:after="0" w:line="240" w:lineRule="auto"/>
        <w:rPr>
          <w:rFonts w:hint="eastAsia" w:ascii="宋体" w:hAnsi="宋体" w:eastAsia="宋体" w:cs="宋体"/>
          <w:color w:val="auto"/>
          <w:sz w:val="24"/>
          <w:szCs w:val="24"/>
        </w:rPr>
      </w:pPr>
    </w:p>
    <w:p>
      <w:pPr>
        <w:adjustRightInd w:val="0"/>
        <w:snapToGrid w:val="0"/>
        <w:spacing w:line="312" w:lineRule="auto"/>
        <w:ind w:firstLine="560" w:firstLineChars="200"/>
        <w:rPr>
          <w:rFonts w:hint="eastAsia"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3.学生荣誉及成绩。文明风采活动再创佳绩</w:t>
      </w:r>
      <w:r>
        <w:rPr>
          <w:rFonts w:hint="eastAsia" w:cs="Times New Roman"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rPr>
        <w:t>获得嘉兴市一等奖4项、二等奖1项、三等奖1项；获得浙江省优秀案例1项、优秀作品1项。在2020全国中职文秘、速录、礼仪技能竞赛</w:t>
      </w:r>
      <w:r>
        <w:rPr>
          <w:rFonts w:hint="eastAsia" w:cs="Times New Roman" w:asciiTheme="minorEastAsia" w:hAnsiTheme="minorEastAsia" w:eastAsiaTheme="minorEastAsia"/>
          <w:sz w:val="28"/>
          <w:szCs w:val="28"/>
          <w:lang w:eastAsia="zh-CN"/>
        </w:rPr>
        <w:t>中，</w:t>
      </w:r>
      <w:r>
        <w:rPr>
          <w:rFonts w:hint="eastAsia" w:cs="Times New Roman" w:asciiTheme="minorEastAsia" w:hAnsiTheme="minorEastAsia" w:eastAsiaTheme="minorEastAsia"/>
          <w:sz w:val="28"/>
          <w:szCs w:val="28"/>
        </w:rPr>
        <w:t>文秘专业学生荣获团体一等奖3个、二等奖2个；个人比赛一等奖8名、二等奖7名、三等奖1名；优秀指导老师奖4名。</w:t>
      </w:r>
      <w:r>
        <w:rPr>
          <w:rFonts w:hint="eastAsia" w:cs="Times New Roman" w:asciiTheme="minorEastAsia" w:hAnsiTheme="minorEastAsia" w:eastAsiaTheme="minorEastAsia"/>
          <w:sz w:val="28"/>
          <w:szCs w:val="28"/>
          <w:lang w:val="en-US" w:eastAsia="zh-CN"/>
        </w:rPr>
        <w:t>20</w:t>
      </w:r>
      <w:r>
        <w:rPr>
          <w:rFonts w:hint="eastAsia" w:cs="Times New Roman" w:asciiTheme="minorEastAsia" w:hAnsiTheme="minorEastAsia" w:eastAsiaTheme="minorEastAsia"/>
          <w:sz w:val="28"/>
          <w:szCs w:val="28"/>
        </w:rPr>
        <w:t>届毕业生总就业率</w:t>
      </w:r>
      <w:r>
        <w:rPr>
          <w:rFonts w:hint="eastAsia" w:cs="Times New Roman" w:asciiTheme="minorEastAsia" w:hAnsiTheme="minorEastAsia" w:eastAsiaTheme="minorEastAsia"/>
          <w:sz w:val="28"/>
          <w:szCs w:val="28"/>
          <w:lang w:val="en-US" w:eastAsia="zh-CN"/>
        </w:rPr>
        <w:t>100</w:t>
      </w:r>
      <w:r>
        <w:rPr>
          <w:rFonts w:hint="eastAsia" w:cs="Times New Roman" w:asciiTheme="minorEastAsia" w:hAnsiTheme="minorEastAsia" w:eastAsiaTheme="minorEastAsia"/>
          <w:sz w:val="28"/>
          <w:szCs w:val="28"/>
        </w:rPr>
        <w:t>％（包括升学+就业人数），对口就业率 9</w:t>
      </w:r>
      <w:r>
        <w:rPr>
          <w:rFonts w:hint="eastAsia" w:cs="Times New Roman" w:asciiTheme="minorEastAsia" w:hAnsiTheme="minorEastAsia" w:eastAsiaTheme="minorEastAsia"/>
          <w:sz w:val="28"/>
          <w:szCs w:val="28"/>
          <w:lang w:val="en-US" w:eastAsia="zh-CN"/>
        </w:rPr>
        <w:t>9</w:t>
      </w:r>
      <w:r>
        <w:rPr>
          <w:rFonts w:hint="eastAsia"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lang w:val="en-US" w:eastAsia="zh-CN"/>
        </w:rPr>
        <w:t>97</w:t>
      </w:r>
      <w:r>
        <w:rPr>
          <w:rFonts w:hint="eastAsia" w:cs="Times New Roman" w:asciiTheme="minorEastAsia" w:hAnsiTheme="minorEastAsia" w:eastAsiaTheme="minorEastAsia"/>
          <w:sz w:val="28"/>
          <w:szCs w:val="28"/>
        </w:rPr>
        <w:t>％；其中升入各类高一级学校的占</w:t>
      </w:r>
      <w:r>
        <w:rPr>
          <w:rFonts w:hint="eastAsia" w:cs="Times New Roman" w:asciiTheme="minorEastAsia" w:hAnsiTheme="minorEastAsia" w:eastAsiaTheme="minorEastAsia"/>
          <w:sz w:val="28"/>
          <w:szCs w:val="28"/>
          <w:lang w:val="en-US" w:eastAsia="zh-CN"/>
        </w:rPr>
        <w:t>95</w:t>
      </w:r>
      <w:r>
        <w:rPr>
          <w:rFonts w:hint="eastAsia" w:cs="Times New Roman" w:asciiTheme="minorEastAsia" w:hAnsiTheme="minorEastAsia" w:eastAsiaTheme="minorEastAsia"/>
          <w:sz w:val="28"/>
          <w:szCs w:val="28"/>
        </w:rPr>
        <w:t>.</w:t>
      </w:r>
      <w:r>
        <w:rPr>
          <w:rFonts w:hint="eastAsia" w:cs="Times New Roman" w:asciiTheme="minorEastAsia" w:hAnsiTheme="minorEastAsia" w:eastAsiaTheme="minorEastAsia"/>
          <w:sz w:val="28"/>
          <w:szCs w:val="28"/>
          <w:lang w:val="en-US" w:eastAsia="zh-CN"/>
        </w:rPr>
        <w:t>02</w:t>
      </w:r>
      <w:r>
        <w:rPr>
          <w:rFonts w:hint="eastAsia" w:cs="Times New Roman" w:asciiTheme="minorEastAsia" w:hAnsiTheme="minorEastAsia" w:eastAsiaTheme="minorEastAsia"/>
          <w:sz w:val="28"/>
          <w:szCs w:val="28"/>
        </w:rPr>
        <w:t>%</w:t>
      </w:r>
      <w:bookmarkEnd w:id="12"/>
      <w:r>
        <w:rPr>
          <w:rFonts w:hint="eastAsia" w:cs="Times New Roman" w:asciiTheme="minorEastAsia" w:hAnsiTheme="minorEastAsia" w:eastAsiaTheme="minorEastAsia"/>
          <w:sz w:val="28"/>
          <w:szCs w:val="28"/>
        </w:rPr>
        <w:t>。2020年</w:t>
      </w:r>
      <w:r>
        <w:rPr>
          <w:rFonts w:hint="eastAsia" w:cs="Times New Roman" w:asciiTheme="minorEastAsia" w:hAnsiTheme="minorEastAsia" w:eastAsiaTheme="minorEastAsia"/>
          <w:sz w:val="28"/>
          <w:szCs w:val="28"/>
          <w:lang w:eastAsia="zh-CN"/>
        </w:rPr>
        <w:t>，本校毕业生</w:t>
      </w:r>
      <w:r>
        <w:rPr>
          <w:rFonts w:hint="eastAsia" w:cs="Times New Roman" w:asciiTheme="minorEastAsia" w:hAnsiTheme="minorEastAsia" w:eastAsiaTheme="minorEastAsia"/>
          <w:sz w:val="28"/>
          <w:szCs w:val="28"/>
        </w:rPr>
        <w:t>蒋小丽</w:t>
      </w:r>
      <w:r>
        <w:rPr>
          <w:rFonts w:hint="eastAsia" w:cs="Times New Roman" w:asciiTheme="minorEastAsia" w:hAnsiTheme="minorEastAsia" w:eastAsiaTheme="minorEastAsia"/>
          <w:sz w:val="28"/>
          <w:szCs w:val="28"/>
          <w:lang w:eastAsia="zh-CN"/>
        </w:rPr>
        <w:t>积极投身武汉抗击疫情，被评为</w:t>
      </w:r>
      <w:r>
        <w:rPr>
          <w:rFonts w:hint="eastAsia" w:cs="Times New Roman" w:asciiTheme="minorEastAsia" w:hAnsiTheme="minorEastAsia" w:eastAsiaTheme="minorEastAsia"/>
          <w:sz w:val="28"/>
          <w:szCs w:val="28"/>
        </w:rPr>
        <w:t>浙江省中职优秀毕业生典型</w:t>
      </w:r>
      <w:r>
        <w:rPr>
          <w:rFonts w:hint="eastAsia" w:cs="Times New Roman" w:asciiTheme="minorEastAsia" w:hAnsiTheme="minorEastAsia" w:eastAsiaTheme="minorEastAsia"/>
          <w:sz w:val="28"/>
          <w:szCs w:val="28"/>
          <w:lang w:eastAsia="zh-CN"/>
        </w:rPr>
        <w:t>。</w:t>
      </w:r>
      <w:r>
        <w:rPr>
          <w:rFonts w:hint="eastAsia" w:cs="Times New Roman" w:asciiTheme="minorEastAsia" w:hAnsiTheme="minorEastAsia" w:eastAsiaTheme="minorEastAsia"/>
          <w:sz w:val="28"/>
          <w:szCs w:val="28"/>
        </w:rPr>
        <w:t xml:space="preserve">  </w:t>
      </w:r>
    </w:p>
    <w:p>
      <w:pPr>
        <w:adjustRightInd w:val="0"/>
        <w:snapToGrid w:val="0"/>
        <w:spacing w:line="312"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（二）在校体验</w:t>
      </w:r>
    </w:p>
    <w:p>
      <w:pPr>
        <w:adjustRightInd w:val="0"/>
        <w:snapToGrid w:val="0"/>
        <w:spacing w:line="312" w:lineRule="auto"/>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lang w:eastAsia="zh-CN"/>
        </w:rPr>
        <w:t>我校每个学期都会按计划开展全体学生参与的评教活动。评教对象包括理论课和专业课的全体任课教师。20</w:t>
      </w:r>
      <w:r>
        <w:rPr>
          <w:rFonts w:hint="eastAsia" w:cs="Times New Roman" w:asciiTheme="minorEastAsia" w:hAnsiTheme="minorEastAsia" w:eastAsiaTheme="minorEastAsia"/>
          <w:sz w:val="28"/>
          <w:szCs w:val="28"/>
          <w:lang w:val="en-US" w:eastAsia="zh-CN"/>
        </w:rPr>
        <w:t>20</w:t>
      </w:r>
      <w:r>
        <w:rPr>
          <w:rFonts w:hint="eastAsia" w:cs="Times New Roman" w:asciiTheme="minorEastAsia" w:hAnsiTheme="minorEastAsia" w:eastAsiaTheme="minorEastAsia"/>
          <w:sz w:val="28"/>
          <w:szCs w:val="28"/>
          <w:lang w:eastAsia="zh-CN"/>
        </w:rPr>
        <w:t>学年第一学期学生评教活动中，以百分制统计的满意度数据显示，受评教师1</w:t>
      </w:r>
      <w:r>
        <w:rPr>
          <w:rFonts w:hint="eastAsia" w:cs="Times New Roman" w:asciiTheme="minorEastAsia" w:hAnsiTheme="minorEastAsia" w:eastAsiaTheme="minorEastAsia"/>
          <w:sz w:val="28"/>
          <w:szCs w:val="28"/>
          <w:lang w:val="en-US" w:eastAsia="zh-CN"/>
        </w:rPr>
        <w:t>65</w:t>
      </w:r>
      <w:r>
        <w:rPr>
          <w:rFonts w:hint="eastAsia" w:cs="Times New Roman" w:asciiTheme="minorEastAsia" w:hAnsiTheme="minorEastAsia" w:eastAsiaTheme="minorEastAsia"/>
          <w:sz w:val="28"/>
          <w:szCs w:val="28"/>
          <w:lang w:eastAsia="zh-CN"/>
        </w:rPr>
        <w:t>人，98分以上的优秀教师1</w:t>
      </w:r>
      <w:r>
        <w:rPr>
          <w:rFonts w:hint="eastAsia" w:cs="Times New Roman" w:asciiTheme="minorEastAsia" w:hAnsiTheme="minorEastAsia" w:eastAsiaTheme="minorEastAsia"/>
          <w:sz w:val="28"/>
          <w:szCs w:val="28"/>
          <w:lang w:val="en-US" w:eastAsia="zh-CN"/>
        </w:rPr>
        <w:t>42</w:t>
      </w:r>
      <w:r>
        <w:rPr>
          <w:rFonts w:hint="eastAsia" w:cs="Times New Roman" w:asciiTheme="minorEastAsia" w:hAnsiTheme="minorEastAsia" w:eastAsiaTheme="minorEastAsia"/>
          <w:sz w:val="28"/>
          <w:szCs w:val="28"/>
          <w:lang w:eastAsia="zh-CN"/>
        </w:rPr>
        <w:t>人，优秀率8</w:t>
      </w:r>
      <w:r>
        <w:rPr>
          <w:rFonts w:hint="eastAsia" w:cs="Times New Roman" w:asciiTheme="minorEastAsia" w:hAnsiTheme="minorEastAsia" w:eastAsiaTheme="minorEastAsia"/>
          <w:sz w:val="28"/>
          <w:szCs w:val="28"/>
          <w:lang w:val="en-US" w:eastAsia="zh-CN"/>
        </w:rPr>
        <w:t>6</w:t>
      </w:r>
      <w:r>
        <w:rPr>
          <w:rFonts w:hint="eastAsia" w:cs="Times New Roman" w:asciiTheme="minorEastAsia" w:hAnsiTheme="minorEastAsia" w:eastAsiaTheme="minorEastAsia"/>
          <w:sz w:val="28"/>
          <w:szCs w:val="28"/>
          <w:lang w:eastAsia="zh-CN"/>
        </w:rPr>
        <w:t>%，满意率100%。其中理论教师评教平均分99.1</w:t>
      </w:r>
      <w:r>
        <w:rPr>
          <w:rFonts w:hint="eastAsia" w:cs="Times New Roman" w:asciiTheme="minorEastAsia" w:hAnsiTheme="minorEastAsia" w:eastAsiaTheme="minorEastAsia"/>
          <w:sz w:val="28"/>
          <w:szCs w:val="28"/>
          <w:lang w:val="en-US" w:eastAsia="zh-CN"/>
        </w:rPr>
        <w:t>6</w:t>
      </w:r>
      <w:r>
        <w:rPr>
          <w:rFonts w:hint="eastAsia" w:cs="Times New Roman" w:asciiTheme="minorEastAsia" w:hAnsiTheme="minorEastAsia" w:eastAsiaTheme="minorEastAsia"/>
          <w:sz w:val="28"/>
          <w:szCs w:val="28"/>
          <w:lang w:eastAsia="zh-CN"/>
        </w:rPr>
        <w:t>，学生理论学习满意度100%，专业教师评教平均分98.</w:t>
      </w:r>
      <w:r>
        <w:rPr>
          <w:rFonts w:hint="eastAsia" w:cs="Times New Roman" w:asciiTheme="minorEastAsia" w:hAnsiTheme="minorEastAsia" w:eastAsiaTheme="minorEastAsia"/>
          <w:sz w:val="28"/>
          <w:szCs w:val="28"/>
          <w:lang w:val="en-US" w:eastAsia="zh-CN"/>
        </w:rPr>
        <w:t>91</w:t>
      </w:r>
      <w:r>
        <w:rPr>
          <w:rFonts w:hint="eastAsia" w:cs="Times New Roman" w:asciiTheme="minorEastAsia" w:hAnsiTheme="minorEastAsia" w:eastAsiaTheme="minorEastAsia"/>
          <w:sz w:val="28"/>
          <w:szCs w:val="28"/>
          <w:lang w:eastAsia="zh-CN"/>
        </w:rPr>
        <w:t>，学生专业学习满意度100%。学生实习实训满意度、校园文化建设与社团活动满意度、生活满意度、校园安全满意度、毕业生对学校的满意度均在98%以上（见表5）。</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楷体" w:hAnsi="楷体" w:eastAsia="楷体" w:cs="Times New Roman"/>
          <w:color w:val="auto"/>
          <w:sz w:val="24"/>
        </w:rPr>
      </w:pPr>
      <w:r>
        <w:rPr>
          <w:rFonts w:hint="eastAsia" w:ascii="楷体" w:hAnsi="楷体" w:eastAsia="楷体" w:cs="Times New Roman"/>
          <w:color w:val="auto"/>
          <w:sz w:val="24"/>
        </w:rPr>
        <w:t>表5：20</w:t>
      </w:r>
      <w:r>
        <w:rPr>
          <w:rFonts w:hint="eastAsia" w:ascii="楷体" w:hAnsi="楷体" w:eastAsia="楷体" w:cs="Times New Roman"/>
          <w:color w:val="auto"/>
          <w:sz w:val="24"/>
          <w:lang w:val="en-US" w:eastAsia="zh-CN"/>
        </w:rPr>
        <w:t>20</w:t>
      </w:r>
      <w:r>
        <w:rPr>
          <w:rFonts w:hint="eastAsia" w:ascii="楷体" w:hAnsi="楷体" w:eastAsia="楷体" w:cs="Times New Roman"/>
          <w:color w:val="auto"/>
          <w:sz w:val="24"/>
        </w:rPr>
        <w:t>年学生在校体验各项满意度指标</w:t>
      </w:r>
    </w:p>
    <w:p>
      <w:pPr>
        <w:adjustRightInd w:val="0"/>
        <w:snapToGrid w:val="0"/>
        <w:ind w:firstLine="600" w:firstLineChars="250"/>
        <w:rPr>
          <w:rFonts w:asciiTheme="minorEastAsia" w:hAnsiTheme="minorEastAsia" w:eastAsiaTheme="minorEastAsia"/>
          <w:sz w:val="24"/>
        </w:rPr>
      </w:pPr>
      <w:r>
        <w:rPr>
          <w:rFonts w:hint="eastAsia" w:asciiTheme="minorEastAsia" w:hAnsiTheme="minorEastAsia" w:eastAsiaTheme="minorEastAsia"/>
          <w:sz w:val="24"/>
        </w:rPr>
        <w:drawing>
          <wp:inline distT="0" distB="0" distL="0" distR="0">
            <wp:extent cx="4838700" cy="2524125"/>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adjustRightInd w:val="0"/>
        <w:snapToGrid w:val="0"/>
        <w:spacing w:line="312" w:lineRule="auto"/>
        <w:ind w:firstLine="562" w:firstLineChars="200"/>
        <w:rPr>
          <w:rFonts w:hint="eastAsia"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（三）资助情况</w:t>
      </w:r>
    </w:p>
    <w:p>
      <w:pPr>
        <w:adjustRightInd w:val="0"/>
        <w:snapToGrid w:val="0"/>
        <w:spacing w:line="312" w:lineRule="auto"/>
        <w:ind w:firstLine="560" w:firstLineChars="200"/>
        <w:rPr>
          <w:rFonts w:asciiTheme="minorEastAsia" w:hAnsiTheme="minorEastAsia" w:eastAsiaTheme="minorEastAsia"/>
          <w:color w:val="FF0000"/>
          <w:sz w:val="28"/>
          <w:szCs w:val="28"/>
        </w:rPr>
      </w:pPr>
      <w:r>
        <w:rPr>
          <w:rFonts w:hint="eastAsia" w:cs="Times New Roman" w:asciiTheme="minorEastAsia" w:hAnsiTheme="minorEastAsia" w:eastAsiaTheme="minorEastAsia"/>
          <w:sz w:val="28"/>
          <w:szCs w:val="28"/>
        </w:rPr>
        <w:t>学校历年来认真贯彻和严格落实上级的资助政策要求，做到应助尽助，让家庭确有困难的学生得到应有的资助，20</w:t>
      </w:r>
      <w:r>
        <w:rPr>
          <w:rFonts w:hint="default" w:cs="Times New Roman" w:asciiTheme="minorEastAsia" w:hAnsiTheme="minorEastAsia" w:eastAsiaTheme="minorEastAsia"/>
          <w:sz w:val="28"/>
          <w:szCs w:val="28"/>
        </w:rPr>
        <w:t>20</w:t>
      </w:r>
      <w:r>
        <w:rPr>
          <w:rFonts w:hint="eastAsia" w:cs="Times New Roman" w:asciiTheme="minorEastAsia" w:hAnsiTheme="minorEastAsia" w:eastAsiaTheme="minorEastAsia"/>
          <w:sz w:val="28"/>
          <w:szCs w:val="28"/>
        </w:rPr>
        <w:t>年享受国家助学金137人，金额137000元；免学费3832人，金额8238800元。</w:t>
      </w:r>
    </w:p>
    <w:p>
      <w:pPr>
        <w:adjustRightInd w:val="0"/>
        <w:snapToGrid w:val="0"/>
        <w:spacing w:line="312"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（四）就业质量</w:t>
      </w:r>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学校通过举办多个小型专场招聘会、学校外网、校微信公众平台、校迅通等途径，累计为学生推荐用人单位约</w:t>
      </w:r>
      <w:r>
        <w:rPr>
          <w:rFonts w:hint="eastAsia" w:asciiTheme="minorEastAsia" w:hAnsiTheme="minorEastAsia" w:eastAsiaTheme="minorEastAsia"/>
          <w:sz w:val="28"/>
          <w:szCs w:val="28"/>
          <w:lang w:val="en-US" w:eastAsia="zh-CN"/>
        </w:rPr>
        <w:t>35</w:t>
      </w:r>
      <w:r>
        <w:rPr>
          <w:rFonts w:hint="eastAsia" w:asciiTheme="minorEastAsia" w:hAnsiTheme="minorEastAsia" w:eastAsiaTheme="minorEastAsia"/>
          <w:sz w:val="28"/>
          <w:szCs w:val="28"/>
        </w:rPr>
        <w:t>家，共计就业岗位约</w:t>
      </w:r>
      <w:r>
        <w:rPr>
          <w:rFonts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6</w:t>
      </w:r>
      <w:r>
        <w:rPr>
          <w:rFonts w:asciiTheme="minorEastAsia" w:hAnsiTheme="minorEastAsia" w:eastAsiaTheme="minorEastAsia"/>
          <w:sz w:val="28"/>
          <w:szCs w:val="28"/>
        </w:rPr>
        <w:t>0</w:t>
      </w:r>
      <w:r>
        <w:rPr>
          <w:rFonts w:hint="eastAsia" w:asciiTheme="minorEastAsia" w:hAnsiTheme="minorEastAsia" w:eastAsiaTheme="minorEastAsia"/>
          <w:sz w:val="28"/>
          <w:szCs w:val="28"/>
        </w:rPr>
        <w:t>余个。本年度与上年度的毕业生升学、就业情况具体见表6、7。</w:t>
      </w:r>
    </w:p>
    <w:p>
      <w:pPr>
        <w:adjustRightInd w:val="0"/>
        <w:snapToGrid w:val="0"/>
        <w:ind w:firstLine="480" w:firstLineChars="200"/>
        <w:rPr>
          <w:rFonts w:ascii="楷体" w:hAnsi="楷体" w:eastAsia="楷体"/>
          <w:sz w:val="24"/>
        </w:rPr>
      </w:pPr>
      <w:r>
        <w:rPr>
          <w:rFonts w:hint="eastAsia" w:ascii="楷体" w:hAnsi="楷体" w:eastAsia="楷体"/>
          <w:sz w:val="24"/>
        </w:rPr>
        <w:t>表</w:t>
      </w:r>
      <w:r>
        <w:rPr>
          <w:rFonts w:ascii="楷体" w:hAnsi="楷体" w:eastAsia="楷体"/>
          <w:sz w:val="24"/>
        </w:rPr>
        <w:t>6</w:t>
      </w:r>
      <w:r>
        <w:rPr>
          <w:rFonts w:hint="eastAsia" w:ascii="楷体" w:hAnsi="楷体" w:eastAsia="楷体"/>
          <w:sz w:val="24"/>
        </w:rPr>
        <w:t>：桐乡卫校201</w:t>
      </w:r>
      <w:r>
        <w:rPr>
          <w:rFonts w:ascii="楷体" w:hAnsi="楷体" w:eastAsia="楷体"/>
          <w:sz w:val="24"/>
        </w:rPr>
        <w:t>9</w:t>
      </w:r>
      <w:r>
        <w:rPr>
          <w:rFonts w:hint="eastAsia" w:ascii="楷体" w:hAnsi="楷体" w:eastAsia="楷体"/>
          <w:sz w:val="24"/>
        </w:rPr>
        <w:t>届毕业生就业情况统计表</w:t>
      </w:r>
    </w:p>
    <w:tbl>
      <w:tblPr>
        <w:tblStyle w:val="7"/>
        <w:tblW w:w="8939" w:type="dxa"/>
        <w:tblInd w:w="45" w:type="dxa"/>
        <w:tblLayout w:type="fixed"/>
        <w:tblCellMar>
          <w:top w:w="0" w:type="dxa"/>
          <w:left w:w="108" w:type="dxa"/>
          <w:bottom w:w="0" w:type="dxa"/>
          <w:right w:w="108" w:type="dxa"/>
        </w:tblCellMar>
      </w:tblPr>
      <w:tblGrid>
        <w:gridCol w:w="603"/>
        <w:gridCol w:w="1267"/>
        <w:gridCol w:w="673"/>
        <w:gridCol w:w="696"/>
        <w:gridCol w:w="1024"/>
        <w:gridCol w:w="860"/>
        <w:gridCol w:w="938"/>
        <w:gridCol w:w="938"/>
        <w:gridCol w:w="948"/>
        <w:gridCol w:w="992"/>
      </w:tblGrid>
      <w:tr>
        <w:tblPrEx>
          <w:tblCellMar>
            <w:top w:w="0" w:type="dxa"/>
            <w:left w:w="108" w:type="dxa"/>
            <w:bottom w:w="0" w:type="dxa"/>
            <w:right w:w="108" w:type="dxa"/>
          </w:tblCellMar>
        </w:tblPrEx>
        <w:trPr>
          <w:trHeight w:val="855"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序号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专 业</w:t>
            </w: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毕业</w:t>
            </w:r>
          </w:p>
          <w:p>
            <w:pPr>
              <w:widowControl/>
              <w:spacing w:line="300" w:lineRule="exact"/>
              <w:jc w:val="center"/>
              <w:rPr>
                <w:rFonts w:ascii="宋体" w:hAnsi="宋体" w:cs="宋体"/>
                <w:kern w:val="0"/>
                <w:szCs w:val="21"/>
              </w:rPr>
            </w:pPr>
            <w:r>
              <w:rPr>
                <w:rFonts w:hint="eastAsia" w:ascii="宋体" w:hAnsi="宋体" w:cs="宋体"/>
                <w:kern w:val="0"/>
                <w:szCs w:val="21"/>
              </w:rPr>
              <w:t>人数</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升学</w:t>
            </w:r>
          </w:p>
          <w:p>
            <w:pPr>
              <w:widowControl/>
              <w:spacing w:line="300" w:lineRule="exact"/>
              <w:jc w:val="center"/>
              <w:rPr>
                <w:rFonts w:ascii="宋体" w:hAnsi="宋体" w:cs="宋体"/>
                <w:kern w:val="0"/>
                <w:szCs w:val="21"/>
              </w:rPr>
            </w:pPr>
            <w:r>
              <w:rPr>
                <w:rFonts w:hint="eastAsia" w:ascii="宋体" w:hAnsi="宋体" w:cs="宋体"/>
                <w:kern w:val="0"/>
                <w:szCs w:val="21"/>
              </w:rPr>
              <w:t>人数</w:t>
            </w:r>
          </w:p>
        </w:tc>
        <w:tc>
          <w:tcPr>
            <w:tcW w:w="102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直接就业人数</w:t>
            </w:r>
          </w:p>
        </w:tc>
        <w:tc>
          <w:tcPr>
            <w:tcW w:w="86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直接对口就业人数</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就业率（%）</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对口就业率（%）</w:t>
            </w:r>
          </w:p>
        </w:tc>
        <w:tc>
          <w:tcPr>
            <w:tcW w:w="94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初次就业起薪</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升入高等教育比例</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bookmarkStart w:id="13" w:name="OLE_LINK37" w:colFirst="0" w:colLast="9"/>
            <w:r>
              <w:rPr>
                <w:rFonts w:hint="eastAsia" w:ascii="宋体" w:hAnsi="宋体" w:cs="宋体"/>
                <w:kern w:val="0"/>
                <w:szCs w:val="21"/>
              </w:rPr>
              <w:t>1</w:t>
            </w:r>
          </w:p>
        </w:tc>
        <w:tc>
          <w:tcPr>
            <w:tcW w:w="126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护理</w:t>
            </w:r>
          </w:p>
        </w:tc>
        <w:tc>
          <w:tcPr>
            <w:tcW w:w="67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ascii="宋体" w:hAnsi="宋体" w:cs="宋体"/>
                <w:kern w:val="0"/>
                <w:szCs w:val="21"/>
              </w:rPr>
              <w:t>726</w:t>
            </w:r>
          </w:p>
        </w:tc>
        <w:tc>
          <w:tcPr>
            <w:tcW w:w="6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6</w:t>
            </w:r>
            <w:r>
              <w:rPr>
                <w:rFonts w:ascii="宋体" w:hAnsi="宋体" w:cs="宋体"/>
                <w:kern w:val="0"/>
                <w:szCs w:val="21"/>
              </w:rPr>
              <w:t>33</w:t>
            </w:r>
          </w:p>
        </w:tc>
        <w:tc>
          <w:tcPr>
            <w:tcW w:w="10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ascii="宋体" w:hAnsi="宋体" w:cs="宋体"/>
                <w:kern w:val="0"/>
                <w:szCs w:val="21"/>
              </w:rPr>
              <w:t>87</w:t>
            </w:r>
          </w:p>
        </w:tc>
        <w:tc>
          <w:tcPr>
            <w:tcW w:w="8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ascii="宋体" w:hAnsi="宋体" w:cs="宋体"/>
                <w:kern w:val="0"/>
                <w:szCs w:val="21"/>
              </w:rPr>
              <w:t>85</w:t>
            </w:r>
          </w:p>
        </w:tc>
        <w:tc>
          <w:tcPr>
            <w:tcW w:w="93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9</w:t>
            </w:r>
            <w:r>
              <w:rPr>
                <w:rFonts w:ascii="宋体" w:hAnsi="宋体" w:cs="宋体"/>
                <w:kern w:val="0"/>
                <w:szCs w:val="21"/>
              </w:rPr>
              <w:t>9.15</w:t>
            </w:r>
            <w:r>
              <w:rPr>
                <w:rFonts w:hint="eastAsia" w:ascii="宋体" w:hAnsi="宋体" w:cs="宋体"/>
                <w:kern w:val="0"/>
                <w:szCs w:val="21"/>
              </w:rPr>
              <w:t>%</w:t>
            </w:r>
          </w:p>
        </w:tc>
        <w:tc>
          <w:tcPr>
            <w:tcW w:w="93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ascii="宋体" w:hAnsi="宋体" w:cs="宋体"/>
                <w:kern w:val="0"/>
                <w:szCs w:val="21"/>
              </w:rPr>
              <w:t>99.45</w:t>
            </w:r>
            <w:r>
              <w:rPr>
                <w:rFonts w:hint="eastAsia" w:ascii="宋体" w:hAnsi="宋体" w:cs="宋体"/>
                <w:kern w:val="0"/>
                <w:szCs w:val="21"/>
              </w:rPr>
              <w:t>%</w:t>
            </w:r>
          </w:p>
        </w:tc>
        <w:tc>
          <w:tcPr>
            <w:tcW w:w="94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ascii="宋体" w:hAnsi="宋体" w:cs="宋体"/>
                <w:kern w:val="0"/>
                <w:szCs w:val="21"/>
              </w:rPr>
              <w:t>2613</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ascii="宋体" w:hAnsi="宋体" w:cs="宋体"/>
                <w:kern w:val="0"/>
                <w:szCs w:val="21"/>
              </w:rPr>
              <w:t>87.20</w:t>
            </w:r>
            <w:r>
              <w:rPr>
                <w:rFonts w:hint="eastAsia" w:ascii="宋体" w:hAnsi="宋体" w:cs="宋体"/>
                <w:kern w:val="0"/>
                <w:szCs w:val="21"/>
              </w:rPr>
              <w:t>%</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126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康复</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50</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45</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4</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3</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98.00</w:t>
            </w:r>
            <w:r>
              <w:rPr>
                <w:rFonts w:hint="eastAsia" w:ascii="宋体" w:hAnsi="宋体" w:cs="宋体"/>
                <w:kern w:val="0"/>
                <w:szCs w:val="21"/>
              </w:rPr>
              <w:t>%</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96.00</w:t>
            </w:r>
            <w:r>
              <w:rPr>
                <w:rFonts w:hint="eastAsia" w:ascii="宋体" w:hAnsi="宋体" w:cs="宋体"/>
                <w:kern w:val="0"/>
                <w:szCs w:val="21"/>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2800</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90.00</w:t>
            </w:r>
            <w:r>
              <w:rPr>
                <w:rFonts w:hint="eastAsia" w:ascii="宋体" w:hAnsi="宋体" w:cs="宋体"/>
                <w:kern w:val="0"/>
                <w:szCs w:val="21"/>
              </w:rPr>
              <w:t>%</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126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医学检验</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39</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38</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100.</w:t>
            </w:r>
            <w:r>
              <w:rPr>
                <w:rFonts w:hint="eastAsia" w:ascii="宋体" w:hAnsi="宋体" w:cs="宋体"/>
                <w:kern w:val="0"/>
                <w:szCs w:val="21"/>
              </w:rPr>
              <w:t>%</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100</w:t>
            </w:r>
            <w:r>
              <w:rPr>
                <w:rFonts w:hint="eastAsia" w:ascii="宋体" w:hAnsi="宋体" w:cs="宋体"/>
                <w:kern w:val="0"/>
                <w:szCs w:val="21"/>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3500</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97.44</w:t>
            </w:r>
            <w:r>
              <w:rPr>
                <w:rFonts w:hint="eastAsia" w:ascii="宋体" w:hAnsi="宋体" w:cs="宋体"/>
                <w:kern w:val="0"/>
                <w:szCs w:val="21"/>
              </w:rPr>
              <w:t>%</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126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药剂</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169</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135</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31</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29</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96.33</w:t>
            </w:r>
            <w:r>
              <w:rPr>
                <w:rFonts w:hint="eastAsia" w:ascii="宋体" w:hAnsi="宋体" w:cs="宋体"/>
                <w:kern w:val="0"/>
                <w:szCs w:val="21"/>
              </w:rPr>
              <w:t>%</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97.10</w:t>
            </w:r>
            <w:r>
              <w:rPr>
                <w:rFonts w:hint="eastAsia" w:ascii="宋体" w:hAnsi="宋体" w:cs="宋体"/>
                <w:kern w:val="0"/>
                <w:szCs w:val="21"/>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3110</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73.45</w:t>
            </w:r>
            <w:r>
              <w:rPr>
                <w:rFonts w:hint="eastAsia" w:ascii="宋体" w:hAnsi="宋体" w:cs="宋体"/>
                <w:kern w:val="0"/>
                <w:szCs w:val="21"/>
              </w:rPr>
              <w:t>%</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5</w:t>
            </w:r>
          </w:p>
        </w:tc>
        <w:tc>
          <w:tcPr>
            <w:tcW w:w="126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3+2食品药品监督管理</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37</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37</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0</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0</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100%</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100</w:t>
            </w:r>
            <w:r>
              <w:rPr>
                <w:rFonts w:hint="eastAsia" w:ascii="宋体" w:hAnsi="宋体" w:cs="宋体"/>
                <w:kern w:val="0"/>
                <w:szCs w:val="21"/>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   /</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100</w:t>
            </w:r>
            <w:r>
              <w:rPr>
                <w:rFonts w:hint="eastAsia" w:ascii="宋体" w:hAnsi="宋体" w:cs="宋体"/>
                <w:kern w:val="0"/>
                <w:szCs w:val="21"/>
              </w:rPr>
              <w:t>%</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6</w:t>
            </w:r>
          </w:p>
        </w:tc>
        <w:tc>
          <w:tcPr>
            <w:tcW w:w="126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文秘</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78</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63</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15</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15</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100%</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ascii="宋体" w:hAnsi="宋体" w:cs="宋体"/>
                <w:kern w:val="0"/>
                <w:szCs w:val="21"/>
              </w:rPr>
              <w:t>100</w:t>
            </w:r>
            <w:r>
              <w:rPr>
                <w:rFonts w:hint="eastAsia" w:ascii="宋体" w:hAnsi="宋体" w:cs="宋体"/>
                <w:kern w:val="0"/>
                <w:szCs w:val="21"/>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500</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0.77</w:t>
            </w:r>
            <w:r>
              <w:rPr>
                <w:rFonts w:hint="eastAsia" w:ascii="宋体" w:hAnsi="宋体" w:cs="宋体"/>
                <w:kern w:val="0"/>
                <w:szCs w:val="21"/>
              </w:rPr>
              <w:t>%</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7</w:t>
            </w:r>
          </w:p>
        </w:tc>
        <w:tc>
          <w:tcPr>
            <w:tcW w:w="126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会计电算化</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112</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101</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11</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11</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100</w:t>
            </w:r>
            <w:r>
              <w:rPr>
                <w:rFonts w:hint="eastAsia" w:ascii="宋体" w:hAnsi="宋体" w:cs="宋体"/>
                <w:kern w:val="0"/>
                <w:szCs w:val="21"/>
              </w:rPr>
              <w:t>%</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100</w:t>
            </w:r>
            <w:r>
              <w:rPr>
                <w:rFonts w:hint="eastAsia" w:ascii="宋体" w:hAnsi="宋体" w:cs="宋体"/>
                <w:kern w:val="0"/>
                <w:szCs w:val="21"/>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Cs w:val="21"/>
              </w:rPr>
              <w:t>3900</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90.18</w:t>
            </w:r>
            <w:r>
              <w:rPr>
                <w:rFonts w:hint="eastAsia" w:ascii="宋体" w:hAnsi="宋体" w:cs="宋体"/>
                <w:kern w:val="0"/>
                <w:szCs w:val="21"/>
              </w:rPr>
              <w:t>%</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ind w:firstLine="105" w:firstLineChars="50"/>
              <w:rPr>
                <w:rFonts w:ascii="宋体" w:hAnsi="宋体" w:cs="宋体"/>
                <w:kern w:val="0"/>
                <w:szCs w:val="21"/>
              </w:rPr>
            </w:pPr>
            <w:r>
              <w:rPr>
                <w:rFonts w:ascii="宋体" w:hAnsi="宋体" w:cs="宋体"/>
                <w:kern w:val="0"/>
                <w:szCs w:val="21"/>
              </w:rPr>
              <w:t>8</w:t>
            </w:r>
          </w:p>
        </w:tc>
        <w:tc>
          <w:tcPr>
            <w:tcW w:w="126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五年</w:t>
            </w:r>
            <w:r>
              <w:rPr>
                <w:rFonts w:ascii="宋体" w:hAnsi="宋体" w:cs="宋体"/>
                <w:kern w:val="0"/>
                <w:szCs w:val="21"/>
              </w:rPr>
              <w:t>一贯制</w:t>
            </w:r>
            <w:r>
              <w:rPr>
                <w:rFonts w:hint="eastAsia" w:ascii="宋体" w:hAnsi="宋体" w:cs="宋体"/>
                <w:kern w:val="0"/>
                <w:szCs w:val="21"/>
              </w:rPr>
              <w:t>中药</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44</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2</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2</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2</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100</w:t>
            </w:r>
            <w:r>
              <w:rPr>
                <w:rFonts w:ascii="宋体" w:hAnsi="宋体" w:cs="宋体"/>
                <w:kern w:val="0"/>
                <w:sz w:val="20"/>
                <w:szCs w:val="20"/>
              </w:rPr>
              <w:t>%</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100</w:t>
            </w:r>
            <w:r>
              <w:rPr>
                <w:rFonts w:ascii="宋体" w:hAnsi="宋体" w:cs="宋体"/>
                <w:kern w:val="0"/>
                <w:sz w:val="20"/>
                <w:szCs w:val="20"/>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1800</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98.45%</w:t>
            </w:r>
          </w:p>
        </w:tc>
      </w:tr>
      <w:tr>
        <w:tblPrEx>
          <w:tblCellMar>
            <w:top w:w="0" w:type="dxa"/>
            <w:left w:w="108" w:type="dxa"/>
            <w:bottom w:w="0" w:type="dxa"/>
            <w:right w:w="108" w:type="dxa"/>
          </w:tblCellMar>
        </w:tblPrEx>
        <w:trPr>
          <w:trHeight w:val="340" w:hRule="atLeast"/>
        </w:trPr>
        <w:tc>
          <w:tcPr>
            <w:tcW w:w="603"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ind w:firstLine="105" w:firstLineChars="50"/>
              <w:rPr>
                <w:rFonts w:ascii="宋体" w:hAnsi="宋体" w:cs="宋体"/>
                <w:kern w:val="0"/>
                <w:szCs w:val="21"/>
              </w:rPr>
            </w:pPr>
            <w:r>
              <w:rPr>
                <w:rFonts w:hint="eastAsia" w:ascii="宋体" w:hAnsi="宋体" w:cs="宋体"/>
                <w:kern w:val="0"/>
                <w:szCs w:val="21"/>
              </w:rPr>
              <w:t>9</w:t>
            </w:r>
          </w:p>
        </w:tc>
        <w:tc>
          <w:tcPr>
            <w:tcW w:w="126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卫生</w:t>
            </w:r>
            <w:r>
              <w:rPr>
                <w:rFonts w:ascii="宋体" w:hAnsi="宋体" w:cs="宋体"/>
                <w:kern w:val="0"/>
                <w:szCs w:val="21"/>
              </w:rPr>
              <w:t>信息管理</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40</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34</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6</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6</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100</w:t>
            </w:r>
            <w:r>
              <w:rPr>
                <w:rFonts w:ascii="宋体" w:hAnsi="宋体" w:cs="宋体"/>
                <w:kern w:val="0"/>
                <w:sz w:val="20"/>
                <w:szCs w:val="20"/>
              </w:rPr>
              <w:t>%</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100</w:t>
            </w:r>
            <w:r>
              <w:rPr>
                <w:rFonts w:ascii="宋体" w:hAnsi="宋体" w:cs="宋体"/>
                <w:kern w:val="0"/>
                <w:sz w:val="20"/>
                <w:szCs w:val="20"/>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Cs w:val="21"/>
              </w:rPr>
            </w:pPr>
            <w:r>
              <w:rPr>
                <w:rFonts w:hint="eastAsia" w:ascii="宋体" w:hAnsi="宋体" w:cs="宋体"/>
                <w:kern w:val="0"/>
                <w:szCs w:val="21"/>
              </w:rPr>
              <w:t>3900</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85.00%</w:t>
            </w:r>
          </w:p>
        </w:tc>
      </w:tr>
      <w:tr>
        <w:tblPrEx>
          <w:tblCellMar>
            <w:top w:w="0" w:type="dxa"/>
            <w:left w:w="108" w:type="dxa"/>
            <w:bottom w:w="0" w:type="dxa"/>
            <w:right w:w="108" w:type="dxa"/>
          </w:tblCellMar>
        </w:tblPrEx>
        <w:trPr>
          <w:trHeight w:val="340" w:hRule="atLeast"/>
        </w:trPr>
        <w:tc>
          <w:tcPr>
            <w:tcW w:w="1870" w:type="dxa"/>
            <w:gridSpan w:val="2"/>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4"/>
              </w:rPr>
            </w:pPr>
            <w:r>
              <w:rPr>
                <w:rFonts w:hint="eastAsia" w:ascii="宋体" w:hAnsi="宋体" w:cs="宋体"/>
                <w:kern w:val="0"/>
                <w:szCs w:val="21"/>
              </w:rPr>
              <w:t>汇总　</w:t>
            </w:r>
          </w:p>
        </w:tc>
        <w:tc>
          <w:tcPr>
            <w:tcW w:w="673"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1295</w:t>
            </w:r>
          </w:p>
        </w:tc>
        <w:tc>
          <w:tcPr>
            <w:tcW w:w="696"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1028</w:t>
            </w:r>
          </w:p>
        </w:tc>
        <w:tc>
          <w:tcPr>
            <w:tcW w:w="1024"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157</w:t>
            </w:r>
          </w:p>
        </w:tc>
        <w:tc>
          <w:tcPr>
            <w:tcW w:w="860"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52</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9.28</w:t>
            </w:r>
            <w:r>
              <w:rPr>
                <w:rFonts w:hint="eastAsia" w:ascii="宋体" w:hAnsi="宋体" w:cs="宋体"/>
                <w:kern w:val="0"/>
                <w:szCs w:val="21"/>
              </w:rPr>
              <w:t>%</w:t>
            </w:r>
          </w:p>
        </w:tc>
        <w:tc>
          <w:tcPr>
            <w:tcW w:w="93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99.17</w:t>
            </w:r>
            <w:r>
              <w:rPr>
                <w:rFonts w:hint="eastAsia" w:ascii="宋体" w:hAnsi="宋体" w:cs="宋体"/>
                <w:kern w:val="0"/>
                <w:szCs w:val="21"/>
              </w:rPr>
              <w:t>%</w:t>
            </w:r>
          </w:p>
        </w:tc>
        <w:tc>
          <w:tcPr>
            <w:tcW w:w="948"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3140</w:t>
            </w:r>
          </w:p>
        </w:tc>
        <w:tc>
          <w:tcPr>
            <w:tcW w:w="992"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cs="宋体"/>
                <w:kern w:val="0"/>
                <w:sz w:val="20"/>
                <w:szCs w:val="20"/>
              </w:rPr>
            </w:pPr>
            <w:r>
              <w:rPr>
                <w:rFonts w:ascii="宋体" w:hAnsi="宋体" w:cs="宋体"/>
                <w:kern w:val="0"/>
                <w:sz w:val="20"/>
                <w:szCs w:val="20"/>
              </w:rPr>
              <w:t>89.17</w:t>
            </w:r>
            <w:r>
              <w:rPr>
                <w:rFonts w:hint="eastAsia" w:ascii="宋体" w:hAnsi="宋体" w:cs="宋体"/>
                <w:kern w:val="0"/>
                <w:szCs w:val="21"/>
              </w:rPr>
              <w:t>%</w:t>
            </w:r>
          </w:p>
        </w:tc>
      </w:tr>
      <w:bookmarkEnd w:id="13"/>
    </w:tbl>
    <w:p>
      <w:pPr>
        <w:adjustRightInd w:val="0"/>
        <w:snapToGrid w:val="0"/>
        <w:rPr>
          <w:rFonts w:asciiTheme="minorEastAsia" w:hAnsiTheme="minorEastAsia" w:eastAsiaTheme="minorEastAsia"/>
          <w:sz w:val="13"/>
          <w:szCs w:val="13"/>
        </w:rPr>
      </w:pPr>
    </w:p>
    <w:tbl>
      <w:tblPr>
        <w:tblStyle w:val="7"/>
        <w:tblW w:w="8978" w:type="dxa"/>
        <w:tblInd w:w="0" w:type="dxa"/>
        <w:tblLayout w:type="fixed"/>
        <w:tblCellMar>
          <w:top w:w="0" w:type="dxa"/>
          <w:left w:w="108" w:type="dxa"/>
          <w:bottom w:w="0" w:type="dxa"/>
          <w:right w:w="108" w:type="dxa"/>
        </w:tblCellMar>
      </w:tblPr>
      <w:tblGrid>
        <w:gridCol w:w="580"/>
        <w:gridCol w:w="1380"/>
        <w:gridCol w:w="638"/>
        <w:gridCol w:w="698"/>
        <w:gridCol w:w="851"/>
        <w:gridCol w:w="850"/>
        <w:gridCol w:w="993"/>
        <w:gridCol w:w="992"/>
        <w:gridCol w:w="1064"/>
        <w:gridCol w:w="932"/>
      </w:tblGrid>
      <w:tr>
        <w:tblPrEx>
          <w:tblCellMar>
            <w:top w:w="0" w:type="dxa"/>
            <w:left w:w="108" w:type="dxa"/>
            <w:bottom w:w="0" w:type="dxa"/>
            <w:right w:w="108" w:type="dxa"/>
          </w:tblCellMar>
        </w:tblPrEx>
        <w:trPr>
          <w:trHeight w:val="375" w:hRule="atLeast"/>
        </w:trPr>
        <w:tc>
          <w:tcPr>
            <w:tcW w:w="8978" w:type="dxa"/>
            <w:gridSpan w:val="10"/>
            <w:tcBorders>
              <w:top w:val="nil"/>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asciiTheme="minorEastAsia" w:hAnsiTheme="minorEastAsia" w:eastAsiaTheme="minorEastAsia"/>
                <w:color w:val="auto"/>
                <w:sz w:val="24"/>
              </w:rPr>
            </w:pPr>
            <w:r>
              <w:rPr>
                <w:rFonts w:hint="eastAsia" w:ascii="楷体" w:hAnsi="楷体" w:eastAsia="楷体"/>
                <w:color w:val="auto"/>
                <w:sz w:val="24"/>
              </w:rPr>
              <w:t>表</w:t>
            </w:r>
            <w:r>
              <w:rPr>
                <w:rFonts w:ascii="楷体" w:hAnsi="楷体" w:eastAsia="楷体"/>
                <w:color w:val="auto"/>
                <w:sz w:val="24"/>
              </w:rPr>
              <w:t>7</w:t>
            </w:r>
            <w:r>
              <w:rPr>
                <w:rFonts w:hint="eastAsia" w:ascii="楷体" w:hAnsi="楷体" w:eastAsia="楷体"/>
                <w:color w:val="auto"/>
                <w:sz w:val="24"/>
              </w:rPr>
              <w:t>：桐乡卫校2020届毕业生就业情况统计表</w:t>
            </w:r>
          </w:p>
        </w:tc>
      </w:tr>
      <w:tr>
        <w:tblPrEx>
          <w:tblCellMar>
            <w:top w:w="0" w:type="dxa"/>
            <w:left w:w="108" w:type="dxa"/>
            <w:bottom w:w="0" w:type="dxa"/>
            <w:right w:w="108" w:type="dxa"/>
          </w:tblCellMar>
        </w:tblPrEx>
        <w:trPr>
          <w:trHeight w:val="825"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序号</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专 业</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毕业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人数</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升学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人数</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直接就业人数</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直接对口就业人数</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就业率（%）</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对口就业率（%）</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初次就业起薪</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升入高等教育比例</w:t>
            </w:r>
          </w:p>
        </w:tc>
      </w:tr>
      <w:tr>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1</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护理</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744</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707</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37</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36</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99.73%</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2800</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95.03%</w:t>
            </w:r>
          </w:p>
        </w:tc>
      </w:tr>
      <w:tr>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2</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康复</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48</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46</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3000</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95.83%</w:t>
            </w:r>
          </w:p>
        </w:tc>
      </w:tr>
      <w:tr>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3</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医学检验</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39</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37</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3600</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94.87%</w:t>
            </w:r>
          </w:p>
        </w:tc>
      </w:tr>
      <w:tr>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4</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药剂</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130</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128</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2800</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98.46%</w:t>
            </w:r>
          </w:p>
        </w:tc>
      </w:tr>
      <w:tr>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5</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3+2食品药品监督管理</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39</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38</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0</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0</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 xml:space="preserve"> /</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100%</w:t>
            </w:r>
          </w:p>
        </w:tc>
      </w:tr>
      <w:tr>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6</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文秘</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74</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64</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10</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10</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3600</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86.49%</w:t>
            </w:r>
          </w:p>
        </w:tc>
      </w:tr>
      <w:tr>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7</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会计电算化</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84</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79</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5</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5</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3800</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hint="default" w:ascii="宋体" w:hAnsi="宋体" w:cs="宋体"/>
                <w:color w:val="auto"/>
                <w:kern w:val="0"/>
                <w:szCs w:val="21"/>
              </w:rPr>
              <w:t>94.05%</w:t>
            </w:r>
          </w:p>
        </w:tc>
      </w:tr>
      <w:tr>
        <w:tblPrEx>
          <w:tblCellMar>
            <w:top w:w="0" w:type="dxa"/>
            <w:left w:w="108" w:type="dxa"/>
            <w:bottom w:w="0" w:type="dxa"/>
            <w:right w:w="108" w:type="dxa"/>
          </w:tblCellMar>
        </w:tblPrEx>
        <w:trPr>
          <w:trHeight w:val="340" w:hRule="atLeast"/>
        </w:trPr>
        <w:tc>
          <w:tcPr>
            <w:tcW w:w="580" w:type="dxa"/>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8</w:t>
            </w:r>
          </w:p>
        </w:tc>
        <w:tc>
          <w:tcPr>
            <w:tcW w:w="138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五年一贯制中药</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44</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42</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ascii="宋体" w:hAnsi="宋体" w:cs="宋体"/>
                <w:color w:val="auto"/>
                <w:kern w:val="0"/>
                <w:szCs w:val="21"/>
              </w:rPr>
              <w:t>100%</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2600</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95.45%</w:t>
            </w:r>
          </w:p>
        </w:tc>
      </w:tr>
      <w:tr>
        <w:tblPrEx>
          <w:tblCellMar>
            <w:top w:w="0" w:type="dxa"/>
            <w:left w:w="108" w:type="dxa"/>
            <w:bottom w:w="0" w:type="dxa"/>
            <w:right w:w="108" w:type="dxa"/>
          </w:tblCellMar>
        </w:tblPrEx>
        <w:trPr>
          <w:trHeight w:val="340" w:hRule="atLeast"/>
        </w:trPr>
        <w:tc>
          <w:tcPr>
            <w:tcW w:w="1960" w:type="dxa"/>
            <w:gridSpan w:val="2"/>
            <w:tcBorders>
              <w:top w:val="nil"/>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color w:val="auto"/>
                <w:kern w:val="0"/>
                <w:szCs w:val="21"/>
              </w:rPr>
            </w:pPr>
            <w:r>
              <w:rPr>
                <w:rFonts w:hint="eastAsia" w:ascii="宋体" w:hAnsi="宋体" w:cs="宋体"/>
                <w:color w:val="auto"/>
                <w:kern w:val="0"/>
                <w:szCs w:val="21"/>
              </w:rPr>
              <w:t>汇总　</w:t>
            </w:r>
          </w:p>
        </w:tc>
        <w:tc>
          <w:tcPr>
            <w:tcW w:w="63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Cs w:val="21"/>
                <w:lang w:eastAsia="zh-CN"/>
              </w:rPr>
            </w:pPr>
            <w:r>
              <w:rPr>
                <w:rFonts w:ascii="宋体" w:hAnsi="宋体" w:cs="宋体"/>
                <w:color w:val="auto"/>
                <w:kern w:val="0"/>
                <w:szCs w:val="21"/>
              </w:rPr>
              <w:t>120</w:t>
            </w:r>
            <w:r>
              <w:rPr>
                <w:rFonts w:hint="eastAsia" w:ascii="宋体" w:hAnsi="宋体" w:cs="宋体"/>
                <w:color w:val="auto"/>
                <w:kern w:val="0"/>
                <w:szCs w:val="21"/>
                <w:lang w:val="en-US" w:eastAsia="zh-CN"/>
              </w:rPr>
              <w:t>1</w:t>
            </w:r>
          </w:p>
        </w:tc>
        <w:tc>
          <w:tcPr>
            <w:tcW w:w="698"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1141</w:t>
            </w:r>
          </w:p>
        </w:tc>
        <w:tc>
          <w:tcPr>
            <w:tcW w:w="851"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hint="default" w:ascii="宋体" w:hAnsi="宋体" w:cs="宋体"/>
                <w:color w:val="auto"/>
                <w:kern w:val="0"/>
                <w:szCs w:val="21"/>
              </w:rPr>
              <w:t>60</w:t>
            </w:r>
          </w:p>
        </w:tc>
        <w:tc>
          <w:tcPr>
            <w:tcW w:w="85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59</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100%</w:t>
            </w:r>
          </w:p>
        </w:tc>
        <w:tc>
          <w:tcPr>
            <w:tcW w:w="99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99.97%</w:t>
            </w:r>
          </w:p>
        </w:tc>
        <w:tc>
          <w:tcPr>
            <w:tcW w:w="106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3171</w:t>
            </w:r>
          </w:p>
        </w:tc>
        <w:tc>
          <w:tcPr>
            <w:tcW w:w="932"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cs="宋体"/>
                <w:color w:val="auto"/>
                <w:kern w:val="0"/>
                <w:szCs w:val="21"/>
              </w:rPr>
            </w:pPr>
            <w:r>
              <w:rPr>
                <w:rFonts w:ascii="宋体" w:hAnsi="宋体" w:cs="宋体"/>
                <w:color w:val="auto"/>
                <w:kern w:val="0"/>
                <w:szCs w:val="21"/>
              </w:rPr>
              <w:t>95.02%</w:t>
            </w:r>
          </w:p>
        </w:tc>
      </w:tr>
    </w:tbl>
    <w:p>
      <w:pPr>
        <w:adjustRightInd w:val="0"/>
        <w:snapToGrid w:val="0"/>
        <w:spacing w:line="500" w:lineRule="exact"/>
        <w:rPr>
          <w:rFonts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（五）职业发展</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Style w:val="30"/>
          <w:rFonts w:hint="eastAsia" w:ascii="宋体" w:hAnsi="宋体" w:eastAsia="宋体" w:cs="宋体"/>
          <w:color w:val="auto"/>
          <w:sz w:val="28"/>
          <w:szCs w:val="28"/>
        </w:rPr>
      </w:pPr>
      <w:r>
        <w:rPr>
          <w:rStyle w:val="30"/>
          <w:rFonts w:hint="eastAsia" w:ascii="宋体" w:hAnsi="宋体" w:eastAsia="宋体" w:cs="宋体"/>
          <w:color w:val="auto"/>
          <w:sz w:val="28"/>
          <w:szCs w:val="28"/>
        </w:rPr>
        <w:t>学校坚持“成才先成人”的教育理念，</w:t>
      </w:r>
      <w:r>
        <w:rPr>
          <w:rFonts w:hint="eastAsia" w:ascii="宋体" w:hAnsi="宋体" w:eastAsia="宋体" w:cs="宋体"/>
          <w:color w:val="auto"/>
          <w:sz w:val="28"/>
          <w:szCs w:val="28"/>
        </w:rPr>
        <w:t>以学生发展为根本，以教学质量为核心，</w:t>
      </w:r>
      <w:r>
        <w:rPr>
          <w:rStyle w:val="30"/>
          <w:rFonts w:hint="eastAsia" w:ascii="宋体" w:hAnsi="宋体" w:eastAsia="宋体" w:cs="宋体"/>
          <w:color w:val="auto"/>
          <w:sz w:val="28"/>
          <w:szCs w:val="28"/>
        </w:rPr>
        <w:t>注重学生综合素养和职业能力的培养。在选择性课改的引领下，根据学生身心发展规律， 通过职业生涯规划、心理健康等课程教学以及德育实践、创新创业、职业体验、职业岗位见习、专业技能竞赛、临床实习、顶岗实习等教育教学环节， 塑造务实、人本、创新、精英、奉献的“金凤凰”。学生学习能力、岗位适应能力，岗位迁移能力、创新创业能力、升学能力等得到了不断增强。</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left"/>
        <w:textAlignment w:val="auto"/>
        <w:rPr>
          <w:rStyle w:val="30"/>
          <w:rFonts w:hint="eastAsia" w:ascii="宋体" w:hAnsi="宋体" w:eastAsia="宋体" w:cs="宋体"/>
          <w:color w:val="auto"/>
          <w:sz w:val="28"/>
          <w:szCs w:val="28"/>
        </w:rPr>
      </w:pPr>
      <w:r>
        <w:rPr>
          <w:rStyle w:val="30"/>
          <w:rFonts w:hint="eastAsia" w:ascii="宋体" w:hAnsi="宋体" w:eastAsia="宋体" w:cs="宋体"/>
          <w:color w:val="auto"/>
          <w:sz w:val="28"/>
          <w:szCs w:val="28"/>
        </w:rPr>
        <w:t>2017 级322名护理专业学生参加全国护理执业资格考试，共有320名同学合格，通过率达99.38%。毕业生用人单位满意度调查满意率达 98.3%；对口高考升学率达 81.13%。2017级学生</w:t>
      </w:r>
      <w:r>
        <w:rPr>
          <w:rStyle w:val="30"/>
          <w:rFonts w:hint="eastAsia" w:ascii="宋体" w:hAnsi="宋体" w:cs="宋体"/>
          <w:color w:val="auto"/>
          <w:sz w:val="28"/>
          <w:szCs w:val="28"/>
          <w:lang w:val="en-US" w:eastAsia="zh-CN"/>
        </w:rPr>
        <w:t>602</w:t>
      </w:r>
      <w:r>
        <w:rPr>
          <w:rStyle w:val="30"/>
          <w:rFonts w:hint="eastAsia" w:ascii="宋体" w:hAnsi="宋体" w:eastAsia="宋体" w:cs="宋体"/>
          <w:color w:val="auto"/>
          <w:sz w:val="28"/>
          <w:szCs w:val="28"/>
        </w:rPr>
        <w:t>人参加浙江省2020年单招单考，上线率100%，43名学生进入全省各专业前100名，共有102人本科上线:医护类本科67人，药学本科20人，文秘本科13人，财会本科1人，工艺美术1人。全校 3+2、五年一贯制、单考单招（含高职扩招）升入高等教育</w:t>
      </w:r>
      <w:r>
        <w:rPr>
          <w:rStyle w:val="30"/>
          <w:rFonts w:hint="eastAsia" w:ascii="宋体" w:hAnsi="宋体" w:eastAsia="宋体" w:cs="宋体"/>
          <w:color w:val="auto"/>
          <w:sz w:val="28"/>
          <w:szCs w:val="28"/>
          <w:lang w:val="en-US" w:eastAsia="zh-CN"/>
        </w:rPr>
        <w:t>1020</w:t>
      </w:r>
      <w:r>
        <w:rPr>
          <w:rStyle w:val="30"/>
          <w:rFonts w:hint="eastAsia" w:ascii="宋体" w:hAnsi="宋体" w:eastAsia="宋体" w:cs="宋体"/>
          <w:color w:val="auto"/>
          <w:sz w:val="28"/>
          <w:szCs w:val="28"/>
        </w:rPr>
        <w:t xml:space="preserve">人，占 17级学生总数的 </w:t>
      </w:r>
      <w:r>
        <w:rPr>
          <w:rStyle w:val="30"/>
          <w:rFonts w:hint="eastAsia" w:ascii="宋体" w:hAnsi="宋体" w:eastAsia="宋体" w:cs="宋体"/>
          <w:color w:val="auto"/>
          <w:sz w:val="28"/>
          <w:szCs w:val="28"/>
          <w:lang w:val="en-US" w:eastAsia="zh-CN"/>
        </w:rPr>
        <w:t>84.93</w:t>
      </w:r>
      <w:r>
        <w:rPr>
          <w:rStyle w:val="30"/>
          <w:rFonts w:hint="eastAsia" w:ascii="宋体" w:hAnsi="宋体" w:eastAsia="宋体" w:cs="宋体"/>
          <w:color w:val="auto"/>
          <w:sz w:val="28"/>
          <w:szCs w:val="28"/>
        </w:rPr>
        <w:t>%。升入高校学生综合素养好，专业技能扎实，受到宁波卫生职业技术学院、宁波医药</w:t>
      </w:r>
      <w:r>
        <w:rPr>
          <w:rFonts w:hint="eastAsia" w:ascii="宋体" w:hAnsi="宋体" w:eastAsia="宋体" w:cs="宋体"/>
          <w:color w:val="auto"/>
          <w:sz w:val="28"/>
          <w:szCs w:val="28"/>
        </w:rPr>
        <w:t>高等专科学校</w:t>
      </w:r>
      <w:r>
        <w:rPr>
          <w:rFonts w:hint="eastAsia" w:ascii="宋体" w:hAnsi="宋体" w:cs="宋体"/>
          <w:color w:val="auto"/>
          <w:sz w:val="28"/>
          <w:szCs w:val="28"/>
          <w:lang w:eastAsia="zh-CN"/>
        </w:rPr>
        <w:t>、</w:t>
      </w:r>
      <w:r>
        <w:rPr>
          <w:rFonts w:hint="eastAsia" w:ascii="宋体" w:hAnsi="宋体" w:eastAsia="宋体" w:cs="宋体"/>
          <w:color w:val="auto"/>
          <w:sz w:val="28"/>
          <w:szCs w:val="28"/>
        </w:rPr>
        <w:t>舟山旅游与健康职业技术学院</w:t>
      </w:r>
      <w:r>
        <w:rPr>
          <w:rStyle w:val="30"/>
          <w:rFonts w:hint="eastAsia" w:ascii="宋体" w:hAnsi="宋体" w:eastAsia="宋体" w:cs="宋体"/>
          <w:color w:val="auto"/>
          <w:sz w:val="28"/>
          <w:szCs w:val="28"/>
        </w:rPr>
        <w:t>等高校的好评。</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三、质量保障措施</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（一）专业动态调整</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坚持全日制教育与社会培训并举，中专教育与“中高职衔接”教育并重，打造以护理、康复治疗技术为龙头的卫生类专业群，以文秘、会计为主干的现代服务类专业群。设有护理、康复治疗技术、药学、中药、医学检验、药品食品检验、文秘、会计电算化等8个专业。其中五年一贯制护理、五年一贯制康复治疗技术、五年一贯制医学检验、3+2药品食品检验、五年一贯制中药分别与宁波卫生职业技术学院、嘉兴职业技术学院、浙江医药高等专科学校等长期合作办学，2016年开始与舟山旅游与健康职业技术学院合作，2018年开始与绍兴职业技术学院合作，设五年一贯制护理专业。2017年，配合联办院校五年一贯制办学工作的梳理，调整五年一贯护理宁波班，五年一贯护理杭州班，五年一贯药品食品检验、五年一贯中药及药剂专业的教学计划。根据新课改的规则，及时调整参加高职考各专业的教学计划。</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2015年学校为顺应地区“国家数字卫生”发展优势，始设卫生信息管理专业，招收两届学生。2017年，考虑毕业就业压力，暂停招。</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（二）教育教学改革</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1.选择性课程改革</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按上级要求积极开展选择性课程改革，选修课程面向全体学生开放。学校重点建设护理职业素养类选修微课程，以提高护生美学、人文、尊重、沟通、合作、规范等方面的素养，树立优质护理理念。主要包括三个模块的课程,礼仪沟通模块、护理美学模块、通识技能模块。开发了120个选修课程，根据内容打包成12个课程包并汇编成册，选修内容涵盖“传统与乡土”“养生保健”“科普与健康”“礼仪与沟通”等12个方面。同时全校实施体育项目选修。设形体、篮球、足球、羽毛球、排球等选修课程，</w:t>
      </w:r>
      <w:bookmarkStart w:id="14" w:name="OLE_LINK1"/>
      <w:r>
        <w:rPr>
          <w:rFonts w:hint="eastAsia" w:ascii="宋体" w:hAnsi="宋体" w:eastAsia="宋体" w:cs="宋体"/>
          <w:color w:val="auto"/>
          <w:sz w:val="28"/>
          <w:szCs w:val="28"/>
        </w:rPr>
        <w:t>课堂教学更加生动，富有实效，学生的体育兴趣和特长得到更好的发挥和培养。</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2.现代学徒制</w:t>
      </w:r>
    </w:p>
    <w:bookmarkEnd w:id="14"/>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（1）制定符合现代学徒制课程。学校与市康复医院合作试点“现代学徒制”。20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w:t>
      </w:r>
      <w:r>
        <w:rPr>
          <w:rFonts w:hint="eastAsia" w:ascii="宋体" w:hAnsi="宋体" w:eastAsia="宋体" w:cs="宋体"/>
          <w:color w:val="auto"/>
          <w:sz w:val="28"/>
          <w:szCs w:val="28"/>
          <w:lang w:eastAsia="zh-CN"/>
        </w:rPr>
        <w:t>安排</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名康复治疗技术实习生与市康复医院的康复治疗师一对一结对师徒，为期一年。</w:t>
      </w:r>
      <w:r>
        <w:rPr>
          <w:rFonts w:hint="eastAsia" w:ascii="宋体" w:hAnsi="宋体" w:eastAsia="宋体" w:cs="宋体"/>
          <w:color w:val="auto"/>
          <w:sz w:val="28"/>
          <w:szCs w:val="28"/>
          <w:lang w:eastAsia="zh-CN"/>
        </w:rPr>
        <w:t>明确培养目标、任务及职责</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转变人才培养模式。学校借附属康复医院资源优势，转变人才培养模式。医院为卫生专业学生提供全真职业环境，接收护理、康复治疗技术、药剂等专业学生“工学结合”、全真实践。该实训基地现已评为“国家级实训基地”，从硬件上为现代学徒制“产教融合”这一培养模式提供了有力载体和有效实现形式。康复治疗技术专业学生每周至少半天时间在康复医院进行全真实践，由康复治疗师手把手带教；护理专业学生通过利用晨、午间和周末时间以志愿者身份为病人提供生活护理、心理护理等；药剂、医学检验专业学生每天安排2-4名学生在工作高峰期时进科室学习、实践锻炼，以加深学生对医院、所学专业的认识，加强学生操作能力、沟通能力的培养。每年院校合作，共同培养10-15名康复专业学生，接收学校康复、护理、药剂、医检等卫生类专业学生</w:t>
      </w:r>
      <w:bookmarkStart w:id="15" w:name="OLE_LINK2"/>
      <w:r>
        <w:rPr>
          <w:rFonts w:hint="eastAsia" w:ascii="宋体" w:hAnsi="宋体" w:eastAsia="宋体" w:cs="宋体"/>
          <w:color w:val="auto"/>
          <w:sz w:val="28"/>
          <w:szCs w:val="28"/>
        </w:rPr>
        <w:t>实习实训</w:t>
      </w:r>
      <w:bookmarkEnd w:id="15"/>
      <w:r>
        <w:rPr>
          <w:rFonts w:hint="eastAsia" w:ascii="宋体" w:hAnsi="宋体" w:eastAsia="宋体" w:cs="宋体"/>
          <w:color w:val="auto"/>
          <w:sz w:val="28"/>
          <w:szCs w:val="28"/>
        </w:rPr>
        <w:t>近</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000人次。</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（3）加强专业教师人才培养。落实教师“双执业”资格，从理论到实践，实现岗位交替，实现真正意义上的“双元制”教学。</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3.信息化教学</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建立了以共享“\\192.168.100.9”和FTP相结合的资源库平台，资源库的更新和修改由各个教研组长负责，各个教研组的资源包括课件、教案、论文、课题、说课、微课、微型课等。资源库目前收集有12个教研组的课件660余个、教案1000余份、论文100多篇、课题52个。有教学视频、光盘等影音材料100余盘。主干课程、护考模拟系统等建有题库，题量达10000余题。这些资源库的内容在不断地增加和更新。学校计算机组开发自动随机抽题系统：涵盖各个专业组，如护理抽题系统（护理学基础、内护、外护、儿护等）、医药抽题系统（解剖学、生理学、药学、免病学等）。</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学校每个教室多媒体设备均可实现远程桌面辅助教学功能。在现代化实训设施方面，拥有仿真的医疗诊断系统、心肺复苏摸拟人系统、静脉输液高仿真装置、高级智能护理人、全自动生化分析仪、全自动血球分析仪、康复机器人、脑循环系统、彩色多普勒超声诊断仪、智能温热牵引系统等，满足现代化教育教学的需要。</w:t>
      </w:r>
      <w:r>
        <w:rPr>
          <w:rFonts w:hint="eastAsia" w:ascii="宋体" w:hAnsi="宋体" w:eastAsia="宋体" w:cs="宋体"/>
          <w:color w:val="auto"/>
          <w:sz w:val="28"/>
          <w:szCs w:val="28"/>
          <w:lang w:val="en-US" w:eastAsia="zh-CN"/>
        </w:rPr>
        <w:t>2020年度，全新装修了学校实验大楼，新建了2 个智慧教室，极大地改善了实训</w:t>
      </w:r>
      <w:r>
        <w:rPr>
          <w:rFonts w:hint="eastAsia" w:ascii="宋体" w:hAnsi="宋体" w:cs="宋体"/>
          <w:color w:val="auto"/>
          <w:sz w:val="28"/>
          <w:szCs w:val="28"/>
          <w:lang w:val="en-US" w:eastAsia="zh-CN"/>
        </w:rPr>
        <w:t>和教学</w:t>
      </w:r>
      <w:r>
        <w:rPr>
          <w:rFonts w:hint="eastAsia" w:ascii="宋体" w:hAnsi="宋体" w:eastAsia="宋体" w:cs="宋体"/>
          <w:color w:val="auto"/>
          <w:sz w:val="28"/>
          <w:szCs w:val="28"/>
          <w:lang w:val="en-US" w:eastAsia="zh-CN"/>
        </w:rPr>
        <w:t>条件。</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2020年</w:t>
      </w:r>
      <w:r>
        <w:rPr>
          <w:rFonts w:hint="eastAsia" w:ascii="宋体" w:hAnsi="宋体" w:eastAsia="宋体" w:cs="宋体"/>
          <w:color w:val="auto"/>
          <w:sz w:val="28"/>
          <w:szCs w:val="28"/>
        </w:rPr>
        <w:t>疫情期间</w:t>
      </w:r>
      <w:r>
        <w:rPr>
          <w:rFonts w:hint="eastAsia" w:ascii="宋体" w:hAnsi="宋体" w:eastAsia="宋体" w:cs="宋体"/>
          <w:color w:val="auto"/>
          <w:sz w:val="28"/>
          <w:szCs w:val="28"/>
          <w:lang w:eastAsia="zh-CN"/>
        </w:rPr>
        <w:t>，学校积极组织全校教师</w:t>
      </w:r>
      <w:r>
        <w:rPr>
          <w:rFonts w:hint="eastAsia" w:ascii="宋体" w:hAnsi="宋体" w:eastAsia="宋体" w:cs="宋体"/>
          <w:color w:val="auto"/>
          <w:sz w:val="28"/>
          <w:szCs w:val="28"/>
        </w:rPr>
        <w:t>使用钉钉直播、腾讯课堂等开展网络授课</w:t>
      </w:r>
      <w:r>
        <w:rPr>
          <w:rFonts w:hint="eastAsia" w:ascii="宋体" w:hAnsi="宋体" w:eastAsia="宋体" w:cs="宋体"/>
          <w:color w:val="auto"/>
          <w:sz w:val="28"/>
          <w:szCs w:val="28"/>
          <w:lang w:eastAsia="zh-CN"/>
        </w:rPr>
        <w:t>，实现了停课不停学，受到</w:t>
      </w:r>
      <w:r>
        <w:rPr>
          <w:rFonts w:hint="eastAsia" w:ascii="宋体" w:hAnsi="宋体" w:eastAsia="宋体" w:cs="宋体"/>
          <w:color w:val="auto"/>
          <w:sz w:val="28"/>
          <w:szCs w:val="28"/>
          <w:lang w:val="en-US" w:eastAsia="zh-CN"/>
        </w:rPr>
        <w:t>学生及家长的好评。</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（三）教师培养培训</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教师专业发展平台选课在教师自愿选课的基础上，学校根据总体安排和教师的实际工作任务进行适当调整，兼顾工学矛盾，在规定的时间内顺利完成平台选课。2020年度因为疫情防控，培训平台选课项目有限，我校教师按需进行了选课培训。2020年，参加国家级网络培训37人次；参加省级培训（包括指令性培训）6人次；参加嘉兴市级培训71人次；参加桐乡市级培训322人次。每位教师均参加了六次以上的校本研修。同时开展“书香桐综”读书活动，倡导读名著、读经典，努力构建学习型学校；开展“师徒结对”及第十一轮、第十二轮“三心教育”活动工作，促进青年教师的茁壮成长。</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2020年度，学校继续推进名师、市级学科带头人、骨干教师培养工程。杨孝燕、韩丽雅、邱宝龙、沈永利、朱一芳等5位老师被评为桐乡市学科带头人。有9名老师被评为桐乡市级骨干教师。</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积极组织教师参加2020年职业学校文化课、专业课教师各级各类职业能力大赛。其中我校王静慧在教育部主办的全国中等职业学校班主任能力大赛中获二等奖；时会老师在2020年浙江省中等职业学校职业能力大赛成长导师项目中获二等奖，计亚萍老师在2020年全省中等职业学校文化课、专业课教师信息化教学设计和说课大赛中获二等奖，冷晓梅的职业生涯案例获浙江省中职学校职业生涯教育优秀案例；在2020年嘉兴市职业院校教师教学能力比赛中获二等奖4人、三等奖11人，在 2020年嘉兴市职业学校文化课、专业课教师信息化教学设计与说课大赛中，获一等奖1人、二等奖1人、三等奖2人，在2020年度嘉兴市职业学校教师职业素养竞赛（成长导师项目）中获一等奖1人、三等奖1人；在2020年嘉兴市职业学校各专业教师命题比赛中获一等奖1人、二等奖2人、三等奖1人；在2020年嘉兴市职业学校“多彩课堂”评比中，获二等奖7人、三等奖7人；在2020年嘉兴市职业学校财会专业教师会计电算化比赛中获一等奖1人、二等奖1人、三等奖1人，在2020年嘉兴市职业学校财经类专业教师会计手工技能比赛中获三等奖1人。</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2020年学校立项桐乡市级以上课题30项。其中，2020年浙江省中华职业教育科研项目4项，宁波卫生职业技术学院中高职一体化教育联盟4项，嘉兴市教育学会2020年重点调研课题1项，嘉兴市2020年教育科研规划课题4项；嘉兴市2020年教育科研规划微型课题4项；有13项课题被立为桐乡市级课题。</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马建强老师的课题成果获2020年浙江省职业教育与成人教育优秀教科研成果二等奖，吕大健、魏冬、虞夏骏三位老师的课题成果获2020年浙江省职业教育与成人教育优秀教科研成果三等奖。</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2020年，学校共有55篇论文获奖，有25篇论文在各类杂志上发表。</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年，马建强老师</w:t>
      </w:r>
      <w:r>
        <w:rPr>
          <w:rFonts w:hint="eastAsia" w:ascii="宋体" w:hAnsi="宋体" w:eastAsia="宋体" w:cs="宋体"/>
          <w:color w:val="auto"/>
          <w:sz w:val="28"/>
          <w:szCs w:val="28"/>
          <w:lang w:val="en-US" w:eastAsia="zh-CN"/>
        </w:rPr>
        <w:t>被科学出版社聘为中职全国规划教材《临床医学概要》主编，另</w:t>
      </w:r>
      <w:r>
        <w:rPr>
          <w:rFonts w:hint="eastAsia" w:ascii="宋体" w:hAnsi="宋体" w:cs="宋体"/>
          <w:color w:val="auto"/>
          <w:sz w:val="28"/>
          <w:szCs w:val="28"/>
          <w:lang w:val="en-US" w:eastAsia="zh-CN"/>
        </w:rPr>
        <w:t>有</w:t>
      </w:r>
      <w:r>
        <w:rPr>
          <w:rFonts w:hint="eastAsia" w:ascii="宋体" w:hAnsi="宋体" w:eastAsia="宋体" w:cs="宋体"/>
          <w:color w:val="auto"/>
          <w:sz w:val="28"/>
          <w:szCs w:val="28"/>
          <w:lang w:val="en-US" w:eastAsia="zh-CN"/>
        </w:rPr>
        <w:t>9人受邀参编国家规划教材</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3位教师参与“（全国）老年康复职业技能等级证书试点项目之老年康复职业技能等级证书初级教材”的编写，1 人副主编华东科技大学出版社全国高等职业教育康复治疗技术规划教材《康复心理学》（配套有数字化资源）正式出版。彭辰、杨洋各发明实用新型专利一项，马建强参与发明实用新型专利二项。</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（四）规范管理情况</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1.教学管理</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学校制定适合本校实际教学情况的一系列教学质量管理体系。教学质量监控组织系统主要包括教学副校长、教务处、 专业部和教研组、学校督导处等相关机构相互协作，同时每学期由教务处组织学生评教反馈教师授课情况。教务处起主要作用，它在分管副校长领导下对全校教学工作进行组织和调度，是学校教学质量监控的组织者和实施者，是监控体系运行的职能部门。质量监控运行系统。教学质量管理制度是进行有效监控的先决条件，针对教、学、管三个层面的每一个环节要制定完整的管理制度， 切实保证做事有准则，处理有标准，做到“有法可依”。我校建立了新教师岗前培训与师徒结对制度、教学常规检查制度、教学督导制度、听课制度、考试制度、教学质量奖励制度、学生评教制度。</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在学校一系列行之有效的教学质量监控体系的保障下，在全体师生的共同努力下，我校近几年在各类考试中屡创佳绩。在浙江省高职单考单招考试中，我校近年来成绩喜人，在同类学校中名列前茅。</w:t>
      </w:r>
      <w:r>
        <w:rPr>
          <w:rStyle w:val="30"/>
          <w:rFonts w:hint="eastAsia" w:ascii="宋体" w:hAnsi="宋体" w:eastAsia="宋体" w:cs="宋体"/>
          <w:color w:val="auto"/>
          <w:sz w:val="28"/>
          <w:szCs w:val="28"/>
        </w:rPr>
        <w:t>2017级学生463人参加浙江省2020年单招单考，上线率100%，43名学生进入全省各专业前100名，共有102人本科上线:医护类本科67人，药学本科20人，文秘本科13人，财会本科1人，工艺美术1人。</w:t>
      </w:r>
      <w:r>
        <w:rPr>
          <w:rFonts w:hint="eastAsia" w:ascii="宋体" w:hAnsi="宋体" w:eastAsia="宋体" w:cs="宋体"/>
          <w:color w:val="auto"/>
          <w:sz w:val="28"/>
          <w:szCs w:val="28"/>
        </w:rPr>
        <w:t>（见表8）。20</w:t>
      </w:r>
      <w:r>
        <w:rPr>
          <w:rStyle w:val="30"/>
          <w:rFonts w:hint="eastAsia" w:ascii="宋体" w:hAnsi="宋体" w:eastAsia="宋体" w:cs="宋体"/>
          <w:color w:val="auto"/>
          <w:sz w:val="28"/>
          <w:szCs w:val="28"/>
        </w:rPr>
        <w:t>17 级322名护理专业学生参加全国护理执业资格考试，共有320名同学合格，通过率达99.38%</w:t>
      </w:r>
      <w:r>
        <w:rPr>
          <w:rFonts w:hint="eastAsia" w:ascii="宋体" w:hAnsi="宋体" w:eastAsia="宋体" w:cs="宋体"/>
          <w:color w:val="auto"/>
          <w:sz w:val="28"/>
          <w:szCs w:val="28"/>
        </w:rPr>
        <w:t>，位居全国前列。</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楷体" w:hAnsi="楷体" w:eastAsia="楷体" w:cs="Times New Roman"/>
          <w:color w:val="auto"/>
          <w:sz w:val="24"/>
        </w:rPr>
      </w:pPr>
      <w:r>
        <w:rPr>
          <w:rFonts w:hint="eastAsia" w:ascii="楷体" w:hAnsi="楷体" w:eastAsia="楷体" w:cs="Times New Roman"/>
          <w:color w:val="auto"/>
          <w:sz w:val="24"/>
        </w:rPr>
        <w:t>表8--2020高职考情况分析</w:t>
      </w:r>
    </w:p>
    <w:tbl>
      <w:tblPr>
        <w:tblStyle w:val="7"/>
        <w:tblW w:w="8294" w:type="dxa"/>
        <w:jc w:val="center"/>
        <w:tblLayout w:type="fixed"/>
        <w:tblCellMar>
          <w:top w:w="0" w:type="dxa"/>
          <w:left w:w="108" w:type="dxa"/>
          <w:bottom w:w="0" w:type="dxa"/>
          <w:right w:w="108" w:type="dxa"/>
        </w:tblCellMar>
      </w:tblPr>
      <w:tblGrid>
        <w:gridCol w:w="1658"/>
        <w:gridCol w:w="1659"/>
        <w:gridCol w:w="1659"/>
        <w:gridCol w:w="1658"/>
        <w:gridCol w:w="1660"/>
      </w:tblGrid>
      <w:tr>
        <w:tblPrEx>
          <w:tblCellMar>
            <w:top w:w="0" w:type="dxa"/>
            <w:left w:w="108" w:type="dxa"/>
            <w:bottom w:w="0" w:type="dxa"/>
            <w:right w:w="108" w:type="dxa"/>
          </w:tblCellMar>
        </w:tblPrEx>
        <w:trPr>
          <w:trHeight w:val="340" w:hRule="atLeast"/>
          <w:jc w:val="center"/>
        </w:trPr>
        <w:tc>
          <w:tcPr>
            <w:tcW w:w="16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专业</w:t>
            </w:r>
          </w:p>
        </w:tc>
        <w:tc>
          <w:tcPr>
            <w:tcW w:w="16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我校参考人数</w:t>
            </w:r>
          </w:p>
        </w:tc>
        <w:tc>
          <w:tcPr>
            <w:tcW w:w="1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上线率</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全省前100名</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备注</w:t>
            </w:r>
          </w:p>
        </w:tc>
      </w:tr>
      <w:tr>
        <w:tblPrEx>
          <w:tblCellMar>
            <w:top w:w="0" w:type="dxa"/>
            <w:left w:w="108" w:type="dxa"/>
            <w:bottom w:w="0" w:type="dxa"/>
            <w:right w:w="108" w:type="dxa"/>
          </w:tblCellMar>
        </w:tblPrEx>
        <w:trPr>
          <w:trHeight w:val="340" w:hRule="atLeast"/>
          <w:jc w:val="center"/>
        </w:trPr>
        <w:tc>
          <w:tcPr>
            <w:tcW w:w="16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医护</w:t>
            </w:r>
          </w:p>
        </w:tc>
        <w:tc>
          <w:tcPr>
            <w:tcW w:w="16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283</w:t>
            </w:r>
          </w:p>
        </w:tc>
        <w:tc>
          <w:tcPr>
            <w:tcW w:w="1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100%</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14</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67人本科</w:t>
            </w:r>
          </w:p>
        </w:tc>
      </w:tr>
      <w:tr>
        <w:tblPrEx>
          <w:tblCellMar>
            <w:top w:w="0" w:type="dxa"/>
            <w:left w:w="108" w:type="dxa"/>
            <w:bottom w:w="0" w:type="dxa"/>
            <w:right w:w="108" w:type="dxa"/>
          </w:tblCellMar>
        </w:tblPrEx>
        <w:trPr>
          <w:trHeight w:val="340" w:hRule="atLeast"/>
          <w:jc w:val="center"/>
        </w:trPr>
        <w:tc>
          <w:tcPr>
            <w:tcW w:w="16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药学</w:t>
            </w:r>
          </w:p>
        </w:tc>
        <w:tc>
          <w:tcPr>
            <w:tcW w:w="16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82</w:t>
            </w:r>
          </w:p>
        </w:tc>
        <w:tc>
          <w:tcPr>
            <w:tcW w:w="1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100%</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22</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20人本科</w:t>
            </w:r>
          </w:p>
        </w:tc>
      </w:tr>
      <w:tr>
        <w:tblPrEx>
          <w:tblCellMar>
            <w:top w:w="0" w:type="dxa"/>
            <w:left w:w="108" w:type="dxa"/>
            <w:bottom w:w="0" w:type="dxa"/>
            <w:right w:w="108" w:type="dxa"/>
          </w:tblCellMar>
        </w:tblPrEx>
        <w:trPr>
          <w:trHeight w:val="340" w:hRule="atLeast"/>
          <w:jc w:val="center"/>
        </w:trPr>
        <w:tc>
          <w:tcPr>
            <w:tcW w:w="16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文秘</w:t>
            </w:r>
          </w:p>
        </w:tc>
        <w:tc>
          <w:tcPr>
            <w:tcW w:w="16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39</w:t>
            </w:r>
          </w:p>
        </w:tc>
        <w:tc>
          <w:tcPr>
            <w:tcW w:w="1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100%</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6</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13人本科</w:t>
            </w:r>
          </w:p>
        </w:tc>
      </w:tr>
      <w:tr>
        <w:tblPrEx>
          <w:tblCellMar>
            <w:top w:w="0" w:type="dxa"/>
            <w:left w:w="108" w:type="dxa"/>
            <w:bottom w:w="0" w:type="dxa"/>
            <w:right w:w="108" w:type="dxa"/>
          </w:tblCellMar>
        </w:tblPrEx>
        <w:trPr>
          <w:trHeight w:val="340" w:hRule="atLeast"/>
          <w:jc w:val="center"/>
        </w:trPr>
        <w:tc>
          <w:tcPr>
            <w:tcW w:w="16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财会</w:t>
            </w:r>
          </w:p>
        </w:tc>
        <w:tc>
          <w:tcPr>
            <w:tcW w:w="16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49</w:t>
            </w:r>
          </w:p>
        </w:tc>
        <w:tc>
          <w:tcPr>
            <w:tcW w:w="1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ascii="宋体" w:hAnsi="宋体" w:cs="宋体"/>
                <w:b w:val="0"/>
                <w:bCs/>
                <w:color w:val="auto"/>
                <w:kern w:val="0"/>
                <w:sz w:val="24"/>
                <w:szCs w:val="24"/>
              </w:rPr>
              <w:t>100%</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1人本科</w:t>
            </w:r>
          </w:p>
        </w:tc>
      </w:tr>
      <w:tr>
        <w:tblPrEx>
          <w:tblCellMar>
            <w:top w:w="0" w:type="dxa"/>
            <w:left w:w="108" w:type="dxa"/>
            <w:bottom w:w="0" w:type="dxa"/>
            <w:right w:w="108" w:type="dxa"/>
          </w:tblCellMar>
        </w:tblPrEx>
        <w:trPr>
          <w:trHeight w:val="340" w:hRule="atLeast"/>
          <w:jc w:val="center"/>
        </w:trPr>
        <w:tc>
          <w:tcPr>
            <w:tcW w:w="16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工美艺术类</w:t>
            </w:r>
          </w:p>
        </w:tc>
        <w:tc>
          <w:tcPr>
            <w:tcW w:w="16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10</w:t>
            </w:r>
          </w:p>
        </w:tc>
        <w:tc>
          <w:tcPr>
            <w:tcW w:w="1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100%</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0</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1人本科</w:t>
            </w:r>
          </w:p>
        </w:tc>
      </w:tr>
      <w:tr>
        <w:tblPrEx>
          <w:tblCellMar>
            <w:top w:w="0" w:type="dxa"/>
            <w:left w:w="108" w:type="dxa"/>
            <w:bottom w:w="0" w:type="dxa"/>
            <w:right w:w="108" w:type="dxa"/>
          </w:tblCellMar>
        </w:tblPrEx>
        <w:trPr>
          <w:trHeight w:val="340" w:hRule="atLeast"/>
          <w:jc w:val="center"/>
        </w:trPr>
        <w:tc>
          <w:tcPr>
            <w:tcW w:w="16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合计</w:t>
            </w:r>
          </w:p>
        </w:tc>
        <w:tc>
          <w:tcPr>
            <w:tcW w:w="165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463</w:t>
            </w:r>
          </w:p>
        </w:tc>
        <w:tc>
          <w:tcPr>
            <w:tcW w:w="165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100%</w:t>
            </w:r>
          </w:p>
        </w:tc>
        <w:tc>
          <w:tcPr>
            <w:tcW w:w="1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val="0"/>
                <w:bCs/>
                <w:color w:val="auto"/>
                <w:kern w:val="0"/>
                <w:sz w:val="24"/>
                <w:szCs w:val="24"/>
              </w:rPr>
            </w:pPr>
            <w:r>
              <w:rPr>
                <w:rFonts w:hint="eastAsia" w:ascii="宋体" w:hAnsi="宋体" w:cs="宋体"/>
                <w:b w:val="0"/>
                <w:bCs/>
                <w:color w:val="auto"/>
                <w:kern w:val="0"/>
                <w:sz w:val="24"/>
                <w:szCs w:val="24"/>
              </w:rPr>
              <w:t>43</w:t>
            </w:r>
          </w:p>
        </w:tc>
        <w:tc>
          <w:tcPr>
            <w:tcW w:w="16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val="0"/>
                <w:bCs/>
                <w:color w:val="auto"/>
                <w:kern w:val="0"/>
                <w:sz w:val="24"/>
                <w:szCs w:val="24"/>
              </w:rPr>
            </w:pPr>
            <w:r>
              <w:rPr>
                <w:rFonts w:hint="eastAsia" w:ascii="宋体" w:hAnsi="宋体" w:cs="宋体"/>
                <w:b w:val="0"/>
                <w:bCs/>
                <w:color w:val="auto"/>
                <w:kern w:val="0"/>
                <w:sz w:val="24"/>
                <w:szCs w:val="24"/>
              </w:rPr>
              <w:t>102</w:t>
            </w:r>
          </w:p>
        </w:tc>
      </w:tr>
    </w:tbl>
    <w:p>
      <w:pPr>
        <w:adjustRightInd w:val="0"/>
        <w:snapToGrid w:val="0"/>
        <w:rPr>
          <w:rFonts w:asciiTheme="minorEastAsia" w:hAnsiTheme="minorEastAsia" w:eastAsiaTheme="minorEastAsia"/>
          <w:sz w:val="24"/>
        </w:rPr>
      </w:pPr>
    </w:p>
    <w:p>
      <w:pPr>
        <w:widowControl/>
        <w:adjustRightInd w:val="0"/>
        <w:snapToGrid w:val="0"/>
        <w:spacing w:line="312"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学生管理。德育管理日趋规范，模式日益创新。以文明守纪教育为基础，以感恩教育、法制教育和诚信教育为重点，以“常规、礼仪、安全、节约”为主题教育，狠抓落实学校德育工作的“双基工程”，优化德育过程，加强德育队伍建设、班级建设和德育阵地建设，创新并落实学生道德实践周和教室、寝室7S评比，全面提高学生的综合素质。充分发挥四个专业部部主任的主管作用，发挥各部副主任的协管作用，实现优势互补，具体落实、共同管理好专业部日常内务。加强班主任队伍建设、宿管队伍建设、共青团队伍建设，巩固学生会队伍建设，形成有力的德育管理体系。加强学生教育管理工作，深化学生“三高一特”的培养目标。完善德育管理网络，形成有效德育体系。建构落实“安全、放心、有序”的行政、教室、学生（学生会干部、值周班）三级值日体系，加强日常巡查与监管纠偏，实现全时段，全区域管理。着眼于培养学生的领导力，建好学生会、班干部、志愿者三支队伍，让学生成为日常管理的主力军。</w:t>
      </w:r>
    </w:p>
    <w:p>
      <w:pPr>
        <w:adjustRightInd w:val="0"/>
        <w:snapToGrid w:val="0"/>
        <w:spacing w:line="312" w:lineRule="auto"/>
        <w:ind w:firstLine="560" w:firstLineChars="200"/>
        <w:rPr>
          <w:rFonts w:asciiTheme="minorEastAsia" w:hAnsiTheme="minorEastAsia" w:eastAsiaTheme="minorEastAsia"/>
          <w:sz w:val="28"/>
          <w:szCs w:val="28"/>
          <w:highlight w:val="lightGray"/>
        </w:rPr>
      </w:pPr>
      <w:bookmarkStart w:id="16" w:name="OLE_LINK28"/>
      <w:r>
        <w:rPr>
          <w:rFonts w:hint="eastAsia" w:asciiTheme="minorEastAsia" w:hAnsiTheme="minorEastAsia" w:eastAsiaTheme="minorEastAsia"/>
          <w:sz w:val="28"/>
          <w:szCs w:val="28"/>
        </w:rPr>
        <w:t>3.财务管理。</w:t>
      </w:r>
      <w:r>
        <w:rPr>
          <w:rFonts w:hint="eastAsia" w:ascii="宋体" w:hAnsi="宋体"/>
          <w:sz w:val="28"/>
          <w:szCs w:val="28"/>
        </w:rPr>
        <w:t>学</w:t>
      </w:r>
      <w:bookmarkEnd w:id="16"/>
      <w:r>
        <w:rPr>
          <w:rFonts w:hint="eastAsia" w:ascii="宋体" w:hAnsi="宋体"/>
          <w:sz w:val="28"/>
          <w:szCs w:val="28"/>
        </w:rPr>
        <w:t>校严格遵照上级财务管理制度，落实“认识到位、责任到位、措施到位”三个到位。通过建设和加强财务管理制度，建立良好的财务管理秩序，提高财务服务保障。</w:t>
      </w: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合理安排收支预算，严格预算管理。本着“以收定支，量入为出”的原则，使预算更加切合实际，充分发挥在财务管理中的积极作用。在实际执行过程中，严格按照预算执行，每月编制好用款计划，充分体现了资金的使用效益，确保学校各项工作的顺利完成。</w:t>
      </w: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严管专项资金，做到专款专用。严格按照政府采购管理的相关制度，做好财政项目资金的合理使用，做到专款专用，绝不挪作他用，更好地服务学校，促进学校地健康发展。</w:t>
      </w: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做好日常的会计核算、会计监督和其他相关财务管理信息的核算、监督、报告工作，做好与税务、财政等有关部门的联系、沟通工作。进一步加强财务日常核算工作，从学校的每笔收支入手，严格执行国家相关的财经政策，保证学校财务工作的真实、完整，维护学校的整体利益。</w:t>
      </w:r>
      <w:bookmarkStart w:id="17" w:name="OLE_LINK27"/>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后勤管理。一是强化服务意识，努力做到“让全校师生满意，让学校领导满意，让学生家长满意”，确保教育教学工作的顺利开展。二是优化管理，创建平安、美丽校园。加强对师生（医务人员）安全知识的宣传、学习与培训；逐步健全和规范门卫的职能，进一步突出并加强校园“三防”建设，严格落实安全责任，在内部层层签订和落实安全责任，全力打造“平安、美丽校园”。三是精细管理，营造幸福校园。动员、组织全校师生共同参与、共同管理，将后勤工作的群众路线落到实处，使后勤管理更加接地气、更具实效性，切实提升师生在校的幸福指数。坚持以学校工作节奏为中心，做到并做好各级各类突发临时活动、工作的服务保障。四是科学管理，建设“节约型”校园。依据教学需求、学校实际，本着精打细算的原则，制订经费预算，力争少花钱，多办事。严格控制办公用品消耗和办公经费，加强节水节电的宣传和教育，营造浓厚的节俭氛围。加强固定资产财产的管理。做好物品采购、严格把好质量关。严格物品采购、审批、验收、入库、报销制度。加强校园绿化环境建设，不断美化、绿化校园。</w:t>
      </w:r>
    </w:p>
    <w:bookmarkEnd w:id="17"/>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安全管理。学校紧紧围绕“安全、稳定”这个中心，切实做好学校的各项安全工作。加强对师生安全知识的宣传、学习与培训，逐步健全和规范门卫职能，严格执行学校门卫管理规定（尤其是外来人员及车辆），把好人员进出关</w:t>
      </w:r>
      <w:r>
        <w:rPr>
          <w:rFonts w:asciiTheme="minorEastAsia" w:hAnsiTheme="minorEastAsia" w:eastAsiaTheme="minorEastAsia"/>
          <w:sz w:val="28"/>
          <w:szCs w:val="28"/>
        </w:rPr>
        <w:t>，同时做到在学生离校期间对校园进行巡视检查。</w:t>
      </w:r>
      <w:r>
        <w:rPr>
          <w:rFonts w:hint="eastAsia" w:asciiTheme="minorEastAsia" w:hAnsiTheme="minorEastAsia" w:eastAsiaTheme="minorEastAsia"/>
          <w:sz w:val="28"/>
          <w:szCs w:val="28"/>
        </w:rPr>
        <w:t>进一步突出并加强校园“三防”建设，以技防为学校重点部位重要安全防范手段，以物防为安全有效防范手段，以人防为安全动态管理手段，继续加强安全设备的投入和维护。强化安全检查，建立周检月查制度，对检查发现的问题及时整改，在源头上消除隐患。</w:t>
      </w:r>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6.科研管理。</w:t>
      </w:r>
      <w:bookmarkStart w:id="18" w:name="OLE_LINK13"/>
      <w:r>
        <w:rPr>
          <w:rFonts w:hint="eastAsia" w:asciiTheme="minorEastAsia" w:hAnsiTheme="minorEastAsia" w:eastAsiaTheme="minorEastAsia"/>
          <w:sz w:val="28"/>
          <w:szCs w:val="28"/>
        </w:rPr>
        <w:t>学校十分重视教科研工作，把教科研工作看作是提升学校整体水平、促进学校可持续发展的有效途径，并逐步形成了具有“桐卫”特色、符合学校发展实际的教科研体</w:t>
      </w:r>
      <w:bookmarkStart w:id="19" w:name="OLE_LINK12"/>
      <w:r>
        <w:rPr>
          <w:rFonts w:hint="eastAsia" w:asciiTheme="minorEastAsia" w:hAnsiTheme="minorEastAsia" w:eastAsiaTheme="minorEastAsia"/>
          <w:sz w:val="28"/>
          <w:szCs w:val="28"/>
        </w:rPr>
        <w:t>系</w:t>
      </w:r>
      <w:bookmarkEnd w:id="19"/>
      <w:r>
        <w:rPr>
          <w:rFonts w:hint="eastAsia" w:asciiTheme="minorEastAsia" w:hAnsiTheme="minorEastAsia" w:eastAsiaTheme="minorEastAsia"/>
          <w:sz w:val="28"/>
          <w:szCs w:val="28"/>
        </w:rPr>
        <w:t>。学校把教科研工作的着眼点放在教师科研水平的提高上，使教师们认识到投身教育科研是自身成长发展的需要。学校每学期召开一次全校性的教科研工作会议，总结一学期所取得的成绩，对在教科研工作方面表现突出的教师给予表彰和奖励。</w:t>
      </w:r>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制定了各类教科研制度及教科研三年规划。每学期对教师的教育科研进行量化考核，建立起教师业务档案。学校教科室制定了教科研工作中长期规划，积极开展教科研的日常管理及指导与服务工作。对每一位教师的教科研工作提出明确的任务和要求，各级学科带头人、骨干教师、教坛新秀、中高级教师等人人都要有论文、有课题，每位教师每学期撰写论文（案例、教学心得、教学设计等）不少于一篇，同时将教科研工作与各项评比、晋升挂钩。由于机构完善和制度健全，推动了学校教育科研工作向纵深发展。</w:t>
      </w:r>
      <w:bookmarkEnd w:id="18"/>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7.管理队伍建设</w:t>
      </w:r>
      <w:bookmarkStart w:id="20" w:name="OLE_LINK14"/>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学校现有党政领导班子成员</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人，中层干部</w:t>
      </w:r>
      <w:r>
        <w:rPr>
          <w:rFonts w:asciiTheme="minorEastAsia" w:hAnsiTheme="minorEastAsia" w:eastAsiaTheme="minorEastAsia"/>
          <w:sz w:val="28"/>
          <w:szCs w:val="28"/>
        </w:rPr>
        <w:t>32</w:t>
      </w:r>
      <w:r>
        <w:rPr>
          <w:rFonts w:hint="eastAsia" w:asciiTheme="minorEastAsia" w:hAnsiTheme="minorEastAsia" w:eastAsiaTheme="minorEastAsia"/>
          <w:sz w:val="28"/>
          <w:szCs w:val="28"/>
        </w:rPr>
        <w:t>人。学校实行能级管理，注重干部的培养和建设，努力打造一支政治上坚定、思想基础好、业务技能精、工作作风硬的骨干队伍。</w:t>
      </w:r>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要求中层干部要有较高的政治理论水平和管理水平；具有不计较个人得失、工作任劳任怨的职业道德。充分发挥中层干部的桥梁作用、纽带作用、骨干作用和模范表率作用，带动学校各项工作的进展，形成了学校良好的凝聚力。</w:t>
      </w:r>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学校推行中层干部竞聘上岗，公平、公正、公开地任用中层干部，增强了学校的生机和活力，激发广大中层干部爱岗敬业、恪尽职守、开拓进取精神。</w:t>
      </w:r>
    </w:p>
    <w:bookmarkEnd w:id="20"/>
    <w:p>
      <w:pPr>
        <w:adjustRightInd w:val="0"/>
        <w:snapToGrid w:val="0"/>
        <w:spacing w:line="312" w:lineRule="auto"/>
        <w:ind w:firstLine="560" w:firstLineChars="200"/>
        <w:rPr>
          <w:rFonts w:asciiTheme="minorEastAsia" w:hAnsiTheme="minorEastAsia" w:eastAsiaTheme="minorEastAsia"/>
          <w:sz w:val="28"/>
          <w:szCs w:val="28"/>
        </w:rPr>
      </w:pPr>
      <w:bookmarkStart w:id="21" w:name="OLE_LINK26"/>
      <w:r>
        <w:rPr>
          <w:rFonts w:hint="eastAsia" w:asciiTheme="minorEastAsia" w:hAnsiTheme="minorEastAsia" w:eastAsiaTheme="minorEastAsia"/>
          <w:sz w:val="28"/>
          <w:szCs w:val="28"/>
        </w:rPr>
        <w:t>8.管理信息化水平</w:t>
      </w:r>
      <w:bookmarkStart w:id="22" w:name="OLE_LINK15"/>
      <w:bookmarkStart w:id="23" w:name="OLE_LINK16"/>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信息化建设的规章制度齐全。网络基础设施建设配备了满足全校师生办公和学习使用的所有电脑多媒体设备。校园门户网站和内部网络安全稳定，有网络防病毒、信息过滤和入侵检测功能，建立了网络运行状态实时监测系统，能保证每个客户端对外网</w:t>
      </w:r>
      <w:r>
        <w:rPr>
          <w:rFonts w:asciiTheme="minorEastAsia" w:hAnsiTheme="minorEastAsia" w:eastAsiaTheme="minorEastAsia"/>
          <w:sz w:val="28"/>
          <w:szCs w:val="28"/>
        </w:rPr>
        <w:t>IP</w:t>
      </w:r>
      <w:r>
        <w:rPr>
          <w:rFonts w:hint="eastAsia" w:asciiTheme="minorEastAsia" w:hAnsiTheme="minorEastAsia" w:eastAsiaTheme="minorEastAsia"/>
          <w:sz w:val="28"/>
          <w:szCs w:val="28"/>
        </w:rPr>
        <w:t>的访问，有网络运行故障实时报告系统。</w:t>
      </w:r>
    </w:p>
    <w:bookmarkEnd w:id="21"/>
    <w:bookmarkEnd w:id="22"/>
    <w:bookmarkEnd w:id="23"/>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实现了“校园一卡通”系统的应用，学校有完善的内部校园电视系统、校园广播系统、医院管理系统等。充分利用校讯通的功能，为学校、师生、家长建起了沟通的桥梁。实现全校范围的</w:t>
      </w:r>
      <w:r>
        <w:rPr>
          <w:rFonts w:asciiTheme="minorEastAsia" w:hAnsiTheme="minorEastAsia" w:eastAsiaTheme="minorEastAsia"/>
          <w:sz w:val="28"/>
          <w:szCs w:val="28"/>
        </w:rPr>
        <w:t>OA</w:t>
      </w:r>
      <w:r>
        <w:rPr>
          <w:rFonts w:hint="eastAsia" w:asciiTheme="minorEastAsia" w:hAnsiTheme="minorEastAsia" w:eastAsiaTheme="minorEastAsia"/>
          <w:sz w:val="28"/>
          <w:szCs w:val="28"/>
        </w:rPr>
        <w:t>办公系统，涵盖办公自动化、教学管理、学生管理、治安管理、图书管理、财务管理、档案管理等领域。同时确保数据的共享备份，建立了教学资源库。</w:t>
      </w:r>
    </w:p>
    <w:p>
      <w:pPr>
        <w:adjustRightInd w:val="0"/>
        <w:snapToGrid w:val="0"/>
        <w:spacing w:line="312" w:lineRule="auto"/>
        <w:ind w:firstLine="560" w:firstLineChars="200"/>
        <w:rPr>
          <w:rFonts w:asciiTheme="minorEastAsia" w:hAnsiTheme="minorEastAsia" w:eastAsiaTheme="minorEastAsia"/>
          <w:sz w:val="28"/>
          <w:szCs w:val="28"/>
        </w:rPr>
      </w:pPr>
      <w:bookmarkStart w:id="24" w:name="OLE_LINK84"/>
      <w:r>
        <w:rPr>
          <w:rFonts w:hint="eastAsia" w:asciiTheme="minorEastAsia" w:hAnsiTheme="minorEastAsia" w:eastAsiaTheme="minorEastAsia"/>
          <w:sz w:val="28"/>
          <w:szCs w:val="28"/>
        </w:rPr>
        <w:t>教学实训设施信息化水平较高。如仿真模拟病房的医疗诊断系统、心肺复苏摸拟人系统、静脉输液高仿真装置、高级智能护理人等，全真实训基地——康复医院的全自动生化分析仪、全自动血球分析仪、康复机器人、脑循环系统、彩色多普勒超声诊断仪、智能温</w:t>
      </w:r>
      <w:bookmarkEnd w:id="24"/>
      <w:r>
        <w:rPr>
          <w:rFonts w:hint="eastAsia" w:asciiTheme="minorEastAsia" w:hAnsiTheme="minorEastAsia" w:eastAsiaTheme="minorEastAsia"/>
          <w:sz w:val="28"/>
          <w:szCs w:val="28"/>
        </w:rPr>
        <w:t>热牵引系统、医院管理系统等，不断更新升级，紧密接轨行业发展步伐。</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（五）德育工作情况</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1.德育课实施情况。校每周开设2节德育课，1节德育教育课（主题班会课），1节德育活动课（劳动实践课）。</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校园文化建设。学校在“凤凰精神”的引领下，以“美丽校园，文化桐综”为主线，努力做到让校园的每一处景观都能“说话”，让每一个细节都能“育人”。大力推进“一部一品”、“一班一特”文化品牌建设，各部在部文化建设实施方案下，加强部文化内涵建设，如：升学护理部的“博雅文化”品牌---青春系列活动，医药综合部的“书香医药文化”品牌---梦想舞台、为你读诗，高职预备部的“颐和文化”品牌颐和眼、访、情和日。每个班级在专业部文化建设框架下，打造具有班级个性的班级文化，形成了一个班级一种特色。全校最终形成“一部一品”“一班一特”的校园文化氛围。</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 文明风采及成长导师竞赛活动开展情况。文明风采活动再创佳绩  获得嘉兴市一等奖4项、二等奖1项、三等奖1项；获得浙江省优秀案例1项、优秀作品1项。</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时会老师荣获嘉兴市“成长导师”竞赛活动一等奖,浙江省“成长导师”竞赛活动二等奖（排名第4名），陆银老师获得嘉兴市三等奖。</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4.组织桐乡市德育公开课一次  王静慧老师的德育主题《守匠心 精匠艺 筑匠魂》、沈一辰老师的德育主题《厉行节约，光盘行动》，课后进行了评课，班主任交流反响较好，受到师生好评。</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5.社团活动</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学校现建有社团12个，如篮球社、足球社、羽毛球社、操作社、漫研社、浮生乐社、食品社、乒乓球社、象棋社、心理社、摄影社及话</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剧社等。学校通过嘉兴技能节、校园文体节、“天使”校刊、微信公众号、校内外德育实践基地等形式为社团搭建诸多平台，为学生创造了展现、锻炼自我的机会，使他们重新认识自我，肯定自我，在不断尝试中得到锻炼，提升自身的核心素养，树立起正确的人生观和价值观。</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给每个社团配备专业教师，每周二、四定期指导学生进行训练，规范社团建设。同时，每年5月份举办社团文化节，各社团充分展示平时训练成果，每年开展优秀社团评比活动，规范管理社团，学生自我管理明显提升，成效突出。</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6.团组织学会生建设及活动</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团委结合青年学生的特点，以服务青少年学生为宗旨，坚持素质教育为导向，服务青少年健康成长，以增强团员意识，加强团员队伍建设，全面提高团员素质和促进学生的全面发展为重心，与时俱进，开拓创新，不断巩固和拓展共青团工作的阵地和空间。本年度团委根据学校实际，围绕学校中心工作，开展了如下工作：</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1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①</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开展形式多样的校园文化活动，为团员青年提供了展示自我的舞台。</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2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②</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完善“义工银行”考核制度，推进青年志愿者活动。</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3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③</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扶贫帮困，勤工俭学。</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4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④</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依托“青年业余团校”，加强团员青年政治理论学习。</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5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⑤</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加强团员青年思想道德素质建设，努力做好“评优、推优”。</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6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⑥</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继续推行德育实践周制度，有效提高学生自治自理能力。</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7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⑦</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指导社团工作，促进学生综合素质全面发展。</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8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⑧</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加强内涵建设，展现“美丽桐卫”风采与特色。学校团委被评为2019年度桐乡市卫计系统共青团工作先进集体、信息工作先进集体。</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2020年，学校选拔任用由147名学生组成校第二十五届学生会。设有主席团和9个部门，包括纪检部、保卫部、劳卫部、7S管理部、秘书处、宣传活动部、创新创业部、后勤部以及社团联合部。各个部门本着“分工不分家”的原则，相互协调、相互合作，以“全心全意为同学服务”为宗旨，坚持“团结、严谨、求实、高效、创新”的工作理念，致力为桐卫学子创造良好的学习环境和生活环境。如检查部门关注同学们的仪容仪表，校园清卫，正确引导学生，使学校特色的7S管理条例严格执行。文艺部门策划学校举办的大型活动，丰富校园文化和学生们的课余生活。</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（六）党建情况</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卫校党委现有党员121名，其中退休党员7名，预备党员1名。新确定入党积极分子1名。下设支部5个，1个青春支部。第29期业余党员学员102名结业，2020年10月，第30期业余党校开班，共99名学员。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eastAsia="zh-CN" w:bidi="ar"/>
        </w:rPr>
        <w:t>1.</w:t>
      </w:r>
      <w:r>
        <w:rPr>
          <w:rFonts w:hint="eastAsia" w:ascii="宋体" w:hAnsi="宋体" w:eastAsia="宋体" w:cs="宋体"/>
          <w:color w:val="auto"/>
          <w:kern w:val="2"/>
          <w:sz w:val="28"/>
          <w:szCs w:val="28"/>
          <w:lang w:val="en-US" w:eastAsia="zh-CN" w:bidi="ar"/>
        </w:rPr>
        <w:t>加强思想建设，推进“两学一做”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理论学习与岗位实践相结合</w:t>
      </w:r>
      <w:r>
        <w:rPr>
          <w:rFonts w:hint="eastAsia" w:ascii="宋体" w:hAnsi="宋体" w:eastAsia="宋体" w:cs="宋体"/>
          <w:color w:val="auto"/>
          <w:kern w:val="2"/>
          <w:sz w:val="28"/>
          <w:szCs w:val="28"/>
          <w:lang w:eastAsia="zh-CN" w:bidi="ar"/>
        </w:rPr>
        <w:t>。</w:t>
      </w:r>
      <w:r>
        <w:rPr>
          <w:rFonts w:hint="eastAsia" w:ascii="宋体" w:hAnsi="宋体" w:eastAsia="宋体" w:cs="宋体"/>
          <w:color w:val="auto"/>
          <w:kern w:val="2"/>
          <w:sz w:val="28"/>
          <w:szCs w:val="28"/>
          <w:lang w:val="en-US" w:eastAsia="zh-CN" w:bidi="ar"/>
        </w:rPr>
        <w:t>校党委制订了《桐乡市卫生学校党委2020年理论学习计划》，组织全体党员收看红船党课《学习贯彻习近平总书记在浙江考察讲话重要精神》》《嘉兴市庆祝中国共产党成立99周年报告会》《开启全面建设社会主义现代化国家新征程》。开展廉政警示教育。学校党委书记屠建根上党课《以信仰坚定初心》</w:t>
      </w:r>
      <w:r>
        <w:rPr>
          <w:rFonts w:hint="eastAsia" w:ascii="宋体" w:hAnsi="宋体" w:eastAsia="宋体" w:cs="宋体"/>
          <w:color w:val="auto"/>
          <w:kern w:val="2"/>
          <w:sz w:val="28"/>
          <w:szCs w:val="28"/>
          <w:lang w:eastAsia="zh-CN" w:bidi="ar"/>
        </w:rPr>
        <w:t>、《学习十九届五中全会精神》</w:t>
      </w:r>
      <w:r>
        <w:rPr>
          <w:rFonts w:hint="eastAsia" w:ascii="宋体" w:hAnsi="宋体" w:eastAsia="宋体" w:cs="宋体"/>
          <w:color w:val="auto"/>
          <w:kern w:val="2"/>
          <w:sz w:val="28"/>
          <w:szCs w:val="28"/>
          <w:lang w:val="en-US" w:eastAsia="zh-CN" w:bidi="ar"/>
        </w:rPr>
        <w:t>。邀请桐乡市第一人民医院钟跃进行抗疫先进事迹报告。将理论知识与教书育人、救死扶伤、服务社会、责任担当等岗位职责结合起来，不忘初心、牢记使命。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丰富“三会一课”学习形式</w:t>
      </w:r>
      <w:r>
        <w:rPr>
          <w:rFonts w:hint="eastAsia" w:ascii="宋体" w:hAnsi="宋体" w:eastAsia="宋体" w:cs="宋体"/>
          <w:color w:val="auto"/>
          <w:kern w:val="2"/>
          <w:sz w:val="28"/>
          <w:szCs w:val="28"/>
          <w:lang w:eastAsia="zh-CN" w:bidi="ar"/>
        </w:rPr>
        <w:t>。</w:t>
      </w:r>
      <w:r>
        <w:rPr>
          <w:rFonts w:hint="eastAsia" w:ascii="宋体" w:hAnsi="宋体" w:eastAsia="宋体" w:cs="宋体"/>
          <w:color w:val="auto"/>
          <w:kern w:val="2"/>
          <w:sz w:val="28"/>
          <w:szCs w:val="28"/>
          <w:lang w:val="en-US" w:eastAsia="zh-CN" w:bidi="ar"/>
        </w:rPr>
        <w:t>将“三会一课”与“主题党日”、组织生活会、民主评议党员等活动有机结合起来，做到党内组织生活有载体、有质量。充分利用“学习强国”手机APP、“红云”平台、“红船领航”微信公众号、电视党课、支部“先锋微联盟”等媒体开展学习，引导广大党员积极参与网上学习。延续传统的报刊、书籍、校编2020年10期《桐综先锋》进行学习，组织讨论交流，撰写心得体会。实现线上线下、理实并举、个人自学与集中讨论相结合的多样化学习形式，加强党员的理想信念教育。因疫情原因，本年度采用了集中学习与分散学习相结合的方式开展学习。吕敏嫣积极参加卫健系统微型党课比赛。各支部纷纷开展“名嘴读原著”微音频宣讲分享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同时，把“三会一课”与“扫黑除恶”、平安建设、环境保护、脱贫攻坚、基层组织建设等市重点工作融合起来，引导广大党员认真履行党员义务，严格参加党内组织生活，有效发挥党员先锋模范作用。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eastAsia="zh-CN" w:bidi="ar"/>
        </w:rPr>
        <w:t>2.</w:t>
      </w:r>
      <w:r>
        <w:rPr>
          <w:rFonts w:hint="eastAsia" w:ascii="宋体" w:hAnsi="宋体" w:eastAsia="宋体" w:cs="宋体"/>
          <w:color w:val="auto"/>
          <w:kern w:val="2"/>
          <w:sz w:val="28"/>
          <w:szCs w:val="28"/>
          <w:lang w:val="en-US" w:eastAsia="zh-CN" w:bidi="ar"/>
        </w:rPr>
        <w:t>夯实组织建设，献礼党的生日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举办业余党校，打造红色摇篮</w:t>
      </w:r>
      <w:r>
        <w:rPr>
          <w:rFonts w:hint="eastAsia" w:ascii="宋体" w:hAnsi="宋体" w:eastAsia="宋体" w:cs="宋体"/>
          <w:color w:val="auto"/>
          <w:kern w:val="2"/>
          <w:sz w:val="28"/>
          <w:szCs w:val="28"/>
          <w:lang w:eastAsia="zh-CN" w:bidi="ar"/>
        </w:rPr>
        <w:t>。</w:t>
      </w:r>
      <w:r>
        <w:rPr>
          <w:rFonts w:hint="eastAsia" w:ascii="宋体" w:hAnsi="宋体" w:eastAsia="宋体" w:cs="宋体"/>
          <w:color w:val="auto"/>
          <w:kern w:val="2"/>
          <w:sz w:val="28"/>
          <w:szCs w:val="28"/>
          <w:lang w:val="en-US" w:eastAsia="zh-CN" w:bidi="ar"/>
        </w:rPr>
        <w:t>举办青年业余党校，第29期102名学员顺利结业，评选出32位优秀学员。期间邀请了党委书记、委员和支部书记、委员共进行了5次专题党课学习，在全体学员中开展了“经典语录”硬笔书法比赛，评选出优秀作品一等奖2个、二等奖4个、三等奖10个。各专业部开展了观看爱国影片、“青春不停步 永远跟党走”主题活动等。部分学生参加了校内外的志愿服务活动。第30期业余党校开班，99名学员参加。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健全组织建设，规范“三会一课”</w:t>
      </w:r>
      <w:r>
        <w:rPr>
          <w:rFonts w:hint="eastAsia" w:ascii="宋体" w:hAnsi="宋体" w:eastAsia="宋体" w:cs="宋体"/>
          <w:color w:val="auto"/>
          <w:kern w:val="2"/>
          <w:sz w:val="28"/>
          <w:szCs w:val="28"/>
          <w:lang w:eastAsia="zh-CN" w:bidi="ar"/>
        </w:rPr>
        <w:t>。</w:t>
      </w:r>
      <w:r>
        <w:rPr>
          <w:rFonts w:hint="eastAsia" w:ascii="宋体" w:hAnsi="宋体" w:eastAsia="宋体" w:cs="宋体"/>
          <w:color w:val="auto"/>
          <w:kern w:val="2"/>
          <w:sz w:val="28"/>
          <w:szCs w:val="28"/>
          <w:lang w:val="en-US" w:eastAsia="zh-CN" w:bidi="ar"/>
        </w:rPr>
        <w:t>学校党委设5个党支部，行政支部分设2个党小组，党建工作规范，建立5个党支部先锋微联盟，加强学习交流。学习贯彻《中国共产党支部工作条例（试行）》和《中国共产党党内监督条例》，学校纪委切实履行监督执纪职责。各支部发挥战斗堡垒作用，全体党员积极行使党员权利。做好党务公开，将党员发展、党建责任清单、活动计划、双先考评、先锋承诺等及时公示和公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落实党组织活动日制度，每月25日左右为党员活动日。落实“三会一课”制度，组织好支部党员大会、支委会和党委会、党小组会议，按时上好党课，开好组织生活会，组织党员开展学习交流、微信讨论、撰写心得体会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下半年，党支部委员会成员学习“红船云”系统操作方法，推进红船云使用，全体党员激活红船云系统，相关活动在该平台上录入。校党委实施党员队伍“净化工程”，规范“进口、管理、出口”三个环节工作。做好党员发展工作，把好党员发展关，严格执行入党程序，把素质高、责任心强的优秀分子吸收为中共党员。2020年上半年，吸收钱裕君同志为入党积极分子，吸收沈亚萍同志为发展对象，现已发展为预备党员，3名同志提交入党申请。提升党务工作人员的业务水平，围绕“服务师生、服务患者、服务社会、服务党员”目标，创新开展工作，争创“五星支部”、“五型标尖”党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精设系列活动，献礼建党99周年</w:t>
      </w:r>
      <w:r>
        <w:rPr>
          <w:rFonts w:hint="eastAsia" w:ascii="宋体" w:hAnsi="宋体" w:eastAsia="宋体" w:cs="宋体"/>
          <w:color w:val="auto"/>
          <w:kern w:val="2"/>
          <w:sz w:val="28"/>
          <w:szCs w:val="28"/>
          <w:lang w:eastAsia="zh-CN" w:bidi="ar"/>
        </w:rPr>
        <w:t>。</w:t>
      </w:r>
      <w:r>
        <w:rPr>
          <w:rFonts w:hint="eastAsia" w:ascii="宋体" w:hAnsi="宋体" w:eastAsia="宋体" w:cs="宋体"/>
          <w:color w:val="auto"/>
          <w:kern w:val="2"/>
          <w:sz w:val="28"/>
          <w:szCs w:val="28"/>
          <w:lang w:val="en-US" w:eastAsia="zh-CN" w:bidi="ar"/>
        </w:rPr>
        <w:t>“七一”期间，以“七个一”活动来发挥党员的先锋模范作用，激发党员的神圣感、荣誉感和使命感。聆听抗疫事迹报告会；书记上党课；重温入党誓词；签订党建目标责任书；社区报到；到河山镇结对贫困户家中开展结对帮扶；到老党员家中走访慰问；拍摄“我想对党说”快闪；参观长兴革命根据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eastAsia="zh-CN" w:bidi="ar"/>
        </w:rPr>
        <w:t>3.</w:t>
      </w:r>
      <w:r>
        <w:rPr>
          <w:rFonts w:hint="eastAsia" w:ascii="宋体" w:hAnsi="宋体" w:eastAsia="宋体" w:cs="宋体"/>
          <w:color w:val="auto"/>
          <w:kern w:val="2"/>
          <w:sz w:val="28"/>
          <w:szCs w:val="28"/>
          <w:lang w:val="en-US" w:eastAsia="zh-CN" w:bidi="ar"/>
        </w:rPr>
        <w:t>坚持服务宗旨，打造品牌服务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做实志愿服务。为结对的河山镇6户（下半年5户，一户脱贫）经济困难家庭送去帮扶和温暖3次。全年共定期下乡开展残疾病人康复指导训练和上门做残疾证360余人次，收住持证残疾人住院康复30余人次，进一步扩大了残疾人受益面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打造支部特色。各支部结合自身实际，创新开展工作，打造“受欢迎、有实效、叫得响”的志愿服务品牌。高职预备部党支部建设“颐和”党支部文化，开展“暖心致远”志愿服务。护理升学部党支部开展“博雅”主题系列活动。医药综合部支部开展“自爱桐乡，书香传递”志愿服务品牌。康复医院党支部打造“公益扬医”志愿服务。行政党支部建好“泊心港湾”“义工银行”等服务平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eastAsia="zh-CN" w:bidi="ar"/>
        </w:rPr>
        <w:t>4.</w:t>
      </w:r>
      <w:r>
        <w:rPr>
          <w:rFonts w:hint="eastAsia" w:ascii="宋体" w:hAnsi="宋体" w:eastAsia="宋体" w:cs="宋体"/>
          <w:color w:val="auto"/>
          <w:kern w:val="2"/>
          <w:sz w:val="28"/>
          <w:szCs w:val="28"/>
          <w:lang w:val="en-US" w:eastAsia="zh-CN" w:bidi="ar"/>
        </w:rPr>
        <w:t>加强队伍建设，塑造先锋形象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 xml:space="preserve">打造勤政廉政干部队伍。领导班子带头模范遵守党章党规，带头贯彻党的基本路线，带头加强道德修养，带头尊法、学法、守法、用法，带头持之以恒，反对“四风”、反腐倡廉，带头诚恳接受各方监督，执行民主集中制。开设“校长信箱”、“校长电话”，实行“校长接待日”，每月接受校内外群众、学生家长、社会人员的意见建议和提供咨询解疑等。领导班子、中层科室负责人，逐级落实一岗双责，签订目标责任书和廉政责任书，形成勤政、能政、廉政的工作氛围。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发挥党员先锋模范作用。开展红色义工、志愿服务，深入推行“一名党员一面旗帜”，激励党员积极投身岗位工作主战场，在履职和完成急、难、重的任务中发挥先锋模范作用。在“三名”工程建设中，党员们创新教育理念，打造高效课堂。在招生工作中，党员们不辞劳苦，风吹日晒，担起使命，圆满完成招生任务。在师资建设“四大工程”、“个人发展三年规划”、青年教师“三心”教育等活动中，党员奉献岗位，做好表率，创出佳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推进名师、市级学科带头人、骨干教师培养工程，2020年度5名桐乡市学科带头人、9名桐乡市骨干教师和1名卫健系统学科骨干都是党员；桐乡市十佳师德标兵1人、桐乡市优秀教师3人、桐乡市优秀班主任3人、从教满三十年教师3人，基本是党员，榜样作用突出，工作成效显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12" w:lineRule="auto"/>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
        </w:rPr>
        <w:t>推进学校工作创佳绩</w:t>
      </w:r>
      <w:r>
        <w:rPr>
          <w:rFonts w:hint="eastAsia" w:ascii="宋体" w:hAnsi="宋体" w:eastAsia="宋体" w:cs="宋体"/>
          <w:color w:val="auto"/>
          <w:kern w:val="2"/>
          <w:sz w:val="28"/>
          <w:szCs w:val="28"/>
          <w:lang w:eastAsia="zh-CN" w:bidi="ar"/>
        </w:rPr>
        <w:t>。</w:t>
      </w:r>
      <w:r>
        <w:rPr>
          <w:rFonts w:hint="eastAsia" w:ascii="宋体" w:hAnsi="宋体" w:eastAsia="宋体" w:cs="宋体"/>
          <w:color w:val="auto"/>
          <w:kern w:val="2"/>
          <w:sz w:val="28"/>
          <w:szCs w:val="28"/>
          <w:lang w:val="en-US" w:eastAsia="zh-CN" w:bidi="ar"/>
        </w:rPr>
        <w:t>学习贯彻《国家职业教育改革实施方案》(职教20条)、《浙江省人民政府关于加快发展现代职业教育的实施意见》等精神，坚持以立德树人为根本，以服务发展为宗旨，以改革创新为动力，以师生成长成才为目标，以教育质量为核心，办好人民满意的中职学校。</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四、校企合作</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jc w:val="left"/>
        <w:textAlignment w:val="auto"/>
        <w:rPr>
          <w:rFonts w:hint="eastAsia" w:ascii="宋体" w:hAnsi="宋体" w:eastAsia="宋体" w:cs="宋体"/>
          <w:color w:val="auto"/>
          <w:sz w:val="28"/>
          <w:szCs w:val="28"/>
          <w:shd w:val="clear" w:color="auto" w:fill="FFFFFF"/>
        </w:rPr>
      </w:pPr>
      <w:r>
        <w:rPr>
          <w:rFonts w:hint="eastAsia" w:ascii="宋体" w:hAnsi="宋体" w:eastAsia="宋体" w:cs="宋体"/>
          <w:b/>
          <w:bCs/>
          <w:color w:val="auto"/>
          <w:sz w:val="28"/>
          <w:szCs w:val="28"/>
          <w:shd w:val="clear" w:color="auto" w:fill="FFFFFF"/>
        </w:rPr>
        <w:t>（一）校企合作开展情况和效果</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shd w:val="clear" w:color="auto" w:fill="FFFFFF"/>
        </w:rPr>
        <w:t>学校根据专业办学特点，不断深化校企合作，健全校企合作机制，拓展合作内容，提升人才培养、技能培训和社会服务能力，实现了校企双赢。今年，我校又成功申报了一家浙江省产教融合“五个一批”建设项目——护理、康复技术产教融合实训实习基地（中心）,现分别是桐乡市第一人民医院、桐乡市中医医院、桐乡市康复医院、桐乡市第二人民医院。学校建有紧密合作型校外实训基地60余家，地域涉及嘉兴、湖州、宁波、杭州、舟山等地，其中三级以上医院14家。桐乡市第一医院被评为“浙江省优秀职业教育校外实习基地”。学校积极探索与其它医疗卫生、养老服务等单位的密切合作，与嘉兴湘家荡颐养中心、乌镇雅达国际医养中心、高桥平安养生综合服务社区签订有人才培养、师资培训等合作协议，共同制定有人才培养方案，并在师资、技术、设备等方面进行合作。另，学校与市民政局、市残联、消防大队、市红十字会、市老年大学及市内各类学校合作开展长期从事养老护理工作人员培训、卫生员培训、救护培训、营养知识培训、康复知识培训及医学知识培训，收到了良好的效果。</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（二）学生实习情况</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实习安排。2020年安排实习生403人。①实习形式：医护类专业由于岗位要求的特殊性，主要以“跟岗实习”为主，非医护类专业以“跟岗实习”和“顶岗实习”相结合。②实习安排：医护类专业以学校安排定点实习单位为主，少部分学生生源地无学校定点实习单位，以自行联系实习单位相结合。非医护类专业如文秘、财会专业一个单位难以提供批量实习岗位，故以学生自行联系实习单位为主，少部分由学校安排。③实习岗位专业对口情况：医护类专业要求百分百对口，非医护类专业因专业特殊性，如财会专业，则要求专业对口或专业相近为原则。④实习安排组织：安排具体由实训处负责，部主任协助安排，班主任负责本班级各实习点安排。事先发动、书面告知家长，严格安照教学计划组织落实。⑤实习生实习单位安排以回生源地或邻近地区为原则，同时遵循择优原则，兼顾实习单位的平衡。因特殊情况，需个人联系实习单位的，须在学校定点实习单位以外，并报实训处同意。⑥实习单位安排后，原则上不得更改。实习期间，不得无故更换实习单位。如特殊情况，需要换实习单位的，必须按学校《实习生管理制度》规定到校办理变更手续。</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2.组织领导。实习管理是由学校和实习单位双重管理。学校：学校形成二维四级管理体系，即校分管领导——实训处负责人——部主任——班主任；校分管领导——实训处负责人——各实习点实习指导老师——实习组长，实习管理由该体系成员共同负责完成。实习单位：受学校委托，指定责任科室、管理带教经验丰富的带教老师队伍全面负责单位实习管理工作，确保实习的顺利进行。在每个学校定点实习单位上，学校均安排实习指导老师加强与单位的联系、沟通和管理。</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3.管理措施。为规范实习管理，有效实施实习计划，保证实习目标得以实现，同时保障学生实习权益，学校精选实训基地，并与实习单位签定《实习协议》，对家长在实习前发放《关于毕业实习告家长书》。实习管理中做到：实习前期，周密组织；实习中期，分级管理,学生每天采用钉钉签到；实习后期，重点检查学生实习手册，听取实习组长反馈建议，开展就业指导工作，查阅班主任的实习管理记录资料，召开实习单位相关人员座谈会，加强学校、实习单位的近距离沟通，改进下一届学生的实习管理措施。在实习管理全过程中，严格遵守《职业学校学生实习管理规定》中“六不得”规定，做到实习管理规范、有序，充分保证了实习生的实习权益。</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（三）集团化办学情况</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1.学校积极参与职教集团建设。2012年1月，学校牵头成立“桐乡市医药护理职业教育联盟”。该职教集团的成立为学校培养护理、康复等卫生类技术人材提供了坚实的后盾。2011年6月学校加入“宁波天一职教联盟”，成为其中一员。2010年1月学校成为“嘉兴欣禾职业集团”成员之一，使学校与高校合作更紧密，为学校毕业生提供了新的人才培养路径。集团化办学有相应制度。桐乡卫校为“桐乡市医药护理职业教育联盟”牵头单位，专门制定了集团化办学章程，明确各个理事单位的职责，成立了管理机构。每年集团内成员单位定期交流，交换意见和建议，探讨进一步拓展合作事项。</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2.集团内校企合作紧密，成效突出。护理与康复治疗技术作为学校骨干专业，均与集团内成员单位建有紧密型合作项目。今年，集团内成员单位积极为学校学生提供实习、实训场所，年接收桐乡卫校学生实习实训150人以上；优先录用学校优秀毕业生。集团内临床护理专家也积极来校进行技能指导、评价，并担任学校专业课的兼职教师。</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五、社会服务与贡献</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（一）技术技能人才培养</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推进“</w:t>
      </w:r>
      <w:r>
        <w:rPr>
          <w:rFonts w:hint="eastAsia" w:ascii="宋体" w:hAnsi="宋体" w:eastAsia="宋体" w:cs="宋体"/>
          <w:color w:val="auto"/>
          <w:sz w:val="28"/>
          <w:szCs w:val="28"/>
          <w:lang w:val="en-US" w:eastAsia="zh-CN"/>
        </w:rPr>
        <w:t>1+X</w:t>
      </w:r>
      <w:r>
        <w:rPr>
          <w:rFonts w:hint="eastAsia" w:ascii="宋体" w:hAnsi="宋体" w:eastAsia="宋体" w:cs="宋体"/>
          <w:color w:val="auto"/>
          <w:sz w:val="28"/>
          <w:szCs w:val="28"/>
          <w:lang w:eastAsia="zh-CN"/>
        </w:rPr>
        <w:t>”人才培养</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本年度，学校积极组织护理骨干教师参加全国“</w:t>
      </w:r>
      <w:r>
        <w:rPr>
          <w:rFonts w:hint="eastAsia" w:ascii="宋体" w:hAnsi="宋体" w:eastAsia="宋体" w:cs="宋体"/>
          <w:color w:val="auto"/>
          <w:sz w:val="28"/>
          <w:szCs w:val="28"/>
          <w:lang w:val="en-US" w:eastAsia="zh-CN"/>
        </w:rPr>
        <w:t>1+X</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老年照护职业技能等级证书考试</w:t>
      </w:r>
      <w:r>
        <w:rPr>
          <w:rFonts w:hint="eastAsia" w:ascii="宋体" w:hAnsi="宋体" w:eastAsia="宋体" w:cs="宋体"/>
          <w:color w:val="auto"/>
          <w:sz w:val="28"/>
          <w:szCs w:val="28"/>
          <w:lang w:eastAsia="zh-CN"/>
        </w:rPr>
        <w:t>师资培训。</w:t>
      </w:r>
      <w:r>
        <w:rPr>
          <w:rFonts w:hint="eastAsia" w:ascii="宋体" w:hAnsi="宋体" w:eastAsia="宋体" w:cs="宋体"/>
          <w:color w:val="auto"/>
          <w:sz w:val="28"/>
          <w:szCs w:val="28"/>
          <w:lang w:val="en-US" w:eastAsia="zh-CN"/>
        </w:rPr>
        <w:t>2020年组织本校老年护理方向专业学生</w:t>
      </w:r>
      <w:r>
        <w:rPr>
          <w:rFonts w:hint="eastAsia" w:ascii="宋体" w:hAnsi="宋体" w:eastAsia="宋体" w:cs="宋体"/>
          <w:color w:val="auto"/>
          <w:sz w:val="28"/>
          <w:szCs w:val="28"/>
        </w:rPr>
        <w:t>首次参加“1+X”老年照护职业技能等级证书考试， 45名学生合格，通过率为91.83%。</w:t>
      </w:r>
      <w:r>
        <w:rPr>
          <w:rFonts w:hint="eastAsia" w:ascii="宋体" w:hAnsi="宋体" w:eastAsia="宋体" w:cs="宋体"/>
          <w:color w:val="auto"/>
          <w:sz w:val="28"/>
          <w:szCs w:val="28"/>
          <w:lang w:eastAsia="zh-CN"/>
        </w:rPr>
        <w:t>同时，组织教师积极参与</w:t>
      </w:r>
      <w:r>
        <w:rPr>
          <w:rFonts w:hint="eastAsia" w:ascii="宋体" w:hAnsi="宋体" w:eastAsia="宋体" w:cs="宋体"/>
          <w:color w:val="auto"/>
          <w:sz w:val="28"/>
          <w:szCs w:val="28"/>
          <w:lang w:val="en-US" w:eastAsia="zh-CN"/>
        </w:rPr>
        <w:t>“（全国）老年康复职业技能等级证书试点项目之老年康复职业技能等级证书初级教材”的编写。</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各级参与“</w:t>
      </w:r>
      <w:r>
        <w:rPr>
          <w:rFonts w:hint="eastAsia" w:ascii="宋体" w:hAnsi="宋体" w:eastAsia="宋体" w:cs="宋体"/>
          <w:color w:val="auto"/>
          <w:sz w:val="28"/>
          <w:szCs w:val="28"/>
        </w:rPr>
        <w:t>职业技能等级认定试点社会培训评价组织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遴选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2020年，本校接《浙人社办发〔2020〕35号关于开展职业技能等级认定试点社会培训评价组织遴选工作的通知》后，积极组织力量，按申报要求，认真对照标准，组织申报工作，争取申报成功</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（二）社会服务</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asciiTheme="minorEastAsia" w:hAnsiTheme="minorEastAsia" w:eastAsiaTheme="minorEastAsia"/>
          <w:sz w:val="28"/>
          <w:szCs w:val="28"/>
        </w:rPr>
      </w:pPr>
      <w:bookmarkStart w:id="25" w:name="OLE_LINK22"/>
      <w:r>
        <w:rPr>
          <w:rFonts w:hint="eastAsia" w:ascii="宋体" w:hAnsi="宋体" w:eastAsia="宋体" w:cs="宋体"/>
          <w:color w:val="auto"/>
          <w:sz w:val="28"/>
          <w:szCs w:val="28"/>
        </w:rPr>
        <w:t>学校与温州医科大学、浙江中医药大学等高校合作开展成人学历教育，专业包括临床、护理、</w:t>
      </w:r>
      <w:bookmarkStart w:id="26" w:name="OLE_LINK59"/>
      <w:r>
        <w:rPr>
          <w:rFonts w:hint="eastAsia" w:ascii="宋体" w:hAnsi="宋体" w:eastAsia="宋体" w:cs="宋体"/>
          <w:color w:val="auto"/>
          <w:sz w:val="28"/>
          <w:szCs w:val="28"/>
        </w:rPr>
        <w:t>药学、检验及康复，涵盖专科、本科两个层次，</w:t>
      </w:r>
      <w:bookmarkEnd w:id="26"/>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年学历培训</w:t>
      </w:r>
      <w:r>
        <w:rPr>
          <w:rFonts w:hint="eastAsia" w:ascii="宋体" w:hAnsi="宋体" w:eastAsia="宋体" w:cs="宋体"/>
          <w:color w:val="auto"/>
          <w:sz w:val="28"/>
          <w:szCs w:val="28"/>
          <w:lang w:val="en-US" w:eastAsia="zh-CN"/>
        </w:rPr>
        <w:t>904</w:t>
      </w:r>
      <w:r>
        <w:rPr>
          <w:rFonts w:hint="eastAsia" w:ascii="宋体" w:hAnsi="宋体" w:eastAsia="宋体" w:cs="宋体"/>
          <w:color w:val="auto"/>
          <w:sz w:val="28"/>
          <w:szCs w:val="28"/>
        </w:rPr>
        <w:t>人（见表</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w:t>
      </w:r>
    </w:p>
    <w:bookmarkEnd w:id="25"/>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楷体" w:hAnsi="楷体" w:eastAsia="楷体" w:cs="Times New Roman"/>
          <w:color w:val="auto"/>
          <w:sz w:val="24"/>
        </w:rPr>
      </w:pPr>
      <w:r>
        <w:rPr>
          <w:rFonts w:hint="eastAsia" w:ascii="楷体" w:hAnsi="楷体" w:eastAsia="楷体" w:cs="Times New Roman"/>
          <w:color w:val="auto"/>
          <w:sz w:val="24"/>
        </w:rPr>
        <w:t>表</w:t>
      </w:r>
      <w:r>
        <w:rPr>
          <w:rFonts w:hint="eastAsia" w:ascii="楷体" w:hAnsi="楷体" w:eastAsia="楷体" w:cs="Times New Roman"/>
          <w:color w:val="auto"/>
          <w:sz w:val="24"/>
          <w:lang w:val="en-US" w:eastAsia="zh-CN"/>
        </w:rPr>
        <w:t>9</w:t>
      </w:r>
      <w:r>
        <w:rPr>
          <w:rFonts w:hint="eastAsia" w:ascii="楷体" w:hAnsi="楷体" w:eastAsia="楷体" w:cs="Times New Roman"/>
          <w:color w:val="auto"/>
          <w:sz w:val="24"/>
        </w:rPr>
        <w:t>：2020年学校学历培训汇总表</w:t>
      </w:r>
    </w:p>
    <w:tbl>
      <w:tblPr>
        <w:tblStyle w:val="7"/>
        <w:tblW w:w="9621" w:type="dxa"/>
        <w:tblInd w:w="0" w:type="dxa"/>
        <w:tblLayout w:type="fixed"/>
        <w:tblCellMar>
          <w:top w:w="0" w:type="dxa"/>
          <w:left w:w="0" w:type="dxa"/>
          <w:bottom w:w="0" w:type="dxa"/>
          <w:right w:w="0" w:type="dxa"/>
        </w:tblCellMar>
      </w:tblPr>
      <w:tblGrid>
        <w:gridCol w:w="886"/>
        <w:gridCol w:w="783"/>
        <w:gridCol w:w="574"/>
        <w:gridCol w:w="696"/>
        <w:gridCol w:w="696"/>
        <w:gridCol w:w="557"/>
        <w:gridCol w:w="557"/>
        <w:gridCol w:w="557"/>
        <w:gridCol w:w="557"/>
        <w:gridCol w:w="557"/>
        <w:gridCol w:w="696"/>
        <w:gridCol w:w="696"/>
        <w:gridCol w:w="556"/>
        <w:gridCol w:w="696"/>
        <w:gridCol w:w="557"/>
      </w:tblGrid>
      <w:tr>
        <w:tblPrEx>
          <w:tblCellMar>
            <w:top w:w="0" w:type="dxa"/>
            <w:left w:w="0" w:type="dxa"/>
            <w:bottom w:w="0" w:type="dxa"/>
            <w:right w:w="0" w:type="dxa"/>
          </w:tblCellMar>
        </w:tblPrEx>
        <w:trPr>
          <w:trHeight w:val="332" w:hRule="atLeast"/>
        </w:trPr>
        <w:tc>
          <w:tcPr>
            <w:tcW w:w="88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合作高校</w:t>
            </w:r>
          </w:p>
        </w:tc>
        <w:tc>
          <w:tcPr>
            <w:tcW w:w="78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年级</w:t>
            </w:r>
          </w:p>
        </w:tc>
        <w:tc>
          <w:tcPr>
            <w:tcW w:w="4194"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专升本</w:t>
            </w:r>
          </w:p>
        </w:tc>
        <w:tc>
          <w:tcPr>
            <w:tcW w:w="3758"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专科</w:t>
            </w:r>
          </w:p>
        </w:tc>
      </w:tr>
      <w:tr>
        <w:tblPrEx>
          <w:tblCellMar>
            <w:top w:w="0" w:type="dxa"/>
            <w:left w:w="0" w:type="dxa"/>
            <w:bottom w:w="0" w:type="dxa"/>
            <w:right w:w="0" w:type="dxa"/>
          </w:tblCellMar>
        </w:tblPrEx>
        <w:trPr>
          <w:trHeight w:val="316" w:hRule="atLeast"/>
        </w:trPr>
        <w:tc>
          <w:tcPr>
            <w:tcW w:w="88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7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临床</w:t>
            </w:r>
          </w:p>
        </w:tc>
        <w:tc>
          <w:tcPr>
            <w:tcW w:w="69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护理</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康复治疗技术</w:t>
            </w:r>
          </w:p>
        </w:tc>
        <w:tc>
          <w:tcPr>
            <w:tcW w:w="55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中药</w:t>
            </w:r>
          </w:p>
        </w:tc>
        <w:tc>
          <w:tcPr>
            <w:tcW w:w="557"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药学</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护理</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康复治疗技术</w:t>
            </w: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药学</w:t>
            </w: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中药</w:t>
            </w: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tblPrEx>
          <w:tblCellMar>
            <w:top w:w="0" w:type="dxa"/>
            <w:left w:w="0" w:type="dxa"/>
            <w:bottom w:w="0" w:type="dxa"/>
            <w:right w:w="0" w:type="dxa"/>
          </w:tblCellMar>
        </w:tblPrEx>
        <w:trPr>
          <w:trHeight w:val="340" w:hRule="atLeast"/>
        </w:trPr>
        <w:tc>
          <w:tcPr>
            <w:tcW w:w="886"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温州医科大学</w:t>
            </w:r>
          </w:p>
        </w:tc>
        <w:tc>
          <w:tcPr>
            <w:tcW w:w="7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w:t>
            </w:r>
          </w:p>
        </w:tc>
        <w:tc>
          <w:tcPr>
            <w:tcW w:w="57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69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p>
        </w:tc>
      </w:tr>
      <w:tr>
        <w:tblPrEx>
          <w:tblCellMar>
            <w:top w:w="0" w:type="dxa"/>
            <w:left w:w="0" w:type="dxa"/>
            <w:bottom w:w="0" w:type="dxa"/>
            <w:right w:w="0" w:type="dxa"/>
          </w:tblCellMar>
        </w:tblPrEx>
        <w:trPr>
          <w:trHeight w:val="340" w:hRule="atLeast"/>
        </w:trPr>
        <w:tc>
          <w:tcPr>
            <w:tcW w:w="88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w:t>
            </w:r>
          </w:p>
        </w:tc>
        <w:tc>
          <w:tcPr>
            <w:tcW w:w="57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9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p>
        </w:tc>
      </w:tr>
      <w:tr>
        <w:tblPrEx>
          <w:tblCellMar>
            <w:top w:w="0" w:type="dxa"/>
            <w:left w:w="0" w:type="dxa"/>
            <w:bottom w:w="0" w:type="dxa"/>
            <w:right w:w="0" w:type="dxa"/>
          </w:tblCellMar>
        </w:tblPrEx>
        <w:trPr>
          <w:trHeight w:val="340" w:hRule="atLeast"/>
        </w:trPr>
        <w:tc>
          <w:tcPr>
            <w:tcW w:w="88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2018</w:t>
            </w:r>
          </w:p>
        </w:tc>
        <w:tc>
          <w:tcPr>
            <w:tcW w:w="57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69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w:t>
            </w:r>
          </w:p>
        </w:tc>
      </w:tr>
      <w:tr>
        <w:tblPrEx>
          <w:tblCellMar>
            <w:top w:w="0" w:type="dxa"/>
            <w:left w:w="0" w:type="dxa"/>
            <w:bottom w:w="0" w:type="dxa"/>
            <w:right w:w="0" w:type="dxa"/>
          </w:tblCellMar>
        </w:tblPrEx>
        <w:trPr>
          <w:trHeight w:val="340" w:hRule="atLeast"/>
        </w:trPr>
        <w:tc>
          <w:tcPr>
            <w:tcW w:w="886"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74"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69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55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w:t>
            </w:r>
          </w:p>
        </w:tc>
      </w:tr>
      <w:tr>
        <w:tblPrEx>
          <w:tblCellMar>
            <w:top w:w="0" w:type="dxa"/>
            <w:left w:w="0" w:type="dxa"/>
            <w:bottom w:w="0" w:type="dxa"/>
            <w:right w:w="0" w:type="dxa"/>
          </w:tblCellMar>
        </w:tblPrEx>
        <w:trPr>
          <w:trHeight w:val="340" w:hRule="atLeast"/>
        </w:trPr>
        <w:tc>
          <w:tcPr>
            <w:tcW w:w="88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浙江中医药大学</w:t>
            </w:r>
          </w:p>
        </w:tc>
        <w:tc>
          <w:tcPr>
            <w:tcW w:w="7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w:t>
            </w:r>
          </w:p>
        </w:tc>
        <w:tc>
          <w:tcPr>
            <w:tcW w:w="5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r>
      <w:tr>
        <w:tblPrEx>
          <w:tblCellMar>
            <w:top w:w="0" w:type="dxa"/>
            <w:left w:w="0" w:type="dxa"/>
            <w:bottom w:w="0" w:type="dxa"/>
            <w:right w:w="0" w:type="dxa"/>
          </w:tblCellMar>
        </w:tblPrEx>
        <w:trPr>
          <w:trHeight w:val="340" w:hRule="atLeast"/>
        </w:trPr>
        <w:tc>
          <w:tcPr>
            <w:tcW w:w="886"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w:t>
            </w:r>
          </w:p>
        </w:tc>
        <w:tc>
          <w:tcPr>
            <w:tcW w:w="5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r>
      <w:tr>
        <w:tblPrEx>
          <w:tblCellMar>
            <w:top w:w="0" w:type="dxa"/>
            <w:left w:w="0" w:type="dxa"/>
            <w:bottom w:w="0" w:type="dxa"/>
            <w:right w:w="0" w:type="dxa"/>
          </w:tblCellMar>
        </w:tblPrEx>
        <w:trPr>
          <w:trHeight w:val="340" w:hRule="atLeast"/>
        </w:trPr>
        <w:tc>
          <w:tcPr>
            <w:tcW w:w="886"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2018</w:t>
            </w:r>
          </w:p>
        </w:tc>
        <w:tc>
          <w:tcPr>
            <w:tcW w:w="5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p>
        </w:tc>
      </w:tr>
      <w:tr>
        <w:tblPrEx>
          <w:tblCellMar>
            <w:top w:w="0" w:type="dxa"/>
            <w:left w:w="0" w:type="dxa"/>
            <w:bottom w:w="0" w:type="dxa"/>
            <w:right w:w="0" w:type="dxa"/>
          </w:tblCellMar>
        </w:tblPrEx>
        <w:trPr>
          <w:trHeight w:val="340" w:hRule="atLeast"/>
        </w:trPr>
        <w:tc>
          <w:tcPr>
            <w:tcW w:w="886" w:type="dxa"/>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r>
      <w:tr>
        <w:tblPrEx>
          <w:tblCellMar>
            <w:top w:w="0" w:type="dxa"/>
            <w:left w:w="0" w:type="dxa"/>
            <w:bottom w:w="0" w:type="dxa"/>
            <w:right w:w="0" w:type="dxa"/>
          </w:tblCellMar>
        </w:tblPrEx>
        <w:trPr>
          <w:trHeight w:val="340" w:hRule="atLeast"/>
        </w:trPr>
        <w:tc>
          <w:tcPr>
            <w:tcW w:w="886" w:type="dxa"/>
            <w:vMerge w:val="restart"/>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嘉兴职业技术学院</w:t>
            </w:r>
          </w:p>
        </w:tc>
        <w:tc>
          <w:tcPr>
            <w:tcW w:w="7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5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财务管理</w:t>
            </w:r>
          </w:p>
        </w:tc>
        <w:tc>
          <w:tcPr>
            <w:tcW w:w="69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工商管理</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tblPrEx>
          <w:tblCellMar>
            <w:top w:w="0" w:type="dxa"/>
            <w:left w:w="0" w:type="dxa"/>
            <w:bottom w:w="0" w:type="dxa"/>
            <w:right w:w="0" w:type="dxa"/>
          </w:tblCellMar>
        </w:tblPrEx>
        <w:trPr>
          <w:trHeight w:val="340" w:hRule="atLeast"/>
        </w:trPr>
        <w:tc>
          <w:tcPr>
            <w:tcW w:w="8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w:t>
            </w:r>
          </w:p>
        </w:tc>
        <w:tc>
          <w:tcPr>
            <w:tcW w:w="69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168</w:t>
            </w:r>
          </w:p>
        </w:tc>
      </w:tr>
      <w:tr>
        <w:tblPrEx>
          <w:tblCellMar>
            <w:top w:w="0" w:type="dxa"/>
            <w:left w:w="0" w:type="dxa"/>
            <w:bottom w:w="0" w:type="dxa"/>
            <w:right w:w="0" w:type="dxa"/>
          </w:tblCellMar>
        </w:tblPrEx>
        <w:trPr>
          <w:trHeight w:val="340" w:hRule="atLeast"/>
        </w:trPr>
        <w:tc>
          <w:tcPr>
            <w:tcW w:w="886" w:type="dxa"/>
            <w:vMerge w:val="restart"/>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杭州医学院</w:t>
            </w:r>
          </w:p>
        </w:tc>
        <w:tc>
          <w:tcPr>
            <w:tcW w:w="7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5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药学</w:t>
            </w:r>
          </w:p>
        </w:tc>
        <w:tc>
          <w:tcPr>
            <w:tcW w:w="69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卫生信息管理</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r>
      <w:tr>
        <w:tblPrEx>
          <w:tblCellMar>
            <w:top w:w="0" w:type="dxa"/>
            <w:left w:w="0" w:type="dxa"/>
            <w:bottom w:w="0" w:type="dxa"/>
            <w:right w:w="0" w:type="dxa"/>
          </w:tblCellMar>
        </w:tblPrEx>
        <w:trPr>
          <w:trHeight w:val="340" w:hRule="atLeast"/>
        </w:trPr>
        <w:tc>
          <w:tcPr>
            <w:tcW w:w="886"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7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5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69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p>
        </w:tc>
        <w:tc>
          <w:tcPr>
            <w:tcW w:w="5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r>
    </w:tbl>
    <w:p>
      <w:pPr>
        <w:spacing w:line="312" w:lineRule="auto"/>
        <w:ind w:firstLine="560" w:firstLineChars="200"/>
        <w:rPr>
          <w:rFonts w:asciiTheme="minorEastAsia" w:hAnsiTheme="minorEastAsia" w:eastAsiaTheme="minorEastAsia"/>
          <w:sz w:val="28"/>
          <w:szCs w:val="28"/>
        </w:rPr>
      </w:pPr>
    </w:p>
    <w:p>
      <w:pPr>
        <w:adjustRightInd w:val="0"/>
        <w:snapToGrid w:val="0"/>
        <w:spacing w:line="312"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学校与市民政局、市残联、市红十字会、及市内各类学校合作开展养老护理员培训、家庭照护者培训、救护培训、青春期教育等。20</w:t>
      </w:r>
      <w:r>
        <w:rPr>
          <w:rFonts w:hint="eastAsia" w:asciiTheme="minorEastAsia" w:hAnsiTheme="minorEastAsia" w:eastAsiaTheme="minorEastAsia"/>
          <w:sz w:val="28"/>
          <w:szCs w:val="28"/>
          <w:lang w:val="en-US" w:eastAsia="zh-CN"/>
        </w:rPr>
        <w:t>20</w:t>
      </w:r>
      <w:r>
        <w:rPr>
          <w:rFonts w:hint="eastAsia" w:asciiTheme="minorEastAsia" w:hAnsiTheme="minorEastAsia" w:eastAsiaTheme="minorEastAsia"/>
          <w:sz w:val="28"/>
          <w:szCs w:val="28"/>
        </w:rPr>
        <w:t>年共计培训</w:t>
      </w:r>
      <w:r>
        <w:rPr>
          <w:rFonts w:hint="eastAsia" w:asciiTheme="minorEastAsia" w:hAnsiTheme="minorEastAsia" w:eastAsiaTheme="minorEastAsia"/>
          <w:sz w:val="28"/>
          <w:szCs w:val="28"/>
          <w:lang w:val="en-US" w:eastAsia="zh-CN"/>
        </w:rPr>
        <w:t>5015</w:t>
      </w:r>
      <w:r>
        <w:rPr>
          <w:rFonts w:hint="eastAsia" w:asciiTheme="minorEastAsia" w:hAnsiTheme="minorEastAsia" w:eastAsiaTheme="minorEastAsia"/>
          <w:sz w:val="28"/>
          <w:szCs w:val="28"/>
        </w:rPr>
        <w:t>人次。取得了较好的社会和经济效益，获得相关部门的认可（见表1</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楷体" w:hAnsi="楷体" w:eastAsia="楷体" w:cs="Times New Roman"/>
          <w:color w:val="auto"/>
          <w:sz w:val="24"/>
        </w:rPr>
      </w:pPr>
      <w:r>
        <w:rPr>
          <w:rFonts w:hint="eastAsia" w:ascii="楷体" w:hAnsi="楷体" w:eastAsia="楷体" w:cs="Times New Roman"/>
          <w:color w:val="auto"/>
          <w:sz w:val="24"/>
        </w:rPr>
        <w:t>表1</w:t>
      </w:r>
      <w:r>
        <w:rPr>
          <w:rFonts w:hint="eastAsia" w:ascii="楷体" w:hAnsi="楷体" w:eastAsia="楷体" w:cs="Times New Roman"/>
          <w:color w:val="auto"/>
          <w:sz w:val="24"/>
          <w:lang w:val="en-US" w:eastAsia="zh-CN"/>
        </w:rPr>
        <w:t>0</w:t>
      </w:r>
      <w:r>
        <w:rPr>
          <w:rFonts w:hint="eastAsia" w:ascii="楷体" w:hAnsi="楷体" w:eastAsia="楷体" w:cs="Times New Roman"/>
          <w:color w:val="auto"/>
          <w:sz w:val="24"/>
        </w:rPr>
        <w:t>：20</w:t>
      </w:r>
      <w:r>
        <w:rPr>
          <w:rFonts w:hint="eastAsia" w:ascii="楷体" w:hAnsi="楷体" w:eastAsia="楷体" w:cs="Times New Roman"/>
          <w:color w:val="auto"/>
          <w:sz w:val="24"/>
          <w:lang w:val="en-US" w:eastAsia="zh-CN"/>
        </w:rPr>
        <w:t>20</w:t>
      </w:r>
      <w:r>
        <w:rPr>
          <w:rFonts w:hint="eastAsia" w:ascii="楷体" w:hAnsi="楷体" w:eastAsia="楷体" w:cs="Times New Roman"/>
          <w:color w:val="auto"/>
          <w:sz w:val="24"/>
        </w:rPr>
        <w:t>年学校</w:t>
      </w:r>
      <w:bookmarkStart w:id="27" w:name="OLE_LINK61"/>
      <w:r>
        <w:rPr>
          <w:rFonts w:hint="eastAsia" w:ascii="楷体" w:hAnsi="楷体" w:eastAsia="楷体" w:cs="Times New Roman"/>
          <w:color w:val="auto"/>
          <w:sz w:val="24"/>
        </w:rPr>
        <w:t>社会培训及技能鉴定统计</w:t>
      </w:r>
    </w:p>
    <w:bookmarkEnd w:id="27"/>
    <w:tbl>
      <w:tblPr>
        <w:tblStyle w:val="7"/>
        <w:tblW w:w="8711" w:type="dxa"/>
        <w:tblInd w:w="186" w:type="dxa"/>
        <w:tblLayout w:type="fixed"/>
        <w:tblCellMar>
          <w:top w:w="0" w:type="dxa"/>
          <w:left w:w="108" w:type="dxa"/>
          <w:bottom w:w="0" w:type="dxa"/>
          <w:right w:w="108" w:type="dxa"/>
        </w:tblCellMar>
      </w:tblPr>
      <w:tblGrid>
        <w:gridCol w:w="631"/>
        <w:gridCol w:w="2977"/>
        <w:gridCol w:w="850"/>
        <w:gridCol w:w="284"/>
        <w:gridCol w:w="850"/>
        <w:gridCol w:w="2410"/>
        <w:gridCol w:w="709"/>
      </w:tblGrid>
      <w:tr>
        <w:tblPrEx>
          <w:tblCellMar>
            <w:top w:w="0" w:type="dxa"/>
            <w:left w:w="108" w:type="dxa"/>
            <w:bottom w:w="0" w:type="dxa"/>
            <w:right w:w="108" w:type="dxa"/>
          </w:tblCellMar>
        </w:tblPrEx>
        <w:trPr>
          <w:trHeight w:val="397"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rPr>
                <w:rFonts w:ascii="宋体" w:hAnsi="宋体"/>
                <w:kern w:val="0"/>
                <w:sz w:val="24"/>
                <w:szCs w:val="24"/>
              </w:rPr>
            </w:pPr>
            <w:bookmarkStart w:id="28" w:name="OLE_LINK52" w:colFirst="0" w:colLast="2"/>
            <w:bookmarkStart w:id="29" w:name="OLE_LINK58" w:colFirst="0" w:colLast="1"/>
            <w:r>
              <w:rPr>
                <w:rFonts w:hint="eastAsia" w:ascii="宋体" w:hAnsi="宋体"/>
                <w:kern w:val="0"/>
                <w:sz w:val="24"/>
                <w:szCs w:val="24"/>
              </w:rPr>
              <w:t>序号</w:t>
            </w:r>
          </w:p>
        </w:tc>
        <w:tc>
          <w:tcPr>
            <w:tcW w:w="297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rPr>
                <w:rFonts w:ascii="宋体" w:hAnsi="宋体"/>
                <w:kern w:val="0"/>
                <w:sz w:val="24"/>
                <w:szCs w:val="24"/>
              </w:rPr>
            </w:pPr>
            <w:r>
              <w:rPr>
                <w:rFonts w:hint="eastAsia" w:ascii="宋体" w:hAnsi="宋体"/>
                <w:kern w:val="0"/>
                <w:sz w:val="24"/>
                <w:szCs w:val="24"/>
              </w:rPr>
              <w:t>类型或项目</w:t>
            </w:r>
          </w:p>
        </w:tc>
        <w:tc>
          <w:tcPr>
            <w:tcW w:w="850" w:type="dxa"/>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widowControl/>
              <w:spacing w:line="300" w:lineRule="exact"/>
              <w:jc w:val="center"/>
              <w:rPr>
                <w:rFonts w:ascii="宋体" w:hAnsi="宋体"/>
                <w:kern w:val="0"/>
                <w:sz w:val="24"/>
                <w:szCs w:val="24"/>
              </w:rPr>
            </w:pPr>
            <w:r>
              <w:rPr>
                <w:rFonts w:hint="eastAsia" w:ascii="宋体" w:hAnsi="宋体"/>
                <w:kern w:val="0"/>
                <w:sz w:val="24"/>
                <w:szCs w:val="24"/>
              </w:rPr>
              <w:t>人数</w:t>
            </w:r>
          </w:p>
        </w:tc>
        <w:tc>
          <w:tcPr>
            <w:tcW w:w="284" w:type="dxa"/>
            <w:vMerge w:val="restart"/>
            <w:tcBorders>
              <w:top w:val="single" w:color="auto" w:sz="4" w:space="0"/>
              <w:left w:val="nil"/>
              <w:bottom w:val="nil"/>
              <w:right w:val="single" w:color="auto" w:sz="4" w:space="0"/>
            </w:tcBorders>
            <w:tcMar>
              <w:top w:w="15" w:type="dxa"/>
              <w:left w:w="15" w:type="dxa"/>
              <w:bottom w:w="15" w:type="dxa"/>
              <w:right w:w="15" w:type="dxa"/>
            </w:tcMar>
            <w:vAlign w:val="center"/>
          </w:tcPr>
          <w:p>
            <w:pPr>
              <w:widowControl/>
              <w:spacing w:line="300" w:lineRule="exact"/>
              <w:jc w:val="center"/>
              <w:rPr>
                <w:rFonts w:ascii="宋体" w:hAnsi="宋体"/>
                <w:kern w:val="0"/>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rPr>
                <w:rFonts w:ascii="宋体" w:hAnsi="宋体"/>
                <w:kern w:val="0"/>
                <w:sz w:val="24"/>
                <w:szCs w:val="24"/>
              </w:rPr>
            </w:pPr>
            <w:r>
              <w:rPr>
                <w:rFonts w:hint="eastAsia" w:ascii="宋体" w:hAnsi="宋体"/>
                <w:kern w:val="0"/>
                <w:sz w:val="24"/>
                <w:szCs w:val="24"/>
              </w:rPr>
              <w:t>序号</w:t>
            </w:r>
          </w:p>
        </w:tc>
        <w:tc>
          <w:tcPr>
            <w:tcW w:w="241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rPr>
                <w:rFonts w:ascii="宋体" w:hAnsi="宋体"/>
                <w:kern w:val="0"/>
                <w:sz w:val="24"/>
                <w:szCs w:val="24"/>
              </w:rPr>
            </w:pPr>
            <w:r>
              <w:rPr>
                <w:rFonts w:hint="eastAsia" w:ascii="宋体" w:hAnsi="宋体"/>
                <w:kern w:val="0"/>
                <w:sz w:val="24"/>
                <w:szCs w:val="24"/>
              </w:rPr>
              <w:t>类型或项目</w:t>
            </w:r>
          </w:p>
        </w:tc>
        <w:tc>
          <w:tcPr>
            <w:tcW w:w="70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spacing w:line="300" w:lineRule="exact"/>
              <w:jc w:val="center"/>
              <w:rPr>
                <w:rFonts w:ascii="宋体" w:hAnsi="宋体"/>
                <w:kern w:val="0"/>
                <w:sz w:val="24"/>
                <w:szCs w:val="24"/>
              </w:rPr>
            </w:pPr>
            <w:r>
              <w:rPr>
                <w:rFonts w:hint="eastAsia" w:ascii="宋体" w:hAnsi="宋体"/>
                <w:kern w:val="0"/>
                <w:sz w:val="24"/>
                <w:szCs w:val="24"/>
              </w:rPr>
              <w:t>人数</w:t>
            </w:r>
          </w:p>
        </w:tc>
      </w:tr>
      <w:tr>
        <w:tblPrEx>
          <w:tblCellMar>
            <w:top w:w="0" w:type="dxa"/>
            <w:left w:w="108" w:type="dxa"/>
            <w:bottom w:w="0" w:type="dxa"/>
            <w:right w:w="108" w:type="dxa"/>
          </w:tblCellMar>
        </w:tblPrEx>
        <w:trPr>
          <w:trHeight w:val="397"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1</w:t>
            </w:r>
          </w:p>
        </w:tc>
        <w:tc>
          <w:tcPr>
            <w:tcW w:w="297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现场救护培训</w:t>
            </w:r>
          </w:p>
        </w:tc>
        <w:tc>
          <w:tcPr>
            <w:tcW w:w="850" w:type="dxa"/>
            <w:tcBorders>
              <w:top w:val="single" w:color="000000" w:sz="4" w:space="0"/>
              <w:left w:val="nil"/>
              <w:bottom w:val="single" w:color="000000" w:sz="4" w:space="0"/>
              <w:right w:val="single" w:color="auto"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1214</w:t>
            </w:r>
          </w:p>
        </w:tc>
        <w:tc>
          <w:tcPr>
            <w:tcW w:w="284" w:type="dxa"/>
            <w:vMerge w:val="continue"/>
            <w:tcBorders>
              <w:top w:val="single" w:color="auto" w:sz="4" w:space="0"/>
              <w:left w:val="nil"/>
              <w:bottom w:val="nil"/>
              <w:right w:val="single" w:color="auto" w:sz="4" w:space="0"/>
            </w:tcBorders>
            <w:tcMar>
              <w:top w:w="15" w:type="dxa"/>
              <w:left w:w="15" w:type="dxa"/>
              <w:bottom w:w="15" w:type="dxa"/>
              <w:right w:w="15" w:type="dxa"/>
            </w:tcMar>
            <w:vAlign w:val="center"/>
          </w:tcPr>
          <w:p>
            <w:pPr>
              <w:widowControl/>
              <w:jc w:val="left"/>
              <w:rPr>
                <w:rFonts w:ascii="宋体" w:hAnsi="宋体"/>
                <w:kern w:val="0"/>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5</w:t>
            </w:r>
          </w:p>
        </w:tc>
        <w:tc>
          <w:tcPr>
            <w:tcW w:w="241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家庭照护者培训</w:t>
            </w:r>
          </w:p>
        </w:tc>
        <w:tc>
          <w:tcPr>
            <w:tcW w:w="70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1000</w:t>
            </w:r>
          </w:p>
        </w:tc>
      </w:tr>
      <w:tr>
        <w:tblPrEx>
          <w:tblCellMar>
            <w:top w:w="0" w:type="dxa"/>
            <w:left w:w="108" w:type="dxa"/>
            <w:bottom w:w="0" w:type="dxa"/>
            <w:right w:w="108" w:type="dxa"/>
          </w:tblCellMar>
        </w:tblPrEx>
        <w:trPr>
          <w:trHeight w:val="397"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2</w:t>
            </w:r>
          </w:p>
        </w:tc>
        <w:tc>
          <w:tcPr>
            <w:tcW w:w="297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红会急救培训</w:t>
            </w:r>
          </w:p>
        </w:tc>
        <w:tc>
          <w:tcPr>
            <w:tcW w:w="850" w:type="dxa"/>
            <w:tcBorders>
              <w:top w:val="single" w:color="000000" w:sz="4" w:space="0"/>
              <w:left w:val="nil"/>
              <w:bottom w:val="single" w:color="000000" w:sz="4" w:space="0"/>
              <w:right w:val="single" w:color="auto"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655</w:t>
            </w:r>
          </w:p>
        </w:tc>
        <w:tc>
          <w:tcPr>
            <w:tcW w:w="284" w:type="dxa"/>
            <w:vMerge w:val="continue"/>
            <w:tcBorders>
              <w:top w:val="single" w:color="auto" w:sz="4" w:space="0"/>
              <w:left w:val="nil"/>
              <w:bottom w:val="nil"/>
              <w:right w:val="single" w:color="auto" w:sz="4" w:space="0"/>
            </w:tcBorders>
            <w:tcMar>
              <w:top w:w="15" w:type="dxa"/>
              <w:left w:w="15" w:type="dxa"/>
              <w:bottom w:w="15" w:type="dxa"/>
              <w:right w:w="15" w:type="dxa"/>
            </w:tcMar>
            <w:vAlign w:val="center"/>
          </w:tcPr>
          <w:p>
            <w:pPr>
              <w:widowControl/>
              <w:jc w:val="left"/>
              <w:rPr>
                <w:rFonts w:ascii="宋体" w:hAnsi="宋体"/>
                <w:kern w:val="0"/>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6</w:t>
            </w:r>
          </w:p>
        </w:tc>
        <w:tc>
          <w:tcPr>
            <w:tcW w:w="241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残联系统社区康复员培训</w:t>
            </w:r>
          </w:p>
        </w:tc>
        <w:tc>
          <w:tcPr>
            <w:tcW w:w="70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360</w:t>
            </w:r>
          </w:p>
        </w:tc>
      </w:tr>
      <w:tr>
        <w:tblPrEx>
          <w:tblCellMar>
            <w:top w:w="0" w:type="dxa"/>
            <w:left w:w="108" w:type="dxa"/>
            <w:bottom w:w="0" w:type="dxa"/>
            <w:right w:w="108" w:type="dxa"/>
          </w:tblCellMar>
        </w:tblPrEx>
        <w:trPr>
          <w:trHeight w:val="397"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3</w:t>
            </w:r>
          </w:p>
        </w:tc>
        <w:tc>
          <w:tcPr>
            <w:tcW w:w="297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长期护理服务从业人员培训</w:t>
            </w:r>
          </w:p>
        </w:tc>
        <w:tc>
          <w:tcPr>
            <w:tcW w:w="850" w:type="dxa"/>
            <w:tcBorders>
              <w:top w:val="single" w:color="000000" w:sz="4" w:space="0"/>
              <w:left w:val="nil"/>
              <w:bottom w:val="single" w:color="000000" w:sz="4" w:space="0"/>
              <w:right w:val="single" w:color="auto"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104</w:t>
            </w:r>
          </w:p>
        </w:tc>
        <w:tc>
          <w:tcPr>
            <w:tcW w:w="284" w:type="dxa"/>
            <w:vMerge w:val="continue"/>
            <w:tcBorders>
              <w:top w:val="single" w:color="auto" w:sz="4" w:space="0"/>
              <w:left w:val="nil"/>
              <w:bottom w:val="nil"/>
              <w:right w:val="single" w:color="auto" w:sz="4" w:space="0"/>
            </w:tcBorders>
            <w:tcMar>
              <w:top w:w="15" w:type="dxa"/>
              <w:left w:w="15" w:type="dxa"/>
              <w:bottom w:w="15" w:type="dxa"/>
              <w:right w:w="15" w:type="dxa"/>
            </w:tcMar>
            <w:vAlign w:val="center"/>
          </w:tcPr>
          <w:p>
            <w:pPr>
              <w:widowControl/>
              <w:jc w:val="left"/>
              <w:rPr>
                <w:rFonts w:ascii="宋体" w:hAnsi="宋体"/>
                <w:kern w:val="0"/>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7</w:t>
            </w:r>
          </w:p>
        </w:tc>
        <w:tc>
          <w:tcPr>
            <w:tcW w:w="241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养老护理员培训</w:t>
            </w:r>
          </w:p>
        </w:tc>
        <w:tc>
          <w:tcPr>
            <w:tcW w:w="70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393</w:t>
            </w:r>
          </w:p>
        </w:tc>
      </w:tr>
      <w:tr>
        <w:tblPrEx>
          <w:tblCellMar>
            <w:top w:w="0" w:type="dxa"/>
            <w:left w:w="108" w:type="dxa"/>
            <w:bottom w:w="0" w:type="dxa"/>
            <w:right w:w="108" w:type="dxa"/>
          </w:tblCellMar>
        </w:tblPrEx>
        <w:trPr>
          <w:trHeight w:val="397" w:hRule="atLeast"/>
        </w:trPr>
        <w:tc>
          <w:tcPr>
            <w:tcW w:w="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4</w:t>
            </w:r>
          </w:p>
        </w:tc>
        <w:tc>
          <w:tcPr>
            <w:tcW w:w="297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1+X养老护理员培训</w:t>
            </w:r>
          </w:p>
        </w:tc>
        <w:tc>
          <w:tcPr>
            <w:tcW w:w="850" w:type="dxa"/>
            <w:tcBorders>
              <w:top w:val="single" w:color="000000" w:sz="4" w:space="0"/>
              <w:left w:val="nil"/>
              <w:bottom w:val="single" w:color="000000" w:sz="4" w:space="0"/>
              <w:right w:val="single" w:color="auto"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49</w:t>
            </w:r>
          </w:p>
        </w:tc>
        <w:tc>
          <w:tcPr>
            <w:tcW w:w="284" w:type="dxa"/>
            <w:vMerge w:val="continue"/>
            <w:tcBorders>
              <w:top w:val="single" w:color="auto" w:sz="4" w:space="0"/>
              <w:left w:val="nil"/>
              <w:bottom w:val="nil"/>
              <w:right w:val="single" w:color="auto" w:sz="4" w:space="0"/>
            </w:tcBorders>
            <w:tcMar>
              <w:top w:w="15" w:type="dxa"/>
              <w:left w:w="15" w:type="dxa"/>
              <w:bottom w:w="15" w:type="dxa"/>
              <w:right w:w="15" w:type="dxa"/>
            </w:tcMar>
            <w:vAlign w:val="center"/>
          </w:tcPr>
          <w:p>
            <w:pPr>
              <w:widowControl/>
              <w:jc w:val="left"/>
              <w:rPr>
                <w:rFonts w:ascii="宋体" w:hAnsi="宋体"/>
                <w:kern w:val="0"/>
                <w:sz w:val="24"/>
                <w:szCs w:val="24"/>
              </w:rPr>
            </w:pPr>
          </w:p>
        </w:tc>
        <w:tc>
          <w:tcPr>
            <w:tcW w:w="85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8</w:t>
            </w:r>
          </w:p>
        </w:tc>
        <w:tc>
          <w:tcPr>
            <w:tcW w:w="241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青春期教育</w:t>
            </w:r>
          </w:p>
        </w:tc>
        <w:tc>
          <w:tcPr>
            <w:tcW w:w="70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1240</w:t>
            </w:r>
          </w:p>
        </w:tc>
      </w:tr>
      <w:tr>
        <w:tblPrEx>
          <w:tblCellMar>
            <w:top w:w="0" w:type="dxa"/>
            <w:left w:w="108" w:type="dxa"/>
            <w:bottom w:w="0" w:type="dxa"/>
            <w:right w:w="108" w:type="dxa"/>
          </w:tblCellMar>
        </w:tblPrEx>
        <w:trPr>
          <w:trHeight w:val="397" w:hRule="atLeast"/>
        </w:trPr>
        <w:tc>
          <w:tcPr>
            <w:tcW w:w="8711"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line="300" w:lineRule="exact"/>
              <w:jc w:val="center"/>
              <w:rPr>
                <w:rFonts w:ascii="宋体" w:hAnsi="宋体"/>
                <w:kern w:val="0"/>
                <w:sz w:val="24"/>
                <w:szCs w:val="24"/>
              </w:rPr>
            </w:pPr>
            <w:r>
              <w:rPr>
                <w:rFonts w:hint="eastAsia" w:ascii="宋体" w:hAnsi="宋体"/>
                <w:kern w:val="0"/>
                <w:sz w:val="24"/>
                <w:szCs w:val="24"/>
              </w:rPr>
              <w:t>总数：5015</w:t>
            </w:r>
          </w:p>
        </w:tc>
      </w:tr>
      <w:bookmarkEnd w:id="28"/>
      <w:bookmarkEnd w:id="29"/>
    </w:tbl>
    <w:p>
      <w:pPr>
        <w:keepNext w:val="0"/>
        <w:keepLines w:val="0"/>
        <w:pageBreakBefore w:val="0"/>
        <w:widowControl w:val="0"/>
        <w:kinsoku/>
        <w:wordWrap/>
        <w:overflowPunct/>
        <w:topLinePunct w:val="0"/>
        <w:autoSpaceDE/>
        <w:autoSpaceDN/>
        <w:bidi w:val="0"/>
        <w:adjustRightInd w:val="0"/>
        <w:snapToGrid w:val="0"/>
        <w:spacing w:line="312" w:lineRule="auto"/>
        <w:ind w:firstLine="261" w:firstLineChars="200"/>
        <w:textAlignment w:val="auto"/>
        <w:rPr>
          <w:rFonts w:hint="eastAsia" w:ascii="宋体" w:hAnsi="宋体" w:eastAsia="宋体" w:cs="宋体"/>
          <w:b/>
          <w:color w:val="auto"/>
          <w:sz w:val="13"/>
          <w:szCs w:val="13"/>
        </w:rPr>
      </w:pP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2020年疫情期间，</w:t>
      </w:r>
      <w:r>
        <w:rPr>
          <w:rFonts w:hint="eastAsia" w:ascii="宋体" w:hAnsi="宋体" w:eastAsia="宋体" w:cs="宋体"/>
          <w:color w:val="auto"/>
          <w:sz w:val="28"/>
          <w:szCs w:val="28"/>
          <w:lang w:eastAsia="zh-CN"/>
        </w:rPr>
        <w:t>学校积极组织力量</w:t>
      </w:r>
      <w:r>
        <w:rPr>
          <w:rFonts w:hint="eastAsia" w:ascii="宋体" w:hAnsi="宋体" w:eastAsia="宋体" w:cs="宋体"/>
          <w:color w:val="auto"/>
          <w:sz w:val="28"/>
          <w:szCs w:val="28"/>
        </w:rPr>
        <w:t>参与疫情防控，持续支援隔离点、高速路口卡点、桐九线卡点、高铁站卡点，共计</w:t>
      </w:r>
      <w:r>
        <w:rPr>
          <w:rFonts w:hint="eastAsia" w:ascii="宋体" w:hAnsi="宋体" w:eastAsia="宋体" w:cs="宋体"/>
          <w:color w:val="auto"/>
          <w:sz w:val="28"/>
          <w:szCs w:val="28"/>
          <w:lang w:val="en-US" w:eastAsia="zh-CN"/>
        </w:rPr>
        <w:t>600</w:t>
      </w:r>
      <w:r>
        <w:rPr>
          <w:rFonts w:hint="eastAsia" w:ascii="宋体" w:hAnsi="宋体" w:eastAsia="宋体" w:cs="宋体"/>
          <w:color w:val="auto"/>
          <w:sz w:val="28"/>
          <w:szCs w:val="28"/>
        </w:rPr>
        <w:t>多人次。</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（三）对口支援</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学校开展“暖心工程”，对口扶贫河山镇7家贫困户，20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年慰问贫困户4次（折价1500元/人）。20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年，学校附属康复医院与四川省黑水县微古中心卫生院签订结对帮扶协议</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4月25日，学校与象山县卫生进修学校签订合作办学协议</w:t>
      </w:r>
      <w:r>
        <w:rPr>
          <w:rFonts w:hint="eastAsia" w:ascii="宋体" w:hAnsi="宋体" w:eastAsia="宋体" w:cs="宋体"/>
          <w:color w:val="auto"/>
          <w:sz w:val="28"/>
          <w:szCs w:val="28"/>
          <w:lang w:eastAsia="zh-CN"/>
        </w:rPr>
        <w:t>；7月</w:t>
      </w:r>
      <w:r>
        <w:rPr>
          <w:rFonts w:hint="eastAsia" w:ascii="宋体" w:hAnsi="宋体" w:eastAsia="宋体" w:cs="宋体"/>
          <w:color w:val="auto"/>
          <w:sz w:val="28"/>
          <w:szCs w:val="28"/>
          <w:lang w:val="en-US" w:eastAsia="zh-CN"/>
        </w:rPr>
        <w:t>23日</w:t>
      </w:r>
      <w:r>
        <w:rPr>
          <w:rFonts w:hint="eastAsia" w:ascii="宋体" w:hAnsi="宋体" w:eastAsia="宋体" w:cs="宋体"/>
          <w:color w:val="auto"/>
          <w:sz w:val="28"/>
          <w:szCs w:val="28"/>
          <w:lang w:eastAsia="zh-CN"/>
        </w:rPr>
        <w:t>，学校与青海海西州柴达木职业技术学院签订对口合作协议，主要就护理、康复专业的师资培养、课程设置、教学资源开发、技能操作训练、课题研究等方面进行对口合作。</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六、政府履责</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（一）经费</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经费落实到位，教学有序发展。政府财政资金落实到位，保障了学校教学工作的有序开展，也进一步提高了学校的教学条件。2020年生均经费3000元/人，公用经费全年拨款共计1174.2万元，用于学校日常运转所需的各项基本经费开支。</w:t>
      </w:r>
    </w:p>
    <w:p>
      <w:pPr>
        <w:keepNext w:val="0"/>
        <w:keepLines w:val="0"/>
        <w:pageBreakBefore w:val="0"/>
        <w:widowControl w:val="0"/>
        <w:kinsoku/>
        <w:wordWrap/>
        <w:overflowPunct/>
        <w:topLinePunct w:val="0"/>
        <w:autoSpaceDE/>
        <w:autoSpaceDN/>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（二）政策措施</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default" w:ascii="宋体" w:hAnsi="宋体" w:eastAsia="宋体" w:cs="宋体"/>
          <w:color w:val="auto"/>
          <w:sz w:val="28"/>
          <w:szCs w:val="28"/>
          <w:lang w:val="en-US" w:eastAsia="zh-CN"/>
        </w:rPr>
      </w:pPr>
      <w:bookmarkStart w:id="30" w:name="OLE_LINK33"/>
      <w:r>
        <w:rPr>
          <w:rFonts w:hint="eastAsia" w:ascii="宋体" w:hAnsi="宋体" w:eastAsia="宋体" w:cs="宋体"/>
          <w:color w:val="auto"/>
          <w:sz w:val="28"/>
          <w:szCs w:val="28"/>
        </w:rPr>
        <w:t>1.</w:t>
      </w:r>
      <w:bookmarkStart w:id="31" w:name="OLE_LINK38"/>
      <w:bookmarkStart w:id="32" w:name="OLE_LINK39"/>
      <w:r>
        <w:rPr>
          <w:rFonts w:hint="eastAsia" w:ascii="宋体" w:hAnsi="宋体" w:eastAsia="宋体" w:cs="宋体"/>
          <w:color w:val="auto"/>
          <w:sz w:val="28"/>
          <w:szCs w:val="28"/>
        </w:rPr>
        <w:t>学校现有在岗员工24</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人（其中：在编1</w:t>
      </w:r>
      <w:r>
        <w:rPr>
          <w:rFonts w:hint="eastAsia" w:ascii="宋体" w:hAnsi="宋体" w:eastAsia="宋体" w:cs="宋体"/>
          <w:color w:val="auto"/>
          <w:sz w:val="28"/>
          <w:szCs w:val="28"/>
          <w:lang w:val="en-US" w:eastAsia="zh-CN"/>
        </w:rPr>
        <w:t>96</w:t>
      </w:r>
      <w:r>
        <w:rPr>
          <w:rFonts w:hint="eastAsia" w:ascii="宋体" w:hAnsi="宋体" w:eastAsia="宋体" w:cs="宋体"/>
          <w:color w:val="auto"/>
          <w:sz w:val="28"/>
          <w:szCs w:val="28"/>
        </w:rPr>
        <w:t>人，编外</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8人），根据学校现有的办学规模，参照省政府办公厅《关于浙江省贯彻国家中小学教职工编制标准实施意见的通知》（浙政办发[2004]22号）、市教育局《桐乡市中小学校机构编制管理暂行规定》（桐教[2006]105号）文件规定，学校可以核定人员编制数为354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2020年11月，</w:t>
      </w:r>
      <w:r>
        <w:rPr>
          <w:rFonts w:hint="eastAsia" w:ascii="宋体" w:hAnsi="宋体" w:eastAsia="宋体" w:cs="宋体"/>
          <w:color w:val="auto"/>
          <w:sz w:val="28"/>
          <w:szCs w:val="28"/>
        </w:rPr>
        <w:t>桐编〔2020〕</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关于同意</w:t>
      </w:r>
      <w:r>
        <w:rPr>
          <w:rFonts w:hint="eastAsia" w:ascii="宋体" w:hAnsi="宋体" w:eastAsia="宋体" w:cs="宋体"/>
          <w:color w:val="auto"/>
          <w:sz w:val="28"/>
          <w:szCs w:val="28"/>
          <w:lang w:val="en-US" w:eastAsia="zh-CN"/>
        </w:rPr>
        <w:t>市卫生学校增加编制</w:t>
      </w:r>
      <w:r>
        <w:rPr>
          <w:rFonts w:hint="eastAsia" w:ascii="宋体" w:hAnsi="宋体" w:eastAsia="宋体" w:cs="宋体"/>
          <w:color w:val="auto"/>
          <w:sz w:val="28"/>
          <w:szCs w:val="28"/>
        </w:rPr>
        <w:t>的批复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同意市</w:t>
      </w:r>
      <w:r>
        <w:rPr>
          <w:rFonts w:hint="eastAsia" w:ascii="宋体" w:hAnsi="宋体" w:eastAsia="宋体" w:cs="宋体"/>
          <w:color w:val="auto"/>
          <w:sz w:val="28"/>
          <w:szCs w:val="28"/>
          <w:lang w:val="en-US" w:eastAsia="zh-CN"/>
        </w:rPr>
        <w:t>卫生健康局下属市卫生学校增加</w:t>
      </w:r>
      <w:r>
        <w:rPr>
          <w:rFonts w:hint="eastAsia" w:ascii="宋体" w:hAnsi="宋体" w:eastAsia="宋体" w:cs="宋体"/>
          <w:color w:val="auto"/>
          <w:sz w:val="28"/>
          <w:szCs w:val="28"/>
        </w:rPr>
        <w:t>事业编制</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其中10名从市教育局事业编制中调剂</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调整后，市卫生学校事业编制218名。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现在学校核定编制</w:t>
      </w:r>
      <w:r>
        <w:rPr>
          <w:rFonts w:hint="eastAsia" w:ascii="宋体" w:hAnsi="宋体" w:cs="宋体"/>
          <w:color w:val="auto"/>
          <w:sz w:val="28"/>
          <w:szCs w:val="28"/>
          <w:lang w:val="en-US" w:eastAsia="zh-CN"/>
        </w:rPr>
        <w:t>218</w:t>
      </w:r>
      <w:r>
        <w:rPr>
          <w:rFonts w:hint="eastAsia" w:ascii="宋体" w:hAnsi="宋体" w:eastAsia="宋体" w:cs="宋体"/>
          <w:color w:val="auto"/>
          <w:sz w:val="28"/>
          <w:szCs w:val="28"/>
        </w:rPr>
        <w:t>人</w:t>
      </w:r>
      <w:r>
        <w:rPr>
          <w:rFonts w:hint="eastAsia" w:ascii="宋体" w:hAnsi="宋体" w:cs="宋体"/>
          <w:color w:val="auto"/>
          <w:sz w:val="28"/>
          <w:szCs w:val="28"/>
          <w:lang w:eastAsia="zh-CN"/>
        </w:rPr>
        <w:t>。</w:t>
      </w:r>
      <w:r>
        <w:rPr>
          <w:rFonts w:hint="eastAsia" w:ascii="宋体" w:hAnsi="宋体" w:eastAsia="宋体" w:cs="宋体"/>
          <w:color w:val="auto"/>
          <w:sz w:val="28"/>
          <w:szCs w:val="28"/>
        </w:rPr>
        <w:t>现有的教职工编制数</w:t>
      </w:r>
      <w:r>
        <w:rPr>
          <w:rFonts w:hint="eastAsia" w:ascii="宋体" w:hAnsi="宋体" w:cs="宋体"/>
          <w:color w:val="auto"/>
          <w:sz w:val="28"/>
          <w:szCs w:val="28"/>
          <w:lang w:eastAsia="zh-CN"/>
        </w:rPr>
        <w:t>也还</w:t>
      </w:r>
      <w:r>
        <w:rPr>
          <w:rFonts w:hint="eastAsia" w:ascii="宋体" w:hAnsi="宋体" w:eastAsia="宋体" w:cs="宋体"/>
          <w:color w:val="auto"/>
          <w:sz w:val="28"/>
          <w:szCs w:val="28"/>
        </w:rPr>
        <w:t>不能满足现实发展需要，部分专业课教师严重紧缺，周课时达到</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节以上。为进一步做强、做优学校,促进学校的可持续发展，学校</w:t>
      </w:r>
      <w:r>
        <w:rPr>
          <w:rFonts w:hint="eastAsia" w:ascii="宋体" w:hAnsi="宋体" w:eastAsia="宋体" w:cs="宋体"/>
          <w:color w:val="auto"/>
          <w:sz w:val="28"/>
          <w:szCs w:val="28"/>
          <w:lang w:eastAsia="zh-CN"/>
        </w:rPr>
        <w:t>还望</w:t>
      </w:r>
      <w:r>
        <w:rPr>
          <w:rFonts w:hint="eastAsia" w:ascii="宋体" w:hAnsi="宋体" w:eastAsia="宋体" w:cs="宋体"/>
          <w:color w:val="auto"/>
          <w:sz w:val="28"/>
          <w:szCs w:val="28"/>
        </w:rPr>
        <w:t>上级有关部门增加学校编制，以满足学校发展的需要。</w:t>
      </w:r>
      <w:bookmarkEnd w:id="31"/>
      <w:bookmarkEnd w:id="32"/>
    </w:p>
    <w:bookmarkEnd w:id="30"/>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各级政府部门积极推进职业教育发展。2015年《嘉兴市人民政府关于“加快发展现代职业教育的实施意见”》（嘉政发〔2015〕101号）、2012年《桐乡市人民政府办公室关于印发桐乡市深化中等职业教育“工学结合、校企合作”人才培养模式改革的意见的通知》（桐政办发〔2012〕40号）、2016年《桐乡市人民政府关于印发加快发展现代职业教育实施意见的通知》（桐政发〔2016〕34号）等文件给予职业教育政策性保障。</w:t>
      </w:r>
    </w:p>
    <w:p>
      <w:pPr>
        <w:pageBreakBefore w:val="0"/>
        <w:kinsoku/>
        <w:wordWrap/>
        <w:overflowPunct/>
        <w:topLinePunct w:val="0"/>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七、特色创新</w:t>
      </w:r>
    </w:p>
    <w:p>
      <w:pPr>
        <w:keepNext/>
        <w:keepLines/>
        <w:pageBreakBefore w:val="0"/>
        <w:kinsoku/>
        <w:wordWrap/>
        <w:overflowPunct/>
        <w:topLinePunct w:val="0"/>
        <w:bidi w:val="0"/>
        <w:adjustRightInd w:val="0"/>
        <w:snapToGrid w:val="0"/>
        <w:spacing w:line="312" w:lineRule="auto"/>
        <w:ind w:firstLine="562" w:firstLineChars="200"/>
        <w:textAlignment w:val="auto"/>
        <w:outlineLvl w:val="2"/>
        <w:rPr>
          <w:rFonts w:hint="eastAsia" w:ascii="宋体" w:hAnsi="宋体" w:eastAsia="宋体" w:cs="宋体"/>
          <w:b/>
          <w:bCs/>
          <w:color w:val="auto"/>
          <w:sz w:val="28"/>
          <w:szCs w:val="28"/>
          <w:highlight w:val="green"/>
          <w:lang w:eastAsia="zh-CN"/>
        </w:rPr>
      </w:pPr>
      <w:bookmarkStart w:id="33" w:name="_Toc464461877"/>
      <w:r>
        <w:rPr>
          <w:rFonts w:hint="eastAsia" w:ascii="宋体" w:hAnsi="宋体" w:eastAsia="宋体" w:cs="宋体"/>
          <w:b/>
          <w:bCs/>
          <w:color w:val="auto"/>
          <w:sz w:val="28"/>
          <w:szCs w:val="28"/>
        </w:rPr>
        <w:t>（一）</w:t>
      </w:r>
      <w:bookmarkEnd w:id="33"/>
      <w:r>
        <w:rPr>
          <w:rFonts w:hint="eastAsia" w:ascii="宋体" w:hAnsi="宋体" w:eastAsia="宋体" w:cs="宋体"/>
          <w:b/>
          <w:bCs/>
          <w:color w:val="auto"/>
          <w:sz w:val="28"/>
          <w:szCs w:val="28"/>
        </w:rPr>
        <w:t>凤凰精神引领</w:t>
      </w:r>
      <w:r>
        <w:rPr>
          <w:rFonts w:hint="eastAsia" w:ascii="宋体" w:hAnsi="宋体" w:cs="宋体"/>
          <w:b/>
          <w:bCs/>
          <w:color w:val="auto"/>
          <w:sz w:val="28"/>
          <w:szCs w:val="28"/>
          <w:lang w:eastAsia="zh-CN"/>
        </w:rPr>
        <w:t>学校发展</w:t>
      </w:r>
    </w:p>
    <w:p>
      <w:pPr>
        <w:pageBreakBefore w:val="0"/>
        <w:kinsoku/>
        <w:wordWrap/>
        <w:overflowPunct/>
        <w:topLinePunct w:val="0"/>
        <w:autoSpaceDE w:val="0"/>
        <w:autoSpaceDN w:val="0"/>
        <w:bidi w:val="0"/>
        <w:adjustRightInd w:val="0"/>
        <w:snapToGrid w:val="0"/>
        <w:spacing w:line="312"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学校以凤凰精神为引领，大力开展校园文化建设。</w:t>
      </w:r>
      <w:r>
        <w:rPr>
          <w:rFonts w:hint="eastAsia" w:ascii="宋体" w:hAnsi="宋体" w:eastAsia="宋体" w:cs="宋体"/>
          <w:color w:val="auto"/>
          <w:kern w:val="0"/>
          <w:sz w:val="28"/>
          <w:szCs w:val="28"/>
        </w:rPr>
        <w:t>学校从显性环境着手、隐性环境立意，打造怡情冶性的美丽校园。学习、运动、阅览、文娱设施完善。校园内，小坡青青、绿树荫荫、流水淙淙、书声琅琅，文化石、文化长廊、荣誉栏、健康体验中心等，是环境文化的“大景点”。楼名、路名、树名、道旗、传统文化灯箱等，是环境文化的“微景观”，两者相得益彰。学校实施“一部一品”、“一班一特”、“淑女工程”、“杏林文化”、“博雅文化”、“书香校园”、“创新创业”等工程，开展“科技文化节”、体育艺术节、校运会、文艺汇演、“三项宣誓”、爱心义卖等活动，进行植树、护河、环保、乌镇采风、参观博物馆等实践性活动。通过活动，</w:t>
      </w:r>
      <w:r>
        <w:rPr>
          <w:rFonts w:hint="eastAsia" w:ascii="宋体" w:hAnsi="宋体" w:eastAsia="宋体" w:cs="宋体"/>
          <w:color w:val="auto"/>
          <w:sz w:val="28"/>
          <w:szCs w:val="28"/>
        </w:rPr>
        <w:t>营造了和谐的工作环境、优美的校园环境，形成了凝聚向上、与时俱进的良好氛围，为培养人才奠定了良好基础。</w:t>
      </w:r>
    </w:p>
    <w:p>
      <w:pPr>
        <w:pStyle w:val="3"/>
        <w:pageBreakBefore w:val="0"/>
        <w:kinsoku/>
        <w:wordWrap/>
        <w:overflowPunct/>
        <w:topLinePunct w:val="0"/>
        <w:bidi w:val="0"/>
        <w:adjustRightInd w:val="0"/>
        <w:snapToGrid w:val="0"/>
        <w:spacing w:before="0" w:beforeAutospacing="0" w:after="0" w:afterAutospacing="0" w:line="312" w:lineRule="auto"/>
        <w:ind w:firstLine="562" w:firstLineChars="200"/>
        <w:jc w:val="left"/>
        <w:textAlignment w:val="auto"/>
        <w:rPr>
          <w:rFonts w:hint="eastAsia" w:ascii="宋体" w:hAnsi="宋体" w:eastAsia="宋体" w:cs="宋体"/>
          <w:color w:val="auto"/>
          <w:kern w:val="2"/>
          <w:lang w:eastAsia="zh-CN"/>
        </w:rPr>
      </w:pPr>
      <w:r>
        <w:rPr>
          <w:rFonts w:hint="eastAsia" w:ascii="宋体" w:hAnsi="宋体" w:eastAsia="宋体" w:cs="宋体"/>
          <w:color w:val="auto"/>
          <w:kern w:val="2"/>
        </w:rPr>
        <w:t>（二）</w:t>
      </w:r>
      <w:r>
        <w:rPr>
          <w:rFonts w:hint="eastAsia" w:ascii="宋体" w:hAnsi="宋体" w:eastAsia="宋体" w:cs="宋体"/>
          <w:color w:val="auto"/>
          <w:kern w:val="2"/>
          <w:lang w:eastAsia="zh-CN"/>
        </w:rPr>
        <w:t>校属医院助推专业发展</w:t>
      </w:r>
    </w:p>
    <w:p>
      <w:pPr>
        <w:keepNext w:val="0"/>
        <w:keepLines w:val="0"/>
        <w:pageBreakBefore w:val="0"/>
        <w:widowControl w:val="0"/>
        <w:kinsoku/>
        <w:wordWrap/>
        <w:overflowPunct/>
        <w:topLinePunct w:val="0"/>
        <w:autoSpaceDE w:val="0"/>
        <w:autoSpaceDN w:val="0"/>
        <w:bidi w:val="0"/>
        <w:adjustRightInd w:val="0"/>
        <w:snapToGrid w:val="0"/>
        <w:spacing w:line="312" w:lineRule="auto"/>
        <w:ind w:firstLine="560" w:firstLineChars="200"/>
        <w:jc w:val="left"/>
        <w:textAlignment w:val="auto"/>
        <w:rPr>
          <w:ins w:id="0" w:author="Administrator" w:date="2019-10-04T08:23:00Z"/>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2009年，学校投资2000余万元的校属医院——桐乡市康复医院投入使用。医院</w:t>
      </w:r>
      <w:ins w:id="1" w:author="Administrator" w:date="2019-10-04T08:24:00Z">
        <w:r>
          <w:rPr>
            <w:rFonts w:hint="eastAsia" w:ascii="宋体" w:hAnsi="宋体" w:eastAsia="宋体" w:cs="宋体"/>
            <w:color w:val="auto"/>
            <w:sz w:val="28"/>
            <w:szCs w:val="28"/>
            <w:lang w:val="en-US" w:eastAsia="zh-CN"/>
          </w:rPr>
          <w:t>建筑面积5654平方米，设备总值663.2万元，设4个康复病区，开放住院床位12</w:t>
        </w:r>
      </w:ins>
      <w:ins w:id="2" w:author="Administrator" w:date="2019-10-04T08:25:00Z">
        <w:r>
          <w:rPr>
            <w:rFonts w:hint="eastAsia" w:ascii="宋体" w:hAnsi="宋体" w:eastAsia="宋体" w:cs="宋体"/>
            <w:color w:val="auto"/>
            <w:sz w:val="28"/>
            <w:szCs w:val="28"/>
            <w:lang w:val="en-US" w:eastAsia="zh-CN"/>
          </w:rPr>
          <w:t>6</w:t>
        </w:r>
      </w:ins>
      <w:ins w:id="3" w:author="Administrator" w:date="2019-10-04T08:24:00Z">
        <w:r>
          <w:rPr>
            <w:rFonts w:hint="eastAsia" w:ascii="宋体" w:hAnsi="宋体" w:eastAsia="宋体" w:cs="宋体"/>
            <w:color w:val="auto"/>
            <w:sz w:val="28"/>
            <w:szCs w:val="28"/>
            <w:lang w:val="en-US" w:eastAsia="zh-CN"/>
          </w:rPr>
          <w:t>张。医院拥有先进</w:t>
        </w:r>
      </w:ins>
      <w:ins w:id="4" w:author="Administrator" w:date="2019-10-04T08:25:00Z">
        <w:r>
          <w:rPr>
            <w:rFonts w:hint="eastAsia" w:ascii="宋体" w:hAnsi="宋体" w:eastAsia="宋体" w:cs="宋体"/>
            <w:color w:val="auto"/>
            <w:sz w:val="28"/>
            <w:szCs w:val="28"/>
            <w:lang w:val="en-US" w:eastAsia="zh-CN"/>
          </w:rPr>
          <w:t>、</w:t>
        </w:r>
      </w:ins>
      <w:ins w:id="5" w:author="Administrator" w:date="2019-10-04T08:26:00Z">
        <w:r>
          <w:rPr>
            <w:rFonts w:hint="eastAsia" w:ascii="宋体" w:hAnsi="宋体" w:eastAsia="宋体" w:cs="宋体"/>
            <w:color w:val="auto"/>
            <w:sz w:val="28"/>
            <w:szCs w:val="28"/>
            <w:lang w:val="en-US" w:eastAsia="zh-CN"/>
          </w:rPr>
          <w:t>齐全</w:t>
        </w:r>
      </w:ins>
      <w:ins w:id="6" w:author="Administrator" w:date="2019-10-04T08:24:00Z">
        <w:r>
          <w:rPr>
            <w:rFonts w:hint="eastAsia" w:ascii="宋体" w:hAnsi="宋体" w:eastAsia="宋体" w:cs="宋体"/>
            <w:color w:val="auto"/>
            <w:sz w:val="28"/>
            <w:szCs w:val="28"/>
            <w:lang w:val="en-US" w:eastAsia="zh-CN"/>
          </w:rPr>
          <w:t>的</w:t>
        </w:r>
      </w:ins>
      <w:ins w:id="7" w:author="Administrator" w:date="2019-10-04T08:25:00Z">
        <w:r>
          <w:rPr>
            <w:rFonts w:hint="eastAsia" w:ascii="宋体" w:hAnsi="宋体" w:eastAsia="宋体" w:cs="宋体"/>
            <w:color w:val="auto"/>
            <w:sz w:val="28"/>
            <w:szCs w:val="28"/>
            <w:lang w:val="en-US" w:eastAsia="zh-CN"/>
          </w:rPr>
          <w:t>康复、</w:t>
        </w:r>
      </w:ins>
      <w:ins w:id="8" w:author="Administrator" w:date="2019-10-04T08:24:00Z">
        <w:r>
          <w:rPr>
            <w:rFonts w:hint="eastAsia" w:ascii="宋体" w:hAnsi="宋体" w:eastAsia="宋体" w:cs="宋体"/>
            <w:color w:val="auto"/>
            <w:sz w:val="28"/>
            <w:szCs w:val="28"/>
            <w:lang w:val="en-US" w:eastAsia="zh-CN"/>
          </w:rPr>
          <w:t>护理、</w:t>
        </w:r>
      </w:ins>
      <w:ins w:id="9" w:author="Administrator" w:date="2019-10-04T08:26:00Z">
        <w:r>
          <w:rPr>
            <w:rFonts w:hint="eastAsia" w:ascii="宋体" w:hAnsi="宋体" w:eastAsia="宋体" w:cs="宋体"/>
            <w:color w:val="auto"/>
            <w:sz w:val="28"/>
            <w:szCs w:val="28"/>
            <w:lang w:val="en-US" w:eastAsia="zh-CN"/>
          </w:rPr>
          <w:t>医</w:t>
        </w:r>
      </w:ins>
      <w:ins w:id="10" w:author="Administrator" w:date="2019-10-04T08:24:00Z">
        <w:r>
          <w:rPr>
            <w:rFonts w:hint="eastAsia" w:ascii="宋体" w:hAnsi="宋体" w:eastAsia="宋体" w:cs="宋体"/>
            <w:color w:val="auto"/>
            <w:sz w:val="28"/>
            <w:szCs w:val="28"/>
            <w:lang w:val="en-US" w:eastAsia="zh-CN"/>
          </w:rPr>
          <w:t>疗设备。医院立足于专业康复、护理，设有门诊部及住院部。收治病人以脑血管疾病、颅脑损伤、脊髓损伤、脑瘫、骨关节疾病、老年慢性病、脑瘫儿等为主。</w:t>
        </w:r>
      </w:ins>
    </w:p>
    <w:p>
      <w:pPr>
        <w:keepNext w:val="0"/>
        <w:keepLines w:val="0"/>
        <w:pageBreakBefore w:val="0"/>
        <w:widowControl w:val="0"/>
        <w:kinsoku/>
        <w:wordWrap/>
        <w:overflowPunct/>
        <w:topLinePunct w:val="0"/>
        <w:autoSpaceDE w:val="0"/>
        <w:autoSpaceDN w:val="0"/>
        <w:bidi w:val="0"/>
        <w:adjustRightInd w:val="0"/>
        <w:snapToGrid w:val="0"/>
        <w:spacing w:line="312" w:lineRule="auto"/>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医院</w:t>
      </w:r>
      <w:ins w:id="11" w:author="Administrator" w:date="2019-10-04T08:23:00Z">
        <w:r>
          <w:rPr>
            <w:rFonts w:hint="eastAsia" w:ascii="宋体" w:hAnsi="宋体" w:eastAsia="宋体" w:cs="宋体"/>
            <w:color w:val="auto"/>
            <w:sz w:val="28"/>
            <w:szCs w:val="28"/>
            <w:lang w:val="en-US" w:eastAsia="zh-CN"/>
          </w:rPr>
          <w:t>是嘉兴市首家专业康复医院</w:t>
        </w:r>
      </w:ins>
      <w:ins w:id="12" w:author="Administrator" w:date="2019-10-04T08:25:00Z">
        <w:r>
          <w:rPr>
            <w:rFonts w:hint="eastAsia" w:ascii="宋体" w:hAnsi="宋体" w:eastAsia="宋体" w:cs="宋体"/>
            <w:color w:val="auto"/>
            <w:sz w:val="28"/>
            <w:szCs w:val="28"/>
            <w:lang w:val="en-US" w:eastAsia="zh-CN"/>
          </w:rPr>
          <w:t>；</w:t>
        </w:r>
      </w:ins>
      <w:ins w:id="13" w:author="Administrator" w:date="2019-10-04T08:23:00Z">
        <w:r>
          <w:rPr>
            <w:rFonts w:hint="eastAsia" w:ascii="宋体" w:hAnsi="宋体" w:eastAsia="宋体" w:cs="宋体"/>
            <w:color w:val="auto"/>
            <w:sz w:val="28"/>
            <w:szCs w:val="28"/>
            <w:lang w:val="en-US" w:eastAsia="zh-CN"/>
          </w:rPr>
          <w:t>是国家级卫生类实训基地</w:t>
        </w:r>
      </w:ins>
      <w:ins w:id="14" w:author="Administrator" w:date="2019-10-04T08:24:00Z">
        <w:r>
          <w:rPr>
            <w:rFonts w:hint="eastAsia" w:ascii="宋体" w:hAnsi="宋体" w:eastAsia="宋体" w:cs="宋体"/>
            <w:color w:val="auto"/>
            <w:sz w:val="28"/>
            <w:szCs w:val="28"/>
            <w:lang w:val="en-US" w:eastAsia="zh-CN"/>
          </w:rPr>
          <w:t>，集“产、学、训、研”功能为一体</w:t>
        </w:r>
      </w:ins>
      <w:ins w:id="15" w:author="Administrator" w:date="2019-10-04T08:25:00Z">
        <w:r>
          <w:rPr>
            <w:rFonts w:hint="eastAsia" w:ascii="宋体" w:hAnsi="宋体" w:eastAsia="宋体" w:cs="宋体"/>
            <w:color w:val="auto"/>
            <w:sz w:val="28"/>
            <w:szCs w:val="28"/>
            <w:lang w:val="en-US" w:eastAsia="zh-CN"/>
          </w:rPr>
          <w:t>；</w:t>
        </w:r>
      </w:ins>
      <w:ins w:id="16" w:author="Administrator" w:date="2019-10-04T08:24:00Z">
        <w:r>
          <w:rPr>
            <w:rFonts w:hint="eastAsia" w:ascii="宋体" w:hAnsi="宋体" w:eastAsia="宋体" w:cs="宋体"/>
            <w:color w:val="auto"/>
            <w:sz w:val="28"/>
            <w:szCs w:val="28"/>
            <w:lang w:val="en-US" w:eastAsia="zh-CN"/>
          </w:rPr>
          <w:t>是“浙江省产学研联合体”、“浙江省开放实训中心”。</w:t>
        </w:r>
      </w:ins>
      <w:r>
        <w:rPr>
          <w:rFonts w:hint="eastAsia" w:ascii="宋体" w:hAnsi="宋体" w:eastAsia="宋体" w:cs="宋体"/>
          <w:color w:val="auto"/>
          <w:sz w:val="28"/>
          <w:szCs w:val="28"/>
          <w:lang w:val="en-US" w:eastAsia="zh-CN"/>
        </w:rPr>
        <w:t>医院融教学培训和社会服务职能为一体，既是先进的实训基地，</w:t>
      </w:r>
      <w:ins w:id="17" w:author="Administrator" w:date="2019-10-04T08:12:00Z">
        <w:r>
          <w:rPr>
            <w:rFonts w:hint="eastAsia" w:ascii="宋体" w:hAnsi="宋体" w:eastAsia="宋体" w:cs="宋体"/>
            <w:color w:val="auto"/>
            <w:sz w:val="28"/>
            <w:szCs w:val="28"/>
            <w:lang w:val="en-US" w:eastAsia="zh-CN"/>
          </w:rPr>
          <w:t>能开展各类</w:t>
        </w:r>
      </w:ins>
      <w:r>
        <w:rPr>
          <w:rFonts w:hint="eastAsia" w:ascii="宋体" w:hAnsi="宋体" w:eastAsia="宋体" w:cs="宋体"/>
          <w:color w:val="auto"/>
          <w:sz w:val="28"/>
          <w:szCs w:val="28"/>
          <w:lang w:val="en-US" w:eastAsia="zh-CN"/>
        </w:rPr>
        <w:t>医疗、护理、</w:t>
      </w:r>
      <w:ins w:id="18" w:author="Administrator" w:date="2019-10-04T08:12:00Z">
        <w:r>
          <w:rPr>
            <w:rFonts w:hint="eastAsia" w:ascii="宋体" w:hAnsi="宋体" w:eastAsia="宋体" w:cs="宋体"/>
            <w:color w:val="auto"/>
            <w:sz w:val="28"/>
            <w:szCs w:val="28"/>
            <w:lang w:val="en-US" w:eastAsia="zh-CN"/>
          </w:rPr>
          <w:t>康复、</w:t>
        </w:r>
      </w:ins>
      <w:r>
        <w:rPr>
          <w:rFonts w:hint="eastAsia" w:ascii="宋体" w:hAnsi="宋体" w:eastAsia="宋体" w:cs="宋体"/>
          <w:color w:val="auto"/>
          <w:sz w:val="28"/>
          <w:szCs w:val="28"/>
          <w:lang w:val="en-US" w:eastAsia="zh-CN"/>
        </w:rPr>
        <w:t>药剂、检验等相关专业的技能培训；又是面向社会开放的优越的服务性医疗机构，</w:t>
      </w:r>
      <w:ins w:id="19" w:author="Administrator" w:date="2019-10-04T08:13:00Z">
        <w:r>
          <w:rPr>
            <w:rFonts w:hint="eastAsia" w:ascii="宋体" w:hAnsi="宋体" w:eastAsia="宋体" w:cs="宋体"/>
            <w:color w:val="auto"/>
            <w:sz w:val="28"/>
            <w:szCs w:val="28"/>
            <w:lang w:val="en-US" w:eastAsia="zh-CN"/>
          </w:rPr>
          <w:t>提供医疗</w:t>
        </w:r>
      </w:ins>
      <w:r>
        <w:rPr>
          <w:rFonts w:hint="eastAsia" w:ascii="宋体" w:hAnsi="宋体" w:eastAsia="宋体" w:cs="宋体"/>
          <w:color w:val="auto"/>
          <w:sz w:val="28"/>
          <w:szCs w:val="28"/>
          <w:lang w:val="en-US" w:eastAsia="zh-CN"/>
        </w:rPr>
        <w:t>、康复、护理等</w:t>
      </w:r>
      <w:ins w:id="20" w:author="Administrator" w:date="2019-10-04T08:13:00Z">
        <w:r>
          <w:rPr>
            <w:rFonts w:hint="eastAsia" w:ascii="宋体" w:hAnsi="宋体" w:eastAsia="宋体" w:cs="宋体"/>
            <w:color w:val="auto"/>
            <w:sz w:val="28"/>
            <w:szCs w:val="28"/>
            <w:lang w:val="en-US" w:eastAsia="zh-CN"/>
          </w:rPr>
          <w:t>服务</w:t>
        </w:r>
      </w:ins>
      <w:r>
        <w:rPr>
          <w:rFonts w:hint="eastAsia" w:ascii="宋体" w:hAnsi="宋体" w:eastAsia="宋体" w:cs="宋体"/>
          <w:color w:val="auto"/>
          <w:sz w:val="28"/>
          <w:szCs w:val="28"/>
          <w:lang w:val="en-US" w:eastAsia="zh-CN"/>
        </w:rPr>
        <w:t>，其规模、设施、模式和承担的社会职能，在国内同类学校中尚属唯一。</w:t>
      </w:r>
    </w:p>
    <w:p>
      <w:pPr>
        <w:keepNext w:val="0"/>
        <w:keepLines w:val="0"/>
        <w:pageBreakBefore w:val="0"/>
        <w:widowControl w:val="0"/>
        <w:kinsoku/>
        <w:wordWrap/>
        <w:overflowPunct/>
        <w:topLinePunct w:val="0"/>
        <w:autoSpaceDE w:val="0"/>
        <w:autoSpaceDN w:val="0"/>
        <w:bidi w:val="0"/>
        <w:adjustRightInd w:val="0"/>
        <w:snapToGrid w:val="0"/>
        <w:spacing w:line="312" w:lineRule="auto"/>
        <w:ind w:firstLine="560" w:firstLineChars="20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医院年住院人数500余人次，门诊病人5000余人次，年业务收入1000万元以上，床位使用率常年维持在95%以上。医院与学校实行一体化管理</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院校合作深化产教融合</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培养双师型教师及实用型高技能健康服务人才</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有效促进了学校健康服务类专业的发展。</w:t>
      </w:r>
    </w:p>
    <w:p>
      <w:pPr>
        <w:pStyle w:val="3"/>
        <w:pageBreakBefore w:val="0"/>
        <w:kinsoku/>
        <w:wordWrap/>
        <w:overflowPunct/>
        <w:topLinePunct w:val="0"/>
        <w:bidi w:val="0"/>
        <w:adjustRightInd w:val="0"/>
        <w:snapToGrid w:val="0"/>
        <w:spacing w:before="0" w:beforeAutospacing="0" w:after="0" w:afterAutospacing="0" w:line="312" w:lineRule="auto"/>
        <w:ind w:firstLine="562" w:firstLineChars="200"/>
        <w:jc w:val="left"/>
        <w:textAlignment w:val="auto"/>
        <w:rPr>
          <w:rFonts w:hint="eastAsia" w:ascii="宋体" w:hAnsi="宋体" w:eastAsia="宋体" w:cs="宋体"/>
          <w:color w:val="auto"/>
          <w:kern w:val="2"/>
          <w:lang w:eastAsia="zh-CN"/>
        </w:rPr>
      </w:pPr>
      <w:r>
        <w:rPr>
          <w:rFonts w:hint="eastAsia" w:ascii="宋体" w:hAnsi="宋体" w:eastAsia="宋体" w:cs="宋体"/>
          <w:color w:val="auto"/>
          <w:kern w:val="2"/>
        </w:rPr>
        <w:t>（</w:t>
      </w:r>
      <w:r>
        <w:rPr>
          <w:rFonts w:hint="eastAsia" w:cs="宋体"/>
          <w:color w:val="auto"/>
          <w:kern w:val="2"/>
          <w:lang w:eastAsia="zh-CN"/>
        </w:rPr>
        <w:t>三</w:t>
      </w:r>
      <w:r>
        <w:rPr>
          <w:rFonts w:hint="eastAsia" w:ascii="宋体" w:hAnsi="宋体" w:eastAsia="宋体" w:cs="宋体"/>
          <w:color w:val="auto"/>
          <w:kern w:val="2"/>
        </w:rPr>
        <w:t>）“护考命题”</w:t>
      </w:r>
      <w:r>
        <w:rPr>
          <w:rFonts w:hint="eastAsia" w:ascii="宋体" w:hAnsi="宋体" w:eastAsia="宋体" w:cs="宋体"/>
          <w:color w:val="auto"/>
          <w:kern w:val="2"/>
          <w:lang w:eastAsia="zh-CN"/>
        </w:rPr>
        <w:t>助</w:t>
      </w:r>
      <w:r>
        <w:rPr>
          <w:rFonts w:hint="eastAsia" w:cs="宋体"/>
          <w:color w:val="auto"/>
          <w:kern w:val="2"/>
          <w:lang w:eastAsia="zh-CN"/>
        </w:rPr>
        <w:t>推教师成长</w:t>
      </w:r>
    </w:p>
    <w:p>
      <w:pPr>
        <w:pageBreakBefore w:val="0"/>
        <w:kinsoku/>
        <w:wordWrap/>
        <w:overflowPunct/>
        <w:topLinePunct w:val="0"/>
        <w:autoSpaceDE w:val="0"/>
        <w:autoSpaceDN w:val="0"/>
        <w:bidi w:val="0"/>
        <w:adjustRightInd w:val="0"/>
        <w:snapToGrid w:val="0"/>
        <w:spacing w:line="312" w:lineRule="auto"/>
        <w:ind w:firstLine="560" w:firstLineChars="200"/>
        <w:textAlignment w:val="auto"/>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浙江省的护士执业资格考试成绩领先全国，桐乡卫校的成绩更是全省、全国佼佼者、领跑者，给国家卫生和计划生育委员会、用人单位、全国同类学校留下了深刻的印象。2016年11月，国家卫计委人才中心在行业调查、蹲点调研、充分论证的基础上，批准桐乡卫校为全国中职学校中唯一的“护士执业资格考试命题基地学校”。 2017年，进行了命题专家培训、命题保密室改造、设施的跟进，并顺利通过国家卫计委人才中心的验收许可，高标准、严要求建成了“全国护士执业资格考试命题基地学校</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。目前，</w:t>
      </w:r>
      <w:r>
        <w:rPr>
          <w:rFonts w:hint="eastAsia" w:ascii="宋体" w:hAnsi="宋体" w:eastAsia="宋体" w:cs="宋体"/>
          <w:color w:val="auto"/>
          <w:sz w:val="28"/>
          <w:szCs w:val="28"/>
          <w:shd w:val="clear" w:color="auto" w:fill="FFFFFF"/>
          <w:lang w:eastAsia="zh-CN"/>
        </w:rPr>
        <w:t>试</w:t>
      </w:r>
      <w:r>
        <w:rPr>
          <w:rFonts w:hint="eastAsia" w:ascii="宋体" w:hAnsi="宋体" w:eastAsia="宋体" w:cs="宋体"/>
          <w:color w:val="auto"/>
          <w:sz w:val="28"/>
          <w:szCs w:val="28"/>
          <w:shd w:val="clear" w:color="auto" w:fill="FFFFFF"/>
        </w:rPr>
        <w:t>题开发</w:t>
      </w:r>
      <w:r>
        <w:rPr>
          <w:rFonts w:hint="eastAsia" w:ascii="宋体" w:hAnsi="宋体" w:eastAsia="宋体" w:cs="宋体"/>
          <w:color w:val="auto"/>
          <w:sz w:val="28"/>
          <w:szCs w:val="28"/>
          <w:shd w:val="clear" w:color="auto" w:fill="FFFFFF"/>
          <w:lang w:eastAsia="zh-CN"/>
        </w:rPr>
        <w:t>已三年</w:t>
      </w:r>
      <w:r>
        <w:rPr>
          <w:rFonts w:hint="eastAsia" w:ascii="宋体" w:hAnsi="宋体" w:eastAsia="宋体" w:cs="宋体"/>
          <w:color w:val="auto"/>
          <w:sz w:val="28"/>
          <w:szCs w:val="28"/>
          <w:shd w:val="clear" w:color="auto" w:fill="FFFFFF"/>
        </w:rPr>
        <w:t>。此项目的推进，明显提高</w:t>
      </w:r>
      <w:r>
        <w:rPr>
          <w:rFonts w:hint="eastAsia" w:ascii="宋体" w:hAnsi="宋体" w:eastAsia="宋体" w:cs="宋体"/>
          <w:color w:val="auto"/>
          <w:sz w:val="28"/>
          <w:szCs w:val="28"/>
          <w:shd w:val="clear" w:color="auto" w:fill="FFFFFF"/>
          <w:lang w:eastAsia="zh-CN"/>
        </w:rPr>
        <w:t>了</w:t>
      </w:r>
      <w:r>
        <w:rPr>
          <w:rFonts w:hint="eastAsia" w:ascii="宋体" w:hAnsi="宋体" w:eastAsia="宋体" w:cs="宋体"/>
          <w:color w:val="auto"/>
          <w:sz w:val="28"/>
          <w:szCs w:val="28"/>
          <w:shd w:val="clear" w:color="auto" w:fill="FFFFFF"/>
        </w:rPr>
        <w:t>师生</w:t>
      </w:r>
      <w:r>
        <w:rPr>
          <w:rFonts w:hint="eastAsia" w:ascii="宋体" w:hAnsi="宋体" w:eastAsia="宋体" w:cs="宋体"/>
          <w:color w:val="auto"/>
          <w:sz w:val="28"/>
          <w:szCs w:val="28"/>
          <w:shd w:val="clear" w:color="auto" w:fill="FFFFFF"/>
          <w:lang w:eastAsia="zh-CN"/>
        </w:rPr>
        <w:t>对</w:t>
      </w:r>
      <w:r>
        <w:rPr>
          <w:rFonts w:hint="eastAsia" w:ascii="宋体" w:hAnsi="宋体" w:eastAsia="宋体" w:cs="宋体"/>
          <w:color w:val="auto"/>
          <w:sz w:val="28"/>
          <w:szCs w:val="28"/>
          <w:shd w:val="clear" w:color="auto" w:fill="FFFFFF"/>
        </w:rPr>
        <w:t>护士执业综合能力</w:t>
      </w:r>
      <w:r>
        <w:rPr>
          <w:rFonts w:hint="eastAsia" w:ascii="宋体" w:hAnsi="宋体" w:eastAsia="宋体" w:cs="宋体"/>
          <w:color w:val="auto"/>
          <w:sz w:val="28"/>
          <w:szCs w:val="28"/>
          <w:shd w:val="clear" w:color="auto" w:fill="FFFFFF"/>
          <w:lang w:eastAsia="zh-CN"/>
        </w:rPr>
        <w:t>的理解与把握</w:t>
      </w:r>
      <w:r>
        <w:rPr>
          <w:rFonts w:hint="eastAsia" w:ascii="宋体" w:hAnsi="宋体" w:eastAsia="宋体" w:cs="宋体"/>
          <w:color w:val="auto"/>
          <w:sz w:val="28"/>
          <w:szCs w:val="28"/>
          <w:shd w:val="clear" w:color="auto" w:fill="FFFFFF"/>
        </w:rPr>
        <w:t>，推动教师成长和专业发展，成为教师发展、专业建设、标杆意识的新要求、新高度。</w:t>
      </w:r>
    </w:p>
    <w:p>
      <w:pPr>
        <w:pageBreakBefore w:val="0"/>
        <w:kinsoku/>
        <w:wordWrap/>
        <w:overflowPunct/>
        <w:topLinePunct w:val="0"/>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八、主要问题和</w:t>
      </w:r>
      <w:bookmarkStart w:id="34" w:name="OLE_LINK42"/>
      <w:r>
        <w:rPr>
          <w:rFonts w:hint="eastAsia" w:ascii="宋体" w:hAnsi="宋体" w:eastAsia="宋体" w:cs="宋体"/>
          <w:b/>
          <w:color w:val="auto"/>
          <w:sz w:val="28"/>
          <w:szCs w:val="28"/>
        </w:rPr>
        <w:t>努力方向</w:t>
      </w:r>
    </w:p>
    <w:p>
      <w:pPr>
        <w:pageBreakBefore w:val="0"/>
        <w:kinsoku/>
        <w:wordWrap/>
        <w:overflowPunct/>
        <w:topLinePunct w:val="0"/>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（一）主要问题</w:t>
      </w:r>
    </w:p>
    <w:p>
      <w:pPr>
        <w:pageBreakBefore w:val="0"/>
        <w:kinsoku/>
        <w:wordWrap/>
        <w:overflowPunct/>
        <w:topLinePunct w:val="0"/>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一年来，在各上级部门的领导及关心下，在国家大力发展职业教育的良好背景下，通过全校师生的共同努力，本年度我校的各项工作都取得了很大的进步，得到了上级领导的充分肯定。</w:t>
      </w:r>
      <w:r>
        <w:rPr>
          <w:rFonts w:hint="eastAsia" w:ascii="宋体" w:hAnsi="宋体" w:eastAsia="宋体" w:cs="宋体"/>
          <w:color w:val="auto"/>
          <w:sz w:val="28"/>
          <w:szCs w:val="28"/>
          <w:lang w:eastAsia="zh-CN"/>
        </w:rPr>
        <w:t>尤其是“十三五”</w:t>
      </w:r>
      <w:r>
        <w:rPr>
          <w:rFonts w:hint="eastAsia" w:ascii="宋体" w:hAnsi="宋体" w:cs="宋体"/>
          <w:color w:val="auto"/>
          <w:sz w:val="28"/>
          <w:szCs w:val="28"/>
          <w:lang w:eastAsia="zh-CN"/>
        </w:rPr>
        <w:t>期间本校在省“三名工程”项目中大获丰收；在</w:t>
      </w:r>
      <w:r>
        <w:rPr>
          <w:rFonts w:hint="eastAsia" w:ascii="宋体" w:hAnsi="宋体" w:eastAsia="宋体" w:cs="宋体"/>
          <w:color w:val="auto"/>
          <w:sz w:val="28"/>
          <w:szCs w:val="28"/>
          <w:lang w:eastAsia="zh-CN"/>
        </w:rPr>
        <w:t>“十</w:t>
      </w:r>
      <w:r>
        <w:rPr>
          <w:rFonts w:hint="eastAsia" w:ascii="宋体" w:hAnsi="宋体" w:cs="宋体"/>
          <w:color w:val="auto"/>
          <w:sz w:val="28"/>
          <w:szCs w:val="28"/>
          <w:lang w:eastAsia="zh-CN"/>
        </w:rPr>
        <w:t>四</w:t>
      </w:r>
      <w:r>
        <w:rPr>
          <w:rFonts w:hint="eastAsia" w:ascii="宋体" w:hAnsi="宋体" w:eastAsia="宋体" w:cs="宋体"/>
          <w:color w:val="auto"/>
          <w:sz w:val="28"/>
          <w:szCs w:val="28"/>
          <w:lang w:eastAsia="zh-CN"/>
        </w:rPr>
        <w:t>五”</w:t>
      </w:r>
      <w:r>
        <w:rPr>
          <w:rFonts w:hint="eastAsia" w:ascii="宋体" w:hAnsi="宋体" w:cs="宋体"/>
          <w:color w:val="auto"/>
          <w:sz w:val="28"/>
          <w:szCs w:val="28"/>
          <w:lang w:eastAsia="zh-CN"/>
        </w:rPr>
        <w:t>开局之初，斩获“双高”项目。</w:t>
      </w:r>
      <w:r>
        <w:rPr>
          <w:rFonts w:hint="eastAsia" w:ascii="宋体" w:hAnsi="宋体" w:eastAsia="宋体" w:cs="宋体"/>
          <w:color w:val="auto"/>
          <w:sz w:val="28"/>
          <w:szCs w:val="28"/>
        </w:rPr>
        <w:t>但我们也清醒地认识到，我校的工作还存在一些不足之处:师资队伍编制不足、发展不平衡</w:t>
      </w:r>
      <w:r>
        <w:rPr>
          <w:rFonts w:hint="eastAsia" w:ascii="宋体" w:hAnsi="宋体" w:eastAsia="宋体" w:cs="宋体"/>
          <w:color w:val="auto"/>
          <w:sz w:val="28"/>
          <w:szCs w:val="28"/>
          <w:lang w:eastAsia="zh-CN"/>
        </w:rPr>
        <w:t>，科研能力与水平有待进一步加强，</w:t>
      </w:r>
      <w:r>
        <w:rPr>
          <w:rFonts w:hint="eastAsia" w:ascii="宋体" w:hAnsi="宋体" w:eastAsia="宋体" w:cs="宋体"/>
          <w:color w:val="auto"/>
          <w:sz w:val="28"/>
          <w:szCs w:val="28"/>
        </w:rPr>
        <w:t>校企合作、社会服务能力还须进一步提升。</w:t>
      </w:r>
    </w:p>
    <w:p>
      <w:pPr>
        <w:pageBreakBefore w:val="0"/>
        <w:kinsoku/>
        <w:wordWrap/>
        <w:overflowPunct/>
        <w:topLinePunct w:val="0"/>
        <w:bidi w:val="0"/>
        <w:adjustRightInd w:val="0"/>
        <w:snapToGrid w:val="0"/>
        <w:spacing w:line="312"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（二）努力方向</w:t>
      </w:r>
    </w:p>
    <w:p>
      <w:pPr>
        <w:pageBreakBefore w:val="0"/>
        <w:kinsoku/>
        <w:wordWrap/>
        <w:overflowPunct/>
        <w:topLinePunct w:val="0"/>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1.开拓学校发展机遇。继续开拓办学思路，努力争取政府支持，</w:t>
      </w:r>
      <w:r>
        <w:rPr>
          <w:rFonts w:hint="eastAsia" w:ascii="宋体" w:hAnsi="宋体" w:eastAsia="宋体" w:cs="宋体"/>
          <w:color w:val="auto"/>
          <w:sz w:val="28"/>
          <w:szCs w:val="28"/>
          <w:lang w:eastAsia="zh-CN"/>
        </w:rPr>
        <w:t>在</w:t>
      </w:r>
      <w:r>
        <w:rPr>
          <w:rFonts w:hint="eastAsia" w:ascii="宋体" w:hAnsi="宋体" w:eastAsia="宋体" w:cs="宋体"/>
          <w:color w:val="auto"/>
          <w:sz w:val="28"/>
          <w:szCs w:val="28"/>
        </w:rPr>
        <w:t>与高校合作</w:t>
      </w:r>
      <w:r>
        <w:rPr>
          <w:rFonts w:hint="eastAsia" w:ascii="宋体" w:hAnsi="宋体" w:eastAsia="宋体" w:cs="宋体"/>
          <w:color w:val="auto"/>
          <w:sz w:val="28"/>
          <w:szCs w:val="28"/>
          <w:lang w:eastAsia="zh-CN"/>
        </w:rPr>
        <w:t>的同时，</w:t>
      </w:r>
      <w:r>
        <w:rPr>
          <w:rFonts w:hint="eastAsia" w:ascii="宋体" w:hAnsi="宋体" w:eastAsia="宋体" w:cs="宋体"/>
          <w:color w:val="auto"/>
          <w:sz w:val="28"/>
          <w:szCs w:val="28"/>
        </w:rPr>
        <w:t>积极争取</w:t>
      </w:r>
      <w:r>
        <w:rPr>
          <w:rFonts w:hint="eastAsia" w:ascii="宋体" w:hAnsi="宋体" w:eastAsia="宋体" w:cs="宋体"/>
          <w:color w:val="auto"/>
          <w:sz w:val="28"/>
          <w:szCs w:val="28"/>
          <w:lang w:eastAsia="zh-CN"/>
        </w:rPr>
        <w:t>突破</w:t>
      </w:r>
      <w:r>
        <w:rPr>
          <w:rFonts w:hint="eastAsia" w:ascii="宋体" w:hAnsi="宋体" w:cs="宋体"/>
          <w:color w:val="auto"/>
          <w:sz w:val="28"/>
          <w:szCs w:val="28"/>
          <w:lang w:eastAsia="zh-CN"/>
        </w:rPr>
        <w:t>中职办学层次</w:t>
      </w:r>
      <w:r>
        <w:rPr>
          <w:rFonts w:hint="eastAsia" w:ascii="宋体" w:hAnsi="宋体" w:eastAsia="宋体" w:cs="宋体"/>
          <w:color w:val="auto"/>
          <w:sz w:val="28"/>
          <w:szCs w:val="28"/>
        </w:rPr>
        <w:t>。</w:t>
      </w:r>
    </w:p>
    <w:p>
      <w:pPr>
        <w:pageBreakBefore w:val="0"/>
        <w:kinsoku/>
        <w:wordWrap/>
        <w:overflowPunct/>
        <w:topLinePunct w:val="0"/>
        <w:bidi w:val="0"/>
        <w:adjustRightInd w:val="0"/>
        <w:snapToGrid w:val="0"/>
        <w:spacing w:line="312"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.抓好“</w:t>
      </w:r>
      <w:r>
        <w:rPr>
          <w:rFonts w:hint="eastAsia" w:ascii="宋体" w:hAnsi="宋体" w:eastAsia="宋体" w:cs="宋体"/>
          <w:color w:val="auto"/>
          <w:sz w:val="28"/>
          <w:szCs w:val="28"/>
          <w:lang w:eastAsia="zh-CN"/>
        </w:rPr>
        <w:t>双高</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建设。</w:t>
      </w:r>
      <w:r>
        <w:rPr>
          <w:rFonts w:hint="eastAsia" w:ascii="宋体" w:hAnsi="宋体" w:eastAsia="宋体" w:cs="宋体"/>
          <w:color w:val="auto"/>
          <w:sz w:val="28"/>
          <w:szCs w:val="28"/>
          <w:lang w:eastAsia="zh-CN"/>
        </w:rPr>
        <w:t>高水平学校及高水平专业建设是本校适应地区蓬勃兴起的现代健康服务产业发展的迫切需要，是适应国家大力发展职业教育自身发展的迫切需要。学校成立由校长为负责人的高水平建设工作领导小组，分管校长负责具体建设工作，学校各职能部门全力支持与配合。以为我省健康服务产业发展提供高水准的“智慧健康服务”技术技能人才和应用技术服务支持为突破口，以建设护理、康复技术高水平专业为</w:t>
      </w:r>
      <w:r>
        <w:rPr>
          <w:rFonts w:hint="eastAsia" w:ascii="宋体" w:hAnsi="宋体" w:eastAsia="宋体" w:cs="宋体"/>
          <w:color w:val="auto"/>
          <w:sz w:val="28"/>
          <w:szCs w:val="28"/>
          <w:lang w:val="en-US" w:eastAsia="zh-CN"/>
        </w:rPr>
        <w:t>抓手，</w:t>
      </w:r>
      <w:r>
        <w:rPr>
          <w:rFonts w:hint="eastAsia" w:ascii="宋体" w:hAnsi="宋体" w:eastAsia="宋体" w:cs="宋体"/>
          <w:color w:val="auto"/>
          <w:sz w:val="28"/>
          <w:szCs w:val="28"/>
          <w:lang w:eastAsia="zh-CN"/>
        </w:rPr>
        <w:t>重点做好智囊引领、完善培养体系、推进立德树人、深化产教融合、优化教学资源、组建多维互补教师团队、实施分工合作混合式模块化精准教学。在学校治理、教师培养、团队建设、资源库建设、信息化建设、临床技术攻关与科研、教学改革与建设、课程开发、校企合作、社会服务等方面落实专人负责，压实责任。严格实施年度督导及验收工作，重点提升学校现代化学校治理水平、高素质人才培养水平、产教融合创新发展水平、专业建设水平、师资队伍建设水平、社会服务水平，</w:t>
      </w:r>
      <w:r>
        <w:rPr>
          <w:rFonts w:hint="eastAsia" w:ascii="宋体" w:hAnsi="宋体" w:cs="宋体"/>
          <w:color w:val="auto"/>
          <w:sz w:val="28"/>
          <w:szCs w:val="28"/>
          <w:lang w:eastAsia="zh-CN"/>
        </w:rPr>
        <w:t>要多方努力，</w:t>
      </w:r>
      <w:r>
        <w:rPr>
          <w:rFonts w:hint="eastAsia" w:ascii="宋体" w:hAnsi="宋体" w:eastAsia="宋体" w:cs="宋体"/>
          <w:color w:val="auto"/>
          <w:sz w:val="28"/>
          <w:szCs w:val="28"/>
        </w:rPr>
        <w:t>积极争取</w:t>
      </w:r>
      <w:r>
        <w:rPr>
          <w:rFonts w:hint="eastAsia" w:ascii="宋体" w:hAnsi="宋体" w:eastAsia="宋体" w:cs="宋体"/>
          <w:color w:val="auto"/>
          <w:sz w:val="28"/>
          <w:szCs w:val="28"/>
          <w:lang w:eastAsia="zh-CN"/>
        </w:rPr>
        <w:t>各方人力、财力及政策的支持</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保证按期达到高水平学校、高水平专业建设的预期目标。</w:t>
      </w:r>
    </w:p>
    <w:p>
      <w:pPr>
        <w:pageBreakBefore w:val="0"/>
        <w:kinsoku/>
        <w:wordWrap/>
        <w:overflowPunct/>
        <w:topLinePunct w:val="0"/>
        <w:bidi w:val="0"/>
        <w:adjustRightInd w:val="0"/>
        <w:snapToGrid w:val="0"/>
        <w:spacing w:line="312" w:lineRule="auto"/>
        <w:ind w:firstLine="562" w:firstLineChars="200"/>
        <w:jc w:val="center"/>
        <w:textAlignment w:val="auto"/>
        <w:rPr>
          <w:rFonts w:hint="eastAsia" w:ascii="宋体" w:hAnsi="宋体" w:eastAsia="宋体" w:cs="宋体"/>
          <w:bCs/>
          <w:color w:val="auto"/>
          <w:sz w:val="28"/>
          <w:szCs w:val="28"/>
        </w:rPr>
      </w:pPr>
      <w:bookmarkStart w:id="37" w:name="_GoBack"/>
      <w:bookmarkEnd w:id="37"/>
      <w:bookmarkStart w:id="35" w:name="OLE_LINK43"/>
      <w:r>
        <w:rPr>
          <w:rFonts w:hint="eastAsia" w:ascii="宋体" w:hAnsi="宋体" w:eastAsia="宋体" w:cs="宋体"/>
          <w:b/>
          <w:color w:val="auto"/>
          <w:sz w:val="28"/>
          <w:szCs w:val="28"/>
        </w:rPr>
        <w:t xml:space="preserve">               </w:t>
      </w:r>
      <w:bookmarkStart w:id="36" w:name="OLE_LINK44"/>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 xml:space="preserve"> </w:t>
      </w:r>
      <w:r>
        <w:rPr>
          <w:rFonts w:hint="eastAsia" w:ascii="宋体" w:hAnsi="宋体" w:eastAsia="宋体" w:cs="宋体"/>
          <w:bCs/>
          <w:color w:val="auto"/>
          <w:sz w:val="28"/>
          <w:szCs w:val="28"/>
        </w:rPr>
        <w:t>桐乡市卫生学校</w:t>
      </w:r>
      <w:bookmarkEnd w:id="35"/>
    </w:p>
    <w:p>
      <w:pPr>
        <w:pageBreakBefore w:val="0"/>
        <w:kinsoku/>
        <w:wordWrap/>
        <w:overflowPunct/>
        <w:topLinePunct w:val="0"/>
        <w:bidi w:val="0"/>
        <w:adjustRightInd w:val="0"/>
        <w:snapToGrid w:val="0"/>
        <w:spacing w:line="312" w:lineRule="auto"/>
        <w:ind w:firstLine="560" w:firstLineChars="200"/>
        <w:jc w:val="center"/>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 xml:space="preserve">                                 桐乡综合中等专业学校</w:t>
      </w:r>
    </w:p>
    <w:bookmarkEnd w:id="36"/>
    <w:p>
      <w:pPr>
        <w:pageBreakBefore w:val="0"/>
        <w:kinsoku/>
        <w:wordWrap/>
        <w:overflowPunct/>
        <w:topLinePunct w:val="0"/>
        <w:bidi w:val="0"/>
        <w:adjustRightInd w:val="0"/>
        <w:snapToGrid w:val="0"/>
        <w:spacing w:line="312" w:lineRule="auto"/>
        <w:ind w:firstLine="560" w:firstLineChars="200"/>
        <w:jc w:val="center"/>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2020年12月</w:t>
      </w:r>
      <w:bookmarkEnd w:id="34"/>
    </w:p>
    <w:sectPr>
      <w:footerReference r:id="rId3" w:type="default"/>
      <w:pgSz w:w="11906" w:h="16838"/>
      <w:pgMar w:top="1440" w:right="1417"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27EE"/>
    <w:rsid w:val="00012AD6"/>
    <w:rsid w:val="000140EB"/>
    <w:rsid w:val="0001722B"/>
    <w:rsid w:val="00020611"/>
    <w:rsid w:val="00023FB6"/>
    <w:rsid w:val="000247D5"/>
    <w:rsid w:val="00052BCB"/>
    <w:rsid w:val="00080A44"/>
    <w:rsid w:val="00086F19"/>
    <w:rsid w:val="000A6A91"/>
    <w:rsid w:val="000B389C"/>
    <w:rsid w:val="000C3CBA"/>
    <w:rsid w:val="000D084E"/>
    <w:rsid w:val="000D0A32"/>
    <w:rsid w:val="000D6856"/>
    <w:rsid w:val="000D6A3E"/>
    <w:rsid w:val="000E1FE8"/>
    <w:rsid w:val="000E3AD1"/>
    <w:rsid w:val="00110BE5"/>
    <w:rsid w:val="0011112E"/>
    <w:rsid w:val="00112DB3"/>
    <w:rsid w:val="00122DA4"/>
    <w:rsid w:val="00137370"/>
    <w:rsid w:val="00141F57"/>
    <w:rsid w:val="00143DFF"/>
    <w:rsid w:val="00175B9E"/>
    <w:rsid w:val="001846B6"/>
    <w:rsid w:val="0018775E"/>
    <w:rsid w:val="0019037A"/>
    <w:rsid w:val="001F0100"/>
    <w:rsid w:val="001F2CE7"/>
    <w:rsid w:val="001F46C8"/>
    <w:rsid w:val="00204057"/>
    <w:rsid w:val="0020774C"/>
    <w:rsid w:val="00211517"/>
    <w:rsid w:val="00211737"/>
    <w:rsid w:val="00222FBF"/>
    <w:rsid w:val="00231028"/>
    <w:rsid w:val="00253CBC"/>
    <w:rsid w:val="0027600F"/>
    <w:rsid w:val="00277B11"/>
    <w:rsid w:val="00280DBC"/>
    <w:rsid w:val="00286B99"/>
    <w:rsid w:val="002A5E1A"/>
    <w:rsid w:val="002B04E8"/>
    <w:rsid w:val="002B0C14"/>
    <w:rsid w:val="002B1D81"/>
    <w:rsid w:val="002B795B"/>
    <w:rsid w:val="002C124F"/>
    <w:rsid w:val="002C57AA"/>
    <w:rsid w:val="002D48B6"/>
    <w:rsid w:val="002D61F9"/>
    <w:rsid w:val="002E2E15"/>
    <w:rsid w:val="002F68C2"/>
    <w:rsid w:val="00313777"/>
    <w:rsid w:val="003157EC"/>
    <w:rsid w:val="00333238"/>
    <w:rsid w:val="00335160"/>
    <w:rsid w:val="00350D89"/>
    <w:rsid w:val="00361446"/>
    <w:rsid w:val="00361A4D"/>
    <w:rsid w:val="00362072"/>
    <w:rsid w:val="003724FA"/>
    <w:rsid w:val="003725C6"/>
    <w:rsid w:val="003A12D3"/>
    <w:rsid w:val="003B6337"/>
    <w:rsid w:val="003B657C"/>
    <w:rsid w:val="003D3BE7"/>
    <w:rsid w:val="003E3FD4"/>
    <w:rsid w:val="004040B0"/>
    <w:rsid w:val="004149AC"/>
    <w:rsid w:val="00415556"/>
    <w:rsid w:val="00431280"/>
    <w:rsid w:val="00431E3E"/>
    <w:rsid w:val="00432B93"/>
    <w:rsid w:val="00441C5E"/>
    <w:rsid w:val="0045151E"/>
    <w:rsid w:val="00454CF3"/>
    <w:rsid w:val="004602FF"/>
    <w:rsid w:val="0046105A"/>
    <w:rsid w:val="00461CCB"/>
    <w:rsid w:val="00464B6A"/>
    <w:rsid w:val="00473824"/>
    <w:rsid w:val="00481DBE"/>
    <w:rsid w:val="004B3516"/>
    <w:rsid w:val="004B3C77"/>
    <w:rsid w:val="004E0298"/>
    <w:rsid w:val="00502878"/>
    <w:rsid w:val="0051469C"/>
    <w:rsid w:val="00520655"/>
    <w:rsid w:val="00532228"/>
    <w:rsid w:val="00545102"/>
    <w:rsid w:val="005453C1"/>
    <w:rsid w:val="00554027"/>
    <w:rsid w:val="00561DC7"/>
    <w:rsid w:val="005625B2"/>
    <w:rsid w:val="00566667"/>
    <w:rsid w:val="005931FD"/>
    <w:rsid w:val="00596B63"/>
    <w:rsid w:val="005A27EE"/>
    <w:rsid w:val="005A4C1F"/>
    <w:rsid w:val="005B154C"/>
    <w:rsid w:val="005D3E4B"/>
    <w:rsid w:val="005D3E6E"/>
    <w:rsid w:val="005E45B6"/>
    <w:rsid w:val="005F000F"/>
    <w:rsid w:val="005F2AA9"/>
    <w:rsid w:val="00601F87"/>
    <w:rsid w:val="00604F90"/>
    <w:rsid w:val="00631BEF"/>
    <w:rsid w:val="006542CE"/>
    <w:rsid w:val="00662BF2"/>
    <w:rsid w:val="00682310"/>
    <w:rsid w:val="00694D4B"/>
    <w:rsid w:val="006950E8"/>
    <w:rsid w:val="006C1500"/>
    <w:rsid w:val="006C3026"/>
    <w:rsid w:val="006D4D06"/>
    <w:rsid w:val="006E744B"/>
    <w:rsid w:val="006F5574"/>
    <w:rsid w:val="0071759F"/>
    <w:rsid w:val="00731FA5"/>
    <w:rsid w:val="00760532"/>
    <w:rsid w:val="00765CDD"/>
    <w:rsid w:val="007671F4"/>
    <w:rsid w:val="007A2182"/>
    <w:rsid w:val="007A2A60"/>
    <w:rsid w:val="007A395A"/>
    <w:rsid w:val="007A3B3C"/>
    <w:rsid w:val="007A484D"/>
    <w:rsid w:val="007A4A05"/>
    <w:rsid w:val="007A645E"/>
    <w:rsid w:val="007B05B6"/>
    <w:rsid w:val="007C28D0"/>
    <w:rsid w:val="007E554D"/>
    <w:rsid w:val="00800550"/>
    <w:rsid w:val="008133AD"/>
    <w:rsid w:val="00820E4D"/>
    <w:rsid w:val="00822826"/>
    <w:rsid w:val="00831C97"/>
    <w:rsid w:val="00836865"/>
    <w:rsid w:val="00847F97"/>
    <w:rsid w:val="00864F9B"/>
    <w:rsid w:val="00874B2C"/>
    <w:rsid w:val="008A1569"/>
    <w:rsid w:val="008A6E75"/>
    <w:rsid w:val="008B3936"/>
    <w:rsid w:val="008B77DC"/>
    <w:rsid w:val="008D1AC7"/>
    <w:rsid w:val="008E2102"/>
    <w:rsid w:val="00907361"/>
    <w:rsid w:val="009117CD"/>
    <w:rsid w:val="009136AE"/>
    <w:rsid w:val="00927410"/>
    <w:rsid w:val="00931439"/>
    <w:rsid w:val="00937E46"/>
    <w:rsid w:val="00947E12"/>
    <w:rsid w:val="00973562"/>
    <w:rsid w:val="00982387"/>
    <w:rsid w:val="00991262"/>
    <w:rsid w:val="009B31CB"/>
    <w:rsid w:val="009B775B"/>
    <w:rsid w:val="009C4D9B"/>
    <w:rsid w:val="009D5997"/>
    <w:rsid w:val="009D7388"/>
    <w:rsid w:val="009F37D4"/>
    <w:rsid w:val="009F6B88"/>
    <w:rsid w:val="00A174CF"/>
    <w:rsid w:val="00A470BD"/>
    <w:rsid w:val="00A54B1A"/>
    <w:rsid w:val="00A54FAF"/>
    <w:rsid w:val="00A5558F"/>
    <w:rsid w:val="00A557B2"/>
    <w:rsid w:val="00A55D74"/>
    <w:rsid w:val="00A600BF"/>
    <w:rsid w:val="00A63587"/>
    <w:rsid w:val="00A64A32"/>
    <w:rsid w:val="00A659DB"/>
    <w:rsid w:val="00A76D25"/>
    <w:rsid w:val="00A941CB"/>
    <w:rsid w:val="00AC420A"/>
    <w:rsid w:val="00AD3106"/>
    <w:rsid w:val="00AF2A50"/>
    <w:rsid w:val="00AF5ED8"/>
    <w:rsid w:val="00AF64B8"/>
    <w:rsid w:val="00B0559E"/>
    <w:rsid w:val="00B10CB0"/>
    <w:rsid w:val="00B15F3D"/>
    <w:rsid w:val="00B24061"/>
    <w:rsid w:val="00B36984"/>
    <w:rsid w:val="00B44576"/>
    <w:rsid w:val="00B51549"/>
    <w:rsid w:val="00B6037D"/>
    <w:rsid w:val="00B61E07"/>
    <w:rsid w:val="00B72424"/>
    <w:rsid w:val="00BA67EE"/>
    <w:rsid w:val="00BB286C"/>
    <w:rsid w:val="00BC3685"/>
    <w:rsid w:val="00BE6A21"/>
    <w:rsid w:val="00BF04E8"/>
    <w:rsid w:val="00BF1CE5"/>
    <w:rsid w:val="00BF46E6"/>
    <w:rsid w:val="00C07D1C"/>
    <w:rsid w:val="00C27191"/>
    <w:rsid w:val="00C3259C"/>
    <w:rsid w:val="00C3340B"/>
    <w:rsid w:val="00C34448"/>
    <w:rsid w:val="00C37787"/>
    <w:rsid w:val="00C4733E"/>
    <w:rsid w:val="00C57CFF"/>
    <w:rsid w:val="00C6066E"/>
    <w:rsid w:val="00C72647"/>
    <w:rsid w:val="00C7533F"/>
    <w:rsid w:val="00C92125"/>
    <w:rsid w:val="00CA3506"/>
    <w:rsid w:val="00CB76AA"/>
    <w:rsid w:val="00CC04AF"/>
    <w:rsid w:val="00CC0957"/>
    <w:rsid w:val="00CC1D0C"/>
    <w:rsid w:val="00CD4217"/>
    <w:rsid w:val="00CF00AC"/>
    <w:rsid w:val="00CF3FD1"/>
    <w:rsid w:val="00D07786"/>
    <w:rsid w:val="00D25ACB"/>
    <w:rsid w:val="00D30BF7"/>
    <w:rsid w:val="00D402FC"/>
    <w:rsid w:val="00D57435"/>
    <w:rsid w:val="00D633EB"/>
    <w:rsid w:val="00D73BAC"/>
    <w:rsid w:val="00D8144C"/>
    <w:rsid w:val="00D94B5C"/>
    <w:rsid w:val="00D952AB"/>
    <w:rsid w:val="00D952E8"/>
    <w:rsid w:val="00D9746B"/>
    <w:rsid w:val="00DB1B90"/>
    <w:rsid w:val="00DB3074"/>
    <w:rsid w:val="00DB3B1C"/>
    <w:rsid w:val="00DC01C0"/>
    <w:rsid w:val="00DC0D17"/>
    <w:rsid w:val="00DC191F"/>
    <w:rsid w:val="00DC3F38"/>
    <w:rsid w:val="00DD02F8"/>
    <w:rsid w:val="00DE4E1C"/>
    <w:rsid w:val="00DF20F7"/>
    <w:rsid w:val="00DF3ED7"/>
    <w:rsid w:val="00DF4999"/>
    <w:rsid w:val="00DF67DD"/>
    <w:rsid w:val="00E02F65"/>
    <w:rsid w:val="00E04129"/>
    <w:rsid w:val="00E2120D"/>
    <w:rsid w:val="00E24204"/>
    <w:rsid w:val="00E250D2"/>
    <w:rsid w:val="00E25444"/>
    <w:rsid w:val="00E33366"/>
    <w:rsid w:val="00E33723"/>
    <w:rsid w:val="00E56386"/>
    <w:rsid w:val="00E60EFE"/>
    <w:rsid w:val="00EA2489"/>
    <w:rsid w:val="00EB64BE"/>
    <w:rsid w:val="00EC6BC5"/>
    <w:rsid w:val="00ED1F7C"/>
    <w:rsid w:val="00ED40EA"/>
    <w:rsid w:val="00ED45BA"/>
    <w:rsid w:val="00ED77FA"/>
    <w:rsid w:val="00EE38AF"/>
    <w:rsid w:val="00EE71FC"/>
    <w:rsid w:val="00EF7711"/>
    <w:rsid w:val="00F14767"/>
    <w:rsid w:val="00F256D9"/>
    <w:rsid w:val="00F501F3"/>
    <w:rsid w:val="00F559D2"/>
    <w:rsid w:val="00F65D42"/>
    <w:rsid w:val="00F67628"/>
    <w:rsid w:val="00F832AF"/>
    <w:rsid w:val="00F85503"/>
    <w:rsid w:val="00F86CAB"/>
    <w:rsid w:val="00F903F0"/>
    <w:rsid w:val="00F9098D"/>
    <w:rsid w:val="00F94E95"/>
    <w:rsid w:val="00FB42C1"/>
    <w:rsid w:val="00FC0C6E"/>
    <w:rsid w:val="00FC2D5E"/>
    <w:rsid w:val="00FC6346"/>
    <w:rsid w:val="00FC7905"/>
    <w:rsid w:val="00FD280B"/>
    <w:rsid w:val="00FE142B"/>
    <w:rsid w:val="00FF49C4"/>
    <w:rsid w:val="00FF52D8"/>
    <w:rsid w:val="00FF73A0"/>
    <w:rsid w:val="013258B6"/>
    <w:rsid w:val="01AA2DF0"/>
    <w:rsid w:val="02436623"/>
    <w:rsid w:val="027717D9"/>
    <w:rsid w:val="03E3152E"/>
    <w:rsid w:val="0488149E"/>
    <w:rsid w:val="0592373E"/>
    <w:rsid w:val="06160900"/>
    <w:rsid w:val="06894F5F"/>
    <w:rsid w:val="076B4A10"/>
    <w:rsid w:val="090F29D2"/>
    <w:rsid w:val="0A3F3A91"/>
    <w:rsid w:val="0A5D0E4D"/>
    <w:rsid w:val="0AD63996"/>
    <w:rsid w:val="0AFE09D6"/>
    <w:rsid w:val="0B0F156A"/>
    <w:rsid w:val="0B5B1CBE"/>
    <w:rsid w:val="0C523249"/>
    <w:rsid w:val="0C62521E"/>
    <w:rsid w:val="0D08608B"/>
    <w:rsid w:val="0D3E239B"/>
    <w:rsid w:val="0E407EEA"/>
    <w:rsid w:val="0EE94B7A"/>
    <w:rsid w:val="0EF502A2"/>
    <w:rsid w:val="0F0C1BB2"/>
    <w:rsid w:val="1019010D"/>
    <w:rsid w:val="103416F7"/>
    <w:rsid w:val="10451854"/>
    <w:rsid w:val="11493D5D"/>
    <w:rsid w:val="124269FB"/>
    <w:rsid w:val="13A6390C"/>
    <w:rsid w:val="13BC3BA6"/>
    <w:rsid w:val="13E775B7"/>
    <w:rsid w:val="14344E92"/>
    <w:rsid w:val="14EE11B3"/>
    <w:rsid w:val="15014950"/>
    <w:rsid w:val="15314535"/>
    <w:rsid w:val="15C8047D"/>
    <w:rsid w:val="1739209D"/>
    <w:rsid w:val="17C14FF2"/>
    <w:rsid w:val="1835761F"/>
    <w:rsid w:val="18441C1D"/>
    <w:rsid w:val="18B0625B"/>
    <w:rsid w:val="192B4BEC"/>
    <w:rsid w:val="1935101E"/>
    <w:rsid w:val="195E5B6B"/>
    <w:rsid w:val="19CC3ADC"/>
    <w:rsid w:val="1A542947"/>
    <w:rsid w:val="1A5C5F26"/>
    <w:rsid w:val="1ABC6D2E"/>
    <w:rsid w:val="1AC35B50"/>
    <w:rsid w:val="1ACE12FB"/>
    <w:rsid w:val="1B8F34CE"/>
    <w:rsid w:val="1BD650E0"/>
    <w:rsid w:val="1C017E27"/>
    <w:rsid w:val="1C0949EA"/>
    <w:rsid w:val="1CE1733F"/>
    <w:rsid w:val="1CEB02E2"/>
    <w:rsid w:val="1DB848F5"/>
    <w:rsid w:val="1E081140"/>
    <w:rsid w:val="1F1770AB"/>
    <w:rsid w:val="207644B0"/>
    <w:rsid w:val="21383BFD"/>
    <w:rsid w:val="219A63F2"/>
    <w:rsid w:val="21AE1C5D"/>
    <w:rsid w:val="222A54E5"/>
    <w:rsid w:val="234626AD"/>
    <w:rsid w:val="23B47F2E"/>
    <w:rsid w:val="23B7510C"/>
    <w:rsid w:val="241D682A"/>
    <w:rsid w:val="243A57AB"/>
    <w:rsid w:val="243A5F6C"/>
    <w:rsid w:val="247231D8"/>
    <w:rsid w:val="25D76634"/>
    <w:rsid w:val="2601630A"/>
    <w:rsid w:val="27495B1E"/>
    <w:rsid w:val="27A624D9"/>
    <w:rsid w:val="2972134E"/>
    <w:rsid w:val="29995DDA"/>
    <w:rsid w:val="29E270B5"/>
    <w:rsid w:val="2AEA411A"/>
    <w:rsid w:val="2B081FD8"/>
    <w:rsid w:val="2B2A1C23"/>
    <w:rsid w:val="2BA002AA"/>
    <w:rsid w:val="2C6D0AFB"/>
    <w:rsid w:val="2D182E1B"/>
    <w:rsid w:val="2D284A97"/>
    <w:rsid w:val="2E2A6EEC"/>
    <w:rsid w:val="2E560C7B"/>
    <w:rsid w:val="2E9150A9"/>
    <w:rsid w:val="2F136B21"/>
    <w:rsid w:val="301D6716"/>
    <w:rsid w:val="30452C39"/>
    <w:rsid w:val="317171E7"/>
    <w:rsid w:val="31C40F79"/>
    <w:rsid w:val="33735833"/>
    <w:rsid w:val="33CE2835"/>
    <w:rsid w:val="34515696"/>
    <w:rsid w:val="34CD278C"/>
    <w:rsid w:val="360C7BAF"/>
    <w:rsid w:val="36786558"/>
    <w:rsid w:val="37A24C56"/>
    <w:rsid w:val="383414C9"/>
    <w:rsid w:val="390B6CE4"/>
    <w:rsid w:val="39414F2B"/>
    <w:rsid w:val="3A987BA9"/>
    <w:rsid w:val="3BB55F13"/>
    <w:rsid w:val="3C826D04"/>
    <w:rsid w:val="3CF77DB7"/>
    <w:rsid w:val="3D9A6DB9"/>
    <w:rsid w:val="3EB212A1"/>
    <w:rsid w:val="3F201BD0"/>
    <w:rsid w:val="3F527F6C"/>
    <w:rsid w:val="3F7837CE"/>
    <w:rsid w:val="40B04F15"/>
    <w:rsid w:val="412551D6"/>
    <w:rsid w:val="43832A80"/>
    <w:rsid w:val="43AD02FD"/>
    <w:rsid w:val="44DF578B"/>
    <w:rsid w:val="44F737F2"/>
    <w:rsid w:val="454333D9"/>
    <w:rsid w:val="45872ABB"/>
    <w:rsid w:val="45EB3318"/>
    <w:rsid w:val="45FA77CF"/>
    <w:rsid w:val="46607B5B"/>
    <w:rsid w:val="471910A1"/>
    <w:rsid w:val="4777291A"/>
    <w:rsid w:val="48C15882"/>
    <w:rsid w:val="49A34043"/>
    <w:rsid w:val="4B6F10C9"/>
    <w:rsid w:val="4C847407"/>
    <w:rsid w:val="4C917273"/>
    <w:rsid w:val="4CE31FCA"/>
    <w:rsid w:val="4CFB3225"/>
    <w:rsid w:val="4DA859FB"/>
    <w:rsid w:val="4E8E2FFD"/>
    <w:rsid w:val="4EBD2744"/>
    <w:rsid w:val="4F965762"/>
    <w:rsid w:val="4F9E1C4D"/>
    <w:rsid w:val="4FA35C1F"/>
    <w:rsid w:val="51202D61"/>
    <w:rsid w:val="516F7B99"/>
    <w:rsid w:val="51E74932"/>
    <w:rsid w:val="52A71827"/>
    <w:rsid w:val="53141B31"/>
    <w:rsid w:val="53315348"/>
    <w:rsid w:val="54BF0EE2"/>
    <w:rsid w:val="55452BD7"/>
    <w:rsid w:val="55EB1C71"/>
    <w:rsid w:val="57800CE0"/>
    <w:rsid w:val="57ED0CDF"/>
    <w:rsid w:val="5849270F"/>
    <w:rsid w:val="58916F00"/>
    <w:rsid w:val="589B67D3"/>
    <w:rsid w:val="58DA63B5"/>
    <w:rsid w:val="590E07D8"/>
    <w:rsid w:val="59910D10"/>
    <w:rsid w:val="59D11383"/>
    <w:rsid w:val="59F33CBA"/>
    <w:rsid w:val="59FB7A73"/>
    <w:rsid w:val="5A423566"/>
    <w:rsid w:val="5AD01C35"/>
    <w:rsid w:val="5B5B3F8D"/>
    <w:rsid w:val="5BB00F4D"/>
    <w:rsid w:val="5BCF2492"/>
    <w:rsid w:val="5C8A213A"/>
    <w:rsid w:val="5CC40B59"/>
    <w:rsid w:val="5D486BF9"/>
    <w:rsid w:val="5E8A4D68"/>
    <w:rsid w:val="5E8B3805"/>
    <w:rsid w:val="5EB83692"/>
    <w:rsid w:val="5F113276"/>
    <w:rsid w:val="5F1F72DE"/>
    <w:rsid w:val="5FB25CA8"/>
    <w:rsid w:val="60854655"/>
    <w:rsid w:val="60E91856"/>
    <w:rsid w:val="62145599"/>
    <w:rsid w:val="62AE03BA"/>
    <w:rsid w:val="633963E5"/>
    <w:rsid w:val="63465745"/>
    <w:rsid w:val="637E4FFC"/>
    <w:rsid w:val="63A26378"/>
    <w:rsid w:val="644108A7"/>
    <w:rsid w:val="664C1673"/>
    <w:rsid w:val="666E3DD9"/>
    <w:rsid w:val="66BB028F"/>
    <w:rsid w:val="67143D80"/>
    <w:rsid w:val="68882323"/>
    <w:rsid w:val="68C167E9"/>
    <w:rsid w:val="68EE2AA3"/>
    <w:rsid w:val="693870E9"/>
    <w:rsid w:val="69E433F3"/>
    <w:rsid w:val="6A104F8D"/>
    <w:rsid w:val="6A36786B"/>
    <w:rsid w:val="6A973F8F"/>
    <w:rsid w:val="6BC96D9F"/>
    <w:rsid w:val="6CE53148"/>
    <w:rsid w:val="6D5A2A0C"/>
    <w:rsid w:val="6D7003A9"/>
    <w:rsid w:val="6D8E1ED0"/>
    <w:rsid w:val="6D971FCB"/>
    <w:rsid w:val="6DF61E43"/>
    <w:rsid w:val="6F277B20"/>
    <w:rsid w:val="6FF8316C"/>
    <w:rsid w:val="703E6851"/>
    <w:rsid w:val="71F865E6"/>
    <w:rsid w:val="723A0094"/>
    <w:rsid w:val="72710D6A"/>
    <w:rsid w:val="74B96986"/>
    <w:rsid w:val="75126E77"/>
    <w:rsid w:val="755D3993"/>
    <w:rsid w:val="76076343"/>
    <w:rsid w:val="76622A0B"/>
    <w:rsid w:val="76765F81"/>
    <w:rsid w:val="776871AA"/>
    <w:rsid w:val="776C6F61"/>
    <w:rsid w:val="778570FB"/>
    <w:rsid w:val="778E07B6"/>
    <w:rsid w:val="77A12B65"/>
    <w:rsid w:val="780E53AA"/>
    <w:rsid w:val="784444E4"/>
    <w:rsid w:val="78866325"/>
    <w:rsid w:val="789848FC"/>
    <w:rsid w:val="79183790"/>
    <w:rsid w:val="79774B33"/>
    <w:rsid w:val="7B724F1C"/>
    <w:rsid w:val="7C175079"/>
    <w:rsid w:val="7C8F2B41"/>
    <w:rsid w:val="7D622540"/>
    <w:rsid w:val="7D774034"/>
    <w:rsid w:val="7D9A1618"/>
    <w:rsid w:val="7DA9113D"/>
    <w:rsid w:val="7E8D31E9"/>
    <w:rsid w:val="7EA92300"/>
    <w:rsid w:val="7EAB3908"/>
    <w:rsid w:val="7EFA3F8A"/>
    <w:rsid w:val="7FA10213"/>
    <w:rsid w:val="7FF41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cs="宋体"/>
      <w:b/>
      <w:bCs/>
      <w:color w:val="333333"/>
      <w:kern w:val="0"/>
      <w:sz w:val="36"/>
      <w:szCs w:val="36"/>
    </w:rPr>
  </w:style>
  <w:style w:type="paragraph" w:styleId="3">
    <w:name w:val="heading 3"/>
    <w:basedOn w:val="1"/>
    <w:next w:val="1"/>
    <w:link w:val="14"/>
    <w:qFormat/>
    <w:uiPriority w:val="9"/>
    <w:pPr>
      <w:widowControl/>
      <w:spacing w:before="100" w:beforeAutospacing="1" w:after="100" w:afterAutospacing="1"/>
      <w:jc w:val="left"/>
      <w:outlineLvl w:val="2"/>
    </w:pPr>
    <w:rPr>
      <w:rFonts w:ascii="宋体" w:hAnsi="宋体" w:cs="宋体"/>
      <w:b/>
      <w:bCs/>
      <w:color w:val="333333"/>
      <w:kern w:val="0"/>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customStyle="1" w:styleId="10">
    <w:name w:val="批注框文本 Char"/>
    <w:basedOn w:val="9"/>
    <w:link w:val="4"/>
    <w:semiHidden/>
    <w:qFormat/>
    <w:uiPriority w:val="99"/>
    <w:rPr>
      <w:rFonts w:ascii="Times New Roman" w:hAnsi="Times New Roman" w:eastAsia="宋体" w:cs="Times New Roman"/>
      <w:sz w:val="18"/>
      <w:szCs w:val="18"/>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标题 2 Char"/>
    <w:basedOn w:val="9"/>
    <w:link w:val="2"/>
    <w:qFormat/>
    <w:uiPriority w:val="9"/>
    <w:rPr>
      <w:rFonts w:ascii="宋体" w:hAnsi="宋体" w:eastAsia="宋体" w:cs="宋体"/>
      <w:b/>
      <w:bCs/>
      <w:color w:val="333333"/>
      <w:kern w:val="0"/>
      <w:sz w:val="36"/>
      <w:szCs w:val="36"/>
    </w:rPr>
  </w:style>
  <w:style w:type="character" w:customStyle="1" w:styleId="14">
    <w:name w:val="标题 3 Char"/>
    <w:basedOn w:val="9"/>
    <w:link w:val="3"/>
    <w:qFormat/>
    <w:uiPriority w:val="9"/>
    <w:rPr>
      <w:rFonts w:ascii="宋体" w:hAnsi="宋体" w:eastAsia="宋体" w:cs="宋体"/>
      <w:b/>
      <w:bCs/>
      <w:color w:val="333333"/>
      <w:kern w:val="0"/>
      <w:sz w:val="28"/>
      <w:szCs w:val="28"/>
    </w:rPr>
  </w:style>
  <w:style w:type="character" w:customStyle="1" w:styleId="15">
    <w:name w:val="index5"/>
    <w:basedOn w:val="9"/>
    <w:qFormat/>
    <w:uiPriority w:val="0"/>
  </w:style>
  <w:style w:type="character" w:customStyle="1" w:styleId="16">
    <w:name w:val="text8"/>
    <w:basedOn w:val="9"/>
    <w:qFormat/>
    <w:uiPriority w:val="0"/>
  </w:style>
  <w:style w:type="character" w:customStyle="1" w:styleId="17">
    <w:name w:val="title-prefix"/>
    <w:basedOn w:val="9"/>
    <w:qFormat/>
    <w:uiPriority w:val="0"/>
  </w:style>
  <w:style w:type="character" w:customStyle="1" w:styleId="18">
    <w:name w:val="description5"/>
    <w:basedOn w:val="9"/>
    <w:qFormat/>
    <w:uiPriority w:val="0"/>
  </w:style>
  <w:style w:type="paragraph" w:customStyle="1" w:styleId="19">
    <w:name w:val="Char Char Char Char"/>
    <w:basedOn w:val="1"/>
    <w:qFormat/>
    <w:uiPriority w:val="0"/>
    <w:rPr>
      <w:rFonts w:ascii="Tahoma" w:hAnsi="Tahoma"/>
      <w:sz w:val="24"/>
      <w:szCs w:val="20"/>
    </w:rPr>
  </w:style>
  <w:style w:type="paragraph" w:customStyle="1" w:styleId="20">
    <w:name w:val="Char Char Char Char1"/>
    <w:basedOn w:val="1"/>
    <w:qFormat/>
    <w:uiPriority w:val="0"/>
    <w:rPr>
      <w:rFonts w:ascii="Tahoma" w:hAnsi="Tahoma"/>
      <w:sz w:val="24"/>
      <w:szCs w:val="20"/>
    </w:rPr>
  </w:style>
  <w:style w:type="paragraph" w:customStyle="1" w:styleId="21">
    <w:name w:val="列出段落1"/>
    <w:basedOn w:val="1"/>
    <w:qFormat/>
    <w:uiPriority w:val="34"/>
    <w:pPr>
      <w:ind w:firstLine="420" w:firstLineChars="200"/>
    </w:pPr>
  </w:style>
  <w:style w:type="paragraph" w:customStyle="1" w:styleId="22">
    <w:name w:val="Char Char Char Char2"/>
    <w:basedOn w:val="1"/>
    <w:qFormat/>
    <w:uiPriority w:val="0"/>
    <w:rPr>
      <w:rFonts w:ascii="Tahoma" w:hAnsi="Tahoma"/>
      <w:sz w:val="24"/>
      <w:szCs w:val="20"/>
    </w:rPr>
  </w:style>
  <w:style w:type="paragraph" w:customStyle="1" w:styleId="23">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24">
    <w:name w:val="18"/>
    <w:basedOn w:val="9"/>
    <w:qFormat/>
    <w:uiPriority w:val="0"/>
    <w:rPr>
      <w:rFonts w:hint="eastAsia" w:ascii="宋体" w:hAnsi="宋体" w:eastAsia="宋体" w:cs="宋体"/>
      <w:color w:val="000000"/>
      <w:sz w:val="20"/>
      <w:szCs w:val="20"/>
    </w:rPr>
  </w:style>
  <w:style w:type="character" w:customStyle="1" w:styleId="25">
    <w:name w:val="19"/>
    <w:basedOn w:val="9"/>
    <w:qFormat/>
    <w:uiPriority w:val="0"/>
    <w:rPr>
      <w:rFonts w:hint="eastAsia" w:ascii="宋体" w:hAnsi="宋体" w:eastAsia="宋体" w:cs="宋体"/>
      <w:color w:val="000000"/>
      <w:sz w:val="20"/>
      <w:szCs w:val="20"/>
    </w:rPr>
  </w:style>
  <w:style w:type="character" w:customStyle="1" w:styleId="26">
    <w:name w:val="17"/>
    <w:basedOn w:val="9"/>
    <w:qFormat/>
    <w:uiPriority w:val="0"/>
    <w:rPr>
      <w:rFonts w:hint="default" w:ascii="Times New Roman" w:hAnsi="Times New Roman" w:cs="Times New Roman"/>
      <w:color w:val="000000"/>
      <w:sz w:val="20"/>
      <w:szCs w:val="20"/>
    </w:rPr>
  </w:style>
  <w:style w:type="character" w:customStyle="1" w:styleId="27">
    <w:name w:val="20"/>
    <w:basedOn w:val="9"/>
    <w:qFormat/>
    <w:uiPriority w:val="0"/>
    <w:rPr>
      <w:rFonts w:hint="default" w:ascii="Times New Roman" w:hAnsi="Times New Roman" w:cs="Times New Roman"/>
      <w:color w:val="000000"/>
      <w:sz w:val="20"/>
      <w:szCs w:val="20"/>
    </w:rPr>
  </w:style>
  <w:style w:type="character" w:customStyle="1" w:styleId="28">
    <w:name w:val="15"/>
    <w:basedOn w:val="9"/>
    <w:qFormat/>
    <w:uiPriority w:val="0"/>
    <w:rPr>
      <w:rFonts w:hint="eastAsia" w:ascii="宋体" w:hAnsi="宋体" w:eastAsia="宋体" w:cs="宋体"/>
      <w:b/>
      <w:color w:val="000000"/>
      <w:sz w:val="48"/>
      <w:szCs w:val="48"/>
    </w:rPr>
  </w:style>
  <w:style w:type="character" w:customStyle="1" w:styleId="29">
    <w:name w:val="16"/>
    <w:basedOn w:val="9"/>
    <w:qFormat/>
    <w:uiPriority w:val="0"/>
    <w:rPr>
      <w:rFonts w:hint="eastAsia" w:ascii="宋体" w:hAnsi="宋体" w:eastAsia="宋体"/>
      <w:b/>
      <w:bCs/>
      <w:color w:val="000000"/>
      <w:sz w:val="48"/>
      <w:szCs w:val="48"/>
    </w:rPr>
  </w:style>
  <w:style w:type="character" w:customStyle="1" w:styleId="30">
    <w:name w:val="fontstyle01"/>
    <w:basedOn w:val="9"/>
    <w:qFormat/>
    <w:uiPriority w:val="0"/>
    <w:rPr>
      <w:rFonts w:hint="eastAsia" w:ascii="宋体" w:hAnsi="宋体" w:eastAsia="宋体"/>
      <w:color w:val="000000"/>
      <w:sz w:val="24"/>
      <w:szCs w:val="24"/>
    </w:rPr>
  </w:style>
  <w:style w:type="character" w:customStyle="1" w:styleId="31">
    <w:name w:val="abstrack"/>
    <w:basedOn w:val="9"/>
    <w:qFormat/>
    <w:uiPriority w:val="0"/>
  </w:style>
  <w:style w:type="paragraph" w:customStyle="1" w:styleId="32">
    <w:name w:val="cjk"/>
    <w:basedOn w:val="1"/>
    <w:qFormat/>
    <w:uiPriority w:val="0"/>
    <w:pPr>
      <w:widowControl/>
      <w:spacing w:before="100" w:beforeAutospacing="1" w:after="142" w:line="276" w:lineRule="auto"/>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delete val="1"/>
          </c:dLbls>
          <c:cat>
            <c:strRef>
              <c:f>Sheet1!$A$2:$A$10</c:f>
              <c:strCache>
                <c:ptCount val="9"/>
                <c:pt idx="0">
                  <c:v>受评教师满意率</c:v>
                </c:pt>
                <c:pt idx="1">
                  <c:v>专业教师评教平均分</c:v>
                </c:pt>
                <c:pt idx="2">
                  <c:v>学生专业学习满意度</c:v>
                </c:pt>
                <c:pt idx="3">
                  <c:v>学生实习实训满意度</c:v>
                </c:pt>
                <c:pt idx="4">
                  <c:v>校园文化建设满意度</c:v>
                </c:pt>
                <c:pt idx="5">
                  <c:v>社团活动满意度</c:v>
                </c:pt>
                <c:pt idx="6">
                  <c:v>生活满意度</c:v>
                </c:pt>
                <c:pt idx="7">
                  <c:v>校园安全满意度</c:v>
                </c:pt>
                <c:pt idx="8">
                  <c:v>毕业生对学校的满意度</c:v>
                </c:pt>
              </c:strCache>
            </c:strRef>
          </c:cat>
          <c:val>
            <c:numRef>
              <c:f>Sheet1!$B$2:$B$10</c:f>
              <c:numCache>
                <c:formatCode>0%</c:formatCode>
                <c:ptCount val="9"/>
                <c:pt idx="0">
                  <c:v>1</c:v>
                </c:pt>
                <c:pt idx="1" c:formatCode="0.00%">
                  <c:v>0.9891</c:v>
                </c:pt>
                <c:pt idx="2" c:formatCode="0.00%">
                  <c:v>1</c:v>
                </c:pt>
                <c:pt idx="3" c:formatCode="0.00%">
                  <c:v>0.986</c:v>
                </c:pt>
                <c:pt idx="4" c:formatCode="0.00%">
                  <c:v>0.998</c:v>
                </c:pt>
                <c:pt idx="5" c:formatCode="0.00%">
                  <c:v>0.994</c:v>
                </c:pt>
                <c:pt idx="6" c:formatCode="0.00%">
                  <c:v>0.986</c:v>
                </c:pt>
                <c:pt idx="7" c:formatCode="0.00%">
                  <c:v>0.998</c:v>
                </c:pt>
                <c:pt idx="8" c:formatCode="0.00%">
                  <c:v>0.998</c:v>
                </c:pt>
              </c:numCache>
            </c:numRef>
          </c:val>
        </c:ser>
        <c:dLbls>
          <c:showLegendKey val="0"/>
          <c:showVal val="0"/>
          <c:showCatName val="0"/>
          <c:showSerName val="0"/>
          <c:showPercent val="0"/>
          <c:showBubbleSize val="0"/>
        </c:dLbls>
        <c:gapWidth val="150"/>
        <c:axId val="316686336"/>
        <c:axId val="316688256"/>
      </c:barChart>
      <c:catAx>
        <c:axId val="3166863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6688256"/>
        <c:crosses val="autoZero"/>
        <c:auto val="1"/>
        <c:lblAlgn val="ctr"/>
        <c:lblOffset val="100"/>
        <c:noMultiLvlLbl val="0"/>
      </c:catAx>
      <c:valAx>
        <c:axId val="31668825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66863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4329B-97D0-40B9-AFB8-85DB682ACDF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2841</Words>
  <Characters>16197</Characters>
  <Lines>134</Lines>
  <Paragraphs>37</Paragraphs>
  <TotalTime>12</TotalTime>
  <ScaleCrop>false</ScaleCrop>
  <LinksUpToDate>false</LinksUpToDate>
  <CharactersWithSpaces>19001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2017-01-08T01:39:00Z</dcterms:created>
  <dc:creator>费丹华</dc:creator>
  <cp:lastModifiedBy>老马</cp:lastModifiedBy>
  <cp:lastPrinted>2016-10-19T06:47:00Z</cp:lastPrinted>
  <dcterms:modified xsi:type="dcterms:W3CDTF">2021-01-18T05:27:12Z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