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00" w:lineRule="exact"/>
        <w:ind w:firstLine="1446" w:firstLineChars="400"/>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海盐县理工学校2020年度质量报告</w:t>
      </w:r>
    </w:p>
    <w:p>
      <w:pPr>
        <w:keepNext w:val="0"/>
        <w:keepLines w:val="0"/>
        <w:pageBreakBefore w:val="0"/>
        <w:kinsoku/>
        <w:wordWrap/>
        <w:overflowPunct/>
        <w:topLinePunct w:val="0"/>
        <w:autoSpaceDE/>
        <w:autoSpaceDN/>
        <w:bidi w:val="0"/>
        <w:adjustRightInd w:val="0"/>
        <w:snapToGrid w:val="0"/>
        <w:spacing w:line="500" w:lineRule="exact"/>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lang w:eastAsia="zh-CN"/>
        </w:rPr>
        <w:t>学校情况</w:t>
      </w:r>
    </w:p>
    <w:p>
      <w:pPr>
        <w:keepNext w:val="0"/>
        <w:keepLines w:val="0"/>
        <w:pageBreakBefore w:val="0"/>
        <w:kinsoku/>
        <w:wordWrap/>
        <w:overflowPunct/>
        <w:topLinePunct w:val="0"/>
        <w:autoSpaceDE/>
        <w:autoSpaceDN/>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1.1 学校概况</w:t>
      </w:r>
    </w:p>
    <w:p>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海盐县理工学校（同时挂海盐县技工学校牌子）位于海盐县武原街道枣园西路618号，是海盐县教育局主管的全日制公办学校。学校是一所以先进制造业专业和现代服务业专业为主的中等职业学校，为国家级重点职业学校、浙江省一级中等职业学校、浙江省省级重点技工学校、浙江省首批中职改革发展示范学校。学校还先后被评为浙江省职业教育先进单位、浙江省级中职先进制造业技能型人才培养培训示范基地、浙江省级中职综合性公共实训基地、浙江省中职电子电工实训基地、浙江省职工培训示范基地、浙江省一级心理辅导站、浙江省中职第二批现代学徒制试点学校、嘉兴市文明单位、嘉兴市“十佳培训机构”。</w:t>
      </w:r>
    </w:p>
    <w:p>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学校共有69个班级，2754名学生，正式在编教职工216人，其中中、高级职称教师达149人。学校拥有市、县名师、学科带头人、教学能手、教坛新秀、县先进教师、十佳班主任等称号获得者达70多人。</w:t>
      </w:r>
    </w:p>
    <w:p>
      <w:pPr>
        <w:keepNext w:val="0"/>
        <w:keepLines w:val="0"/>
        <w:pageBreakBefore w:val="0"/>
        <w:kinsoku/>
        <w:wordWrap/>
        <w:overflowPunct/>
        <w:topLinePunct w:val="0"/>
        <w:autoSpaceDE/>
        <w:autoSpaceDN/>
        <w:bidi w:val="0"/>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学校占地面积182亩，建筑面积60000多平方米，学校总资产为56</w:t>
      </w:r>
      <w:r>
        <w:rPr>
          <w:rFonts w:hint="eastAsia" w:ascii="仿宋" w:hAnsi="仿宋" w:eastAsia="仿宋" w:cs="仿宋"/>
          <w:sz w:val="28"/>
          <w:szCs w:val="28"/>
          <w:lang w:val="en-US" w:eastAsia="zh-CN"/>
        </w:rPr>
        <w:t>79</w:t>
      </w:r>
      <w:r>
        <w:rPr>
          <w:rFonts w:hint="eastAsia" w:ascii="仿宋" w:hAnsi="仿宋" w:eastAsia="仿宋" w:cs="仿宋"/>
          <w:sz w:val="28"/>
          <w:szCs w:val="28"/>
        </w:rPr>
        <w:t>万元。</w:t>
      </w:r>
      <w:r>
        <w:rPr>
          <w:rFonts w:hint="eastAsia" w:ascii="仿宋" w:hAnsi="仿宋" w:eastAsia="仿宋" w:cs="仿宋"/>
          <w:sz w:val="28"/>
          <w:szCs w:val="28"/>
          <w:lang w:eastAsia="zh-CN"/>
        </w:rPr>
        <w:t>教学专用设备</w:t>
      </w:r>
      <w:r>
        <w:rPr>
          <w:rFonts w:hint="eastAsia" w:ascii="仿宋" w:hAnsi="仿宋" w:eastAsia="仿宋" w:cs="仿宋"/>
          <w:sz w:val="28"/>
          <w:szCs w:val="28"/>
          <w:lang w:val="en-US" w:eastAsia="zh-CN"/>
        </w:rPr>
        <w:t>3500万元，</w:t>
      </w:r>
      <w:r>
        <w:rPr>
          <w:rFonts w:hint="eastAsia" w:ascii="仿宋" w:hAnsi="仿宋" w:eastAsia="仿宋" w:cs="仿宋"/>
          <w:sz w:val="28"/>
          <w:szCs w:val="28"/>
        </w:rPr>
        <w:t>全日制在校学生27</w:t>
      </w:r>
      <w:r>
        <w:rPr>
          <w:rFonts w:hint="eastAsia" w:ascii="仿宋" w:hAnsi="仿宋" w:eastAsia="仿宋" w:cs="仿宋"/>
          <w:sz w:val="28"/>
          <w:szCs w:val="28"/>
          <w:lang w:val="en-US" w:eastAsia="zh-CN"/>
        </w:rPr>
        <w:t>54</w:t>
      </w:r>
      <w:r>
        <w:rPr>
          <w:rFonts w:hint="eastAsia" w:ascii="仿宋" w:hAnsi="仿宋" w:eastAsia="仿宋" w:cs="仿宋"/>
          <w:sz w:val="28"/>
          <w:szCs w:val="28"/>
        </w:rPr>
        <w:t>人。</w:t>
      </w:r>
    </w:p>
    <w:p>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开设有数控技术应用、机械加工技术、机电技术应用、电子技术应用、电气技术应用、楼宇智能化设备安装与运行、汽车运用与维修、物流服务与管理、学前教育、旅游服务管理、中餐烹饪、工艺美术、美术设计与制作等主要专业。其中机械加工技术专业是浙江省示范专业和浙江省骨干专业，数控技术专业和电子技术专业是嘉兴市示范专业。拥有机械加工技术专业和学前教育专业两个嘉兴市专业创新基地。</w:t>
      </w:r>
    </w:p>
    <w:p>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学校在校长室和党</w:t>
      </w:r>
      <w:r>
        <w:rPr>
          <w:rFonts w:hint="eastAsia" w:ascii="仿宋" w:hAnsi="仿宋" w:eastAsia="仿宋" w:cs="仿宋"/>
          <w:sz w:val="28"/>
          <w:szCs w:val="28"/>
          <w:lang w:eastAsia="zh-CN"/>
        </w:rPr>
        <w:t>委</w:t>
      </w:r>
      <w:r>
        <w:rPr>
          <w:rFonts w:hint="eastAsia" w:ascii="仿宋" w:hAnsi="仿宋" w:eastAsia="仿宋" w:cs="仿宋"/>
          <w:sz w:val="28"/>
          <w:szCs w:val="28"/>
        </w:rPr>
        <w:t>的领导下实施校、部二级管理，设有校务办公室、教务处、</w:t>
      </w:r>
      <w:r>
        <w:rPr>
          <w:rFonts w:hint="eastAsia" w:ascii="仿宋" w:hAnsi="仿宋" w:eastAsia="仿宋" w:cs="仿宋"/>
          <w:sz w:val="28"/>
          <w:szCs w:val="28"/>
          <w:lang w:eastAsia="zh-CN"/>
        </w:rPr>
        <w:t>校安办、</w:t>
      </w:r>
      <w:r>
        <w:rPr>
          <w:rFonts w:hint="eastAsia" w:ascii="仿宋" w:hAnsi="仿宋" w:eastAsia="仿宋" w:cs="仿宋"/>
          <w:sz w:val="28"/>
          <w:szCs w:val="28"/>
        </w:rPr>
        <w:t>学生处、科研处、招生就业与培训处、总务处</w:t>
      </w:r>
      <w:r>
        <w:rPr>
          <w:rFonts w:hint="eastAsia" w:ascii="仿宋" w:hAnsi="仿宋" w:eastAsia="仿宋" w:cs="仿宋"/>
          <w:sz w:val="28"/>
          <w:szCs w:val="28"/>
          <w:lang w:eastAsia="zh-CN"/>
        </w:rPr>
        <w:t>七</w:t>
      </w:r>
      <w:r>
        <w:rPr>
          <w:rFonts w:hint="eastAsia" w:ascii="仿宋" w:hAnsi="仿宋" w:eastAsia="仿宋" w:cs="仿宋"/>
          <w:sz w:val="28"/>
          <w:szCs w:val="28"/>
        </w:rPr>
        <w:t>个中层处室，综合部、旅游与艺术部、机电与汽修部三个教学部，由教学部具体实施教育教学管理活动。</w:t>
      </w:r>
    </w:p>
    <w:p>
      <w:pPr>
        <w:adjustRightInd w:val="0"/>
        <w:snapToGrid w:val="0"/>
        <w:spacing w:line="500" w:lineRule="exact"/>
        <w:outlineLvl w:val="1"/>
        <w:rPr>
          <w:rFonts w:ascii="仿宋" w:hAnsi="仿宋" w:eastAsia="仿宋" w:cs="仿宋"/>
          <w:sz w:val="28"/>
          <w:szCs w:val="28"/>
        </w:rPr>
      </w:pPr>
      <w:r>
        <w:rPr>
          <w:rFonts w:hint="eastAsia" w:ascii="仿宋" w:hAnsi="仿宋" w:eastAsia="仿宋" w:cs="仿宋"/>
          <w:sz w:val="28"/>
          <w:szCs w:val="28"/>
        </w:rPr>
        <w:t>1.2</w:t>
      </w:r>
      <w:r>
        <w:rPr>
          <w:rFonts w:hint="eastAsia" w:ascii="宋体" w:hAnsi="宋体" w:cs="宋体"/>
          <w:sz w:val="28"/>
          <w:szCs w:val="28"/>
        </w:rPr>
        <w:t> </w:t>
      </w:r>
      <w:r>
        <w:rPr>
          <w:rFonts w:hint="eastAsia" w:ascii="仿宋" w:hAnsi="仿宋" w:eastAsia="仿宋" w:cs="仿宋"/>
          <w:sz w:val="28"/>
          <w:szCs w:val="28"/>
        </w:rPr>
        <w:t>学生情况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115"/>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840" w:type="dxa"/>
            <w:gridSpan w:val="2"/>
            <w:shd w:val="clear" w:color="auto" w:fill="auto"/>
            <w:noWrap w:val="0"/>
            <w:vAlign w:val="center"/>
          </w:tcPr>
          <w:p>
            <w:pPr>
              <w:adjustRightInd w:val="0"/>
              <w:snapToGrid w:val="0"/>
              <w:spacing w:line="500" w:lineRule="exact"/>
              <w:ind w:firstLine="560" w:firstLineChars="200"/>
              <w:jc w:val="center"/>
              <w:rPr>
                <w:rFonts w:ascii="仿宋" w:hAnsi="仿宋" w:eastAsia="仿宋" w:cs="仿宋"/>
                <w:sz w:val="28"/>
                <w:szCs w:val="28"/>
              </w:rPr>
            </w:pPr>
          </w:p>
        </w:tc>
        <w:tc>
          <w:tcPr>
            <w:tcW w:w="2841" w:type="dxa"/>
            <w:shd w:val="clear" w:color="auto" w:fill="auto"/>
            <w:noWrap w:val="0"/>
            <w:vAlign w:val="center"/>
          </w:tcPr>
          <w:p>
            <w:pPr>
              <w:adjustRightInd w:val="0"/>
              <w:snapToGrid w:val="0"/>
              <w:spacing w:line="500" w:lineRule="exact"/>
              <w:ind w:left="-2" w:leftChars="-2" w:hanging="2" w:hangingChars="1"/>
              <w:jc w:val="center"/>
              <w:rPr>
                <w:rFonts w:ascii="仿宋" w:hAnsi="仿宋" w:eastAsia="仿宋" w:cs="仿宋"/>
                <w:sz w:val="28"/>
                <w:szCs w:val="28"/>
              </w:rPr>
            </w:pPr>
            <w:r>
              <w:rPr>
                <w:rFonts w:hint="eastAsia" w:ascii="仿宋" w:hAnsi="仿宋" w:eastAsia="仿宋" w:cs="仿宋"/>
                <w:sz w:val="28"/>
                <w:szCs w:val="28"/>
              </w:rPr>
              <w:t>2019年</w:t>
            </w:r>
          </w:p>
        </w:tc>
        <w:tc>
          <w:tcPr>
            <w:tcW w:w="2841" w:type="dxa"/>
            <w:shd w:val="clear" w:color="auto" w:fill="auto"/>
            <w:noWrap w:val="0"/>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840" w:type="dxa"/>
            <w:gridSpan w:val="2"/>
            <w:shd w:val="clear" w:color="auto" w:fill="auto"/>
            <w:noWrap w:val="0"/>
            <w:vAlign w:val="center"/>
          </w:tcPr>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招生人数</w:t>
            </w:r>
          </w:p>
        </w:tc>
        <w:tc>
          <w:tcPr>
            <w:tcW w:w="2841" w:type="dxa"/>
            <w:shd w:val="clear" w:color="auto" w:fill="auto"/>
            <w:noWrap w:val="0"/>
            <w:vAlign w:val="center"/>
          </w:tcPr>
          <w:p>
            <w:pPr>
              <w:adjustRightInd w:val="0"/>
              <w:snapToGrid w:val="0"/>
              <w:spacing w:line="500" w:lineRule="exact"/>
              <w:ind w:left="-2" w:leftChars="-2" w:hanging="2" w:hangingChars="1"/>
              <w:jc w:val="center"/>
              <w:rPr>
                <w:rFonts w:ascii="仿宋" w:hAnsi="仿宋" w:eastAsia="仿宋" w:cs="仿宋"/>
                <w:sz w:val="28"/>
                <w:szCs w:val="28"/>
              </w:rPr>
            </w:pPr>
            <w:r>
              <w:rPr>
                <w:rFonts w:hint="eastAsia" w:ascii="仿宋" w:hAnsi="仿宋" w:eastAsia="仿宋" w:cs="仿宋"/>
                <w:sz w:val="28"/>
                <w:szCs w:val="28"/>
              </w:rPr>
              <w:t>948</w:t>
            </w:r>
          </w:p>
        </w:tc>
        <w:tc>
          <w:tcPr>
            <w:tcW w:w="2841" w:type="dxa"/>
            <w:shd w:val="clear" w:color="auto" w:fill="auto"/>
            <w:noWrap w:val="0"/>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840" w:type="dxa"/>
            <w:gridSpan w:val="2"/>
            <w:shd w:val="clear" w:color="auto" w:fill="auto"/>
            <w:noWrap w:val="0"/>
            <w:vAlign w:val="center"/>
          </w:tcPr>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在校生人数</w:t>
            </w:r>
          </w:p>
        </w:tc>
        <w:tc>
          <w:tcPr>
            <w:tcW w:w="2841" w:type="dxa"/>
            <w:shd w:val="clear" w:color="auto" w:fill="auto"/>
            <w:noWrap w:val="0"/>
            <w:vAlign w:val="center"/>
          </w:tcPr>
          <w:p>
            <w:pPr>
              <w:adjustRightInd w:val="0"/>
              <w:snapToGrid w:val="0"/>
              <w:spacing w:line="500" w:lineRule="exact"/>
              <w:ind w:left="-2" w:leftChars="-2" w:hanging="2" w:hangingChars="1"/>
              <w:jc w:val="center"/>
              <w:rPr>
                <w:rFonts w:ascii="仿宋" w:hAnsi="仿宋" w:eastAsia="仿宋" w:cs="仿宋"/>
                <w:sz w:val="28"/>
                <w:szCs w:val="28"/>
              </w:rPr>
            </w:pPr>
            <w:r>
              <w:rPr>
                <w:rFonts w:hint="eastAsia" w:ascii="仿宋" w:hAnsi="仿宋" w:eastAsia="仿宋" w:cs="仿宋"/>
                <w:sz w:val="28"/>
                <w:szCs w:val="28"/>
              </w:rPr>
              <w:t>2784</w:t>
            </w:r>
          </w:p>
        </w:tc>
        <w:tc>
          <w:tcPr>
            <w:tcW w:w="2841" w:type="dxa"/>
            <w:shd w:val="clear" w:color="auto" w:fill="auto"/>
            <w:noWrap w:val="0"/>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2744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840" w:type="dxa"/>
            <w:gridSpan w:val="2"/>
            <w:shd w:val="clear" w:color="auto" w:fill="auto"/>
            <w:noWrap w:val="0"/>
            <w:vAlign w:val="center"/>
          </w:tcPr>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毕业生人数</w:t>
            </w:r>
          </w:p>
        </w:tc>
        <w:tc>
          <w:tcPr>
            <w:tcW w:w="2841" w:type="dxa"/>
            <w:shd w:val="clear" w:color="auto" w:fill="auto"/>
            <w:noWrap w:val="0"/>
            <w:vAlign w:val="center"/>
          </w:tcPr>
          <w:p>
            <w:pPr>
              <w:adjustRightInd w:val="0"/>
              <w:snapToGrid w:val="0"/>
              <w:spacing w:line="500" w:lineRule="exact"/>
              <w:ind w:left="-2" w:leftChars="-2" w:hanging="2" w:hangingChars="1"/>
              <w:jc w:val="center"/>
              <w:rPr>
                <w:rFonts w:ascii="仿宋" w:hAnsi="仿宋" w:eastAsia="仿宋" w:cs="仿宋"/>
                <w:sz w:val="28"/>
                <w:szCs w:val="28"/>
              </w:rPr>
            </w:pPr>
            <w:r>
              <w:rPr>
                <w:rFonts w:hint="eastAsia" w:ascii="仿宋" w:hAnsi="仿宋" w:eastAsia="仿宋" w:cs="仿宋"/>
                <w:sz w:val="28"/>
                <w:szCs w:val="28"/>
              </w:rPr>
              <w:t>836</w:t>
            </w:r>
          </w:p>
        </w:tc>
        <w:tc>
          <w:tcPr>
            <w:tcW w:w="2841" w:type="dxa"/>
            <w:shd w:val="clear" w:color="auto" w:fill="auto"/>
            <w:noWrap w:val="0"/>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25" w:type="dxa"/>
            <w:vMerge w:val="restart"/>
            <w:shd w:val="clear" w:color="auto" w:fill="auto"/>
            <w:noWrap w:val="0"/>
            <w:vAlign w:val="center"/>
          </w:tcPr>
          <w:p>
            <w:pPr>
              <w:adjustRightInd w:val="0"/>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学生学</w:t>
            </w:r>
          </w:p>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历结构</w:t>
            </w:r>
          </w:p>
        </w:tc>
        <w:tc>
          <w:tcPr>
            <w:tcW w:w="1115" w:type="dxa"/>
            <w:shd w:val="clear" w:color="auto" w:fill="auto"/>
            <w:noWrap w:val="0"/>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中职</w:t>
            </w:r>
          </w:p>
        </w:tc>
        <w:tc>
          <w:tcPr>
            <w:tcW w:w="2841" w:type="dxa"/>
            <w:shd w:val="clear" w:color="auto" w:fill="auto"/>
            <w:noWrap w:val="0"/>
            <w:vAlign w:val="center"/>
          </w:tcPr>
          <w:p>
            <w:pPr>
              <w:adjustRightInd w:val="0"/>
              <w:snapToGrid w:val="0"/>
              <w:spacing w:line="500" w:lineRule="exact"/>
              <w:ind w:left="-2" w:leftChars="-2" w:hanging="2" w:hangingChars="1"/>
              <w:jc w:val="center"/>
              <w:rPr>
                <w:rFonts w:ascii="仿宋" w:hAnsi="仿宋" w:eastAsia="仿宋" w:cs="仿宋"/>
                <w:sz w:val="28"/>
                <w:szCs w:val="28"/>
              </w:rPr>
            </w:pPr>
            <w:r>
              <w:rPr>
                <w:rFonts w:hint="eastAsia" w:ascii="仿宋" w:hAnsi="仿宋" w:eastAsia="仿宋" w:cs="仿宋"/>
                <w:sz w:val="28"/>
                <w:szCs w:val="28"/>
              </w:rPr>
              <w:t>1584</w:t>
            </w:r>
          </w:p>
        </w:tc>
        <w:tc>
          <w:tcPr>
            <w:tcW w:w="2841" w:type="dxa"/>
            <w:shd w:val="clear" w:color="auto" w:fill="auto"/>
            <w:noWrap w:val="0"/>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1593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25" w:type="dxa"/>
            <w:vMerge w:val="continue"/>
            <w:shd w:val="clear" w:color="auto" w:fill="auto"/>
            <w:noWrap w:val="0"/>
            <w:vAlign w:val="center"/>
          </w:tcPr>
          <w:p>
            <w:pPr>
              <w:adjustRightInd w:val="0"/>
              <w:snapToGrid w:val="0"/>
              <w:spacing w:line="500" w:lineRule="exact"/>
              <w:ind w:firstLine="560" w:firstLineChars="200"/>
              <w:jc w:val="center"/>
              <w:rPr>
                <w:rFonts w:ascii="仿宋" w:hAnsi="仿宋" w:eastAsia="仿宋" w:cs="仿宋"/>
                <w:sz w:val="28"/>
                <w:szCs w:val="28"/>
              </w:rPr>
            </w:pPr>
          </w:p>
        </w:tc>
        <w:tc>
          <w:tcPr>
            <w:tcW w:w="1115" w:type="dxa"/>
            <w:shd w:val="clear" w:color="auto" w:fill="auto"/>
            <w:noWrap w:val="0"/>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中技</w:t>
            </w:r>
          </w:p>
        </w:tc>
        <w:tc>
          <w:tcPr>
            <w:tcW w:w="2841" w:type="dxa"/>
            <w:shd w:val="clear" w:color="auto" w:fill="auto"/>
            <w:noWrap w:val="0"/>
            <w:vAlign w:val="center"/>
          </w:tcPr>
          <w:p>
            <w:pPr>
              <w:adjustRightInd w:val="0"/>
              <w:snapToGrid w:val="0"/>
              <w:spacing w:line="500" w:lineRule="exact"/>
              <w:ind w:left="-2" w:leftChars="-2" w:hanging="2" w:hangingChars="1"/>
              <w:jc w:val="center"/>
              <w:rPr>
                <w:rFonts w:ascii="仿宋" w:hAnsi="仿宋" w:eastAsia="仿宋" w:cs="仿宋"/>
                <w:sz w:val="28"/>
                <w:szCs w:val="28"/>
              </w:rPr>
            </w:pPr>
            <w:r>
              <w:rPr>
                <w:rFonts w:hint="eastAsia" w:ascii="仿宋" w:hAnsi="仿宋" w:eastAsia="仿宋" w:cs="仿宋"/>
                <w:sz w:val="28"/>
                <w:szCs w:val="28"/>
              </w:rPr>
              <w:t>1200</w:t>
            </w:r>
          </w:p>
        </w:tc>
        <w:tc>
          <w:tcPr>
            <w:tcW w:w="2841" w:type="dxa"/>
            <w:shd w:val="clear" w:color="auto" w:fill="auto"/>
            <w:noWrap w:val="0"/>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840" w:type="dxa"/>
            <w:gridSpan w:val="2"/>
            <w:shd w:val="clear" w:color="auto" w:fill="auto"/>
            <w:noWrap w:val="0"/>
            <w:vAlign w:val="center"/>
          </w:tcPr>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流生人数</w:t>
            </w:r>
          </w:p>
        </w:tc>
        <w:tc>
          <w:tcPr>
            <w:tcW w:w="2841" w:type="dxa"/>
            <w:shd w:val="clear" w:color="auto" w:fill="auto"/>
            <w:noWrap w:val="0"/>
            <w:vAlign w:val="center"/>
          </w:tcPr>
          <w:p>
            <w:pPr>
              <w:adjustRightInd w:val="0"/>
              <w:snapToGrid w:val="0"/>
              <w:spacing w:line="500" w:lineRule="exact"/>
              <w:ind w:left="-2" w:leftChars="-2" w:hanging="2" w:hangingChars="1"/>
              <w:jc w:val="center"/>
              <w:rPr>
                <w:rFonts w:ascii="仿宋" w:hAnsi="仿宋" w:eastAsia="仿宋" w:cs="仿宋"/>
                <w:sz w:val="28"/>
                <w:szCs w:val="28"/>
              </w:rPr>
            </w:pPr>
            <w:r>
              <w:rPr>
                <w:rFonts w:hint="eastAsia" w:ascii="仿宋" w:hAnsi="仿宋" w:eastAsia="仿宋" w:cs="仿宋"/>
                <w:sz w:val="28"/>
                <w:szCs w:val="28"/>
              </w:rPr>
              <w:t>121</w:t>
            </w:r>
          </w:p>
        </w:tc>
        <w:tc>
          <w:tcPr>
            <w:tcW w:w="2841" w:type="dxa"/>
            <w:shd w:val="clear" w:color="auto" w:fill="auto"/>
            <w:noWrap w:val="0"/>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840" w:type="dxa"/>
            <w:gridSpan w:val="2"/>
            <w:shd w:val="clear" w:color="auto" w:fill="auto"/>
            <w:noWrap w:val="0"/>
            <w:vAlign w:val="center"/>
          </w:tcPr>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巩固率</w:t>
            </w:r>
          </w:p>
        </w:tc>
        <w:tc>
          <w:tcPr>
            <w:tcW w:w="2841" w:type="dxa"/>
            <w:shd w:val="clear" w:color="auto" w:fill="auto"/>
            <w:noWrap w:val="0"/>
            <w:vAlign w:val="center"/>
          </w:tcPr>
          <w:p>
            <w:pPr>
              <w:adjustRightInd w:val="0"/>
              <w:snapToGrid w:val="0"/>
              <w:spacing w:line="500" w:lineRule="exact"/>
              <w:ind w:left="-2" w:leftChars="-2" w:hanging="2" w:hangingChars="1"/>
              <w:jc w:val="center"/>
              <w:rPr>
                <w:rFonts w:ascii="仿宋" w:hAnsi="仿宋" w:eastAsia="仿宋" w:cs="仿宋"/>
                <w:sz w:val="28"/>
                <w:szCs w:val="28"/>
              </w:rPr>
            </w:pPr>
            <w:r>
              <w:rPr>
                <w:rFonts w:hint="eastAsia" w:ascii="仿宋" w:hAnsi="仿宋" w:eastAsia="仿宋" w:cs="仿宋"/>
                <w:sz w:val="28"/>
                <w:szCs w:val="28"/>
              </w:rPr>
              <w:t>95.7%</w:t>
            </w:r>
          </w:p>
        </w:tc>
        <w:tc>
          <w:tcPr>
            <w:tcW w:w="2841" w:type="dxa"/>
            <w:shd w:val="clear" w:color="auto" w:fill="auto"/>
            <w:noWrap w:val="0"/>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840" w:type="dxa"/>
            <w:gridSpan w:val="2"/>
            <w:shd w:val="clear" w:color="auto" w:fill="auto"/>
            <w:noWrap w:val="0"/>
            <w:vAlign w:val="center"/>
          </w:tcPr>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培训人数</w:t>
            </w:r>
          </w:p>
        </w:tc>
        <w:tc>
          <w:tcPr>
            <w:tcW w:w="2841" w:type="dxa"/>
            <w:shd w:val="clear" w:color="auto" w:fill="auto"/>
            <w:noWrap w:val="0"/>
            <w:vAlign w:val="center"/>
          </w:tcPr>
          <w:p>
            <w:pPr>
              <w:adjustRightInd w:val="0"/>
              <w:snapToGrid w:val="0"/>
              <w:spacing w:line="500" w:lineRule="exact"/>
              <w:ind w:left="-2" w:leftChars="-2" w:hanging="2" w:hangingChars="1"/>
              <w:jc w:val="center"/>
              <w:rPr>
                <w:rFonts w:ascii="仿宋" w:hAnsi="仿宋" w:eastAsia="仿宋" w:cs="仿宋"/>
                <w:sz w:val="28"/>
                <w:szCs w:val="28"/>
              </w:rPr>
            </w:pPr>
            <w:r>
              <w:rPr>
                <w:rFonts w:hint="eastAsia" w:ascii="仿宋" w:hAnsi="仿宋" w:eastAsia="仿宋" w:cs="仿宋"/>
                <w:sz w:val="28"/>
                <w:szCs w:val="28"/>
              </w:rPr>
              <w:t>10844</w:t>
            </w:r>
          </w:p>
        </w:tc>
        <w:tc>
          <w:tcPr>
            <w:tcW w:w="2841" w:type="dxa"/>
            <w:shd w:val="clear" w:color="auto" w:fill="auto"/>
            <w:noWrap w:val="0"/>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8035</w:t>
            </w:r>
          </w:p>
        </w:tc>
      </w:tr>
    </w:tbl>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2020年学生生源结构情况:</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男生，1652人，占60.2%； 女生，1092人，占39.8%。</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住校生，1348人 ，占49.1% ； 通校生(含实习生)，1396人，占50.9%。</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城镇学生, 783人，占28.5%； 农村学生，1961人，占71.5%。</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本地生, 1633人，占59.5%，外地生，1111人,占40.5%。</w:t>
      </w:r>
    </w:p>
    <w:p>
      <w:pPr>
        <w:adjustRightInd w:val="0"/>
        <w:snapToGrid w:val="0"/>
        <w:spacing w:line="500" w:lineRule="exact"/>
        <w:rPr>
          <w:rFonts w:ascii="仿宋" w:hAnsi="仿宋" w:eastAsia="仿宋" w:cs="仿宋"/>
          <w:sz w:val="28"/>
          <w:szCs w:val="28"/>
        </w:rPr>
      </w:pPr>
      <w:r>
        <w:rPr>
          <w:rFonts w:hint="eastAsia" w:ascii="仿宋_GB2312" w:eastAsia="仿宋_GB2312" w:cs="宋体"/>
          <w:color w:val="000000"/>
          <w:kern w:val="0"/>
          <w:sz w:val="32"/>
          <w:szCs w:val="32"/>
        </w:rPr>
        <w:t>1.3教师队伍</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（1）生师比。全日制学历教育在校学生2754人，专任教师206人，生师比13.4:1；上一年度全日制学历教育在校学生2784人，专任教师205人，生师比13.6:1。</w:t>
      </w:r>
      <w:bookmarkStart w:id="0" w:name="_1609069266"/>
      <w:bookmarkEnd w:id="0"/>
      <w:bookmarkStart w:id="1" w:name="_1609069339"/>
      <w:bookmarkEnd w:id="1"/>
    </w:p>
    <w:p>
      <w:pPr>
        <w:adjustRightInd w:val="0"/>
        <w:snapToGrid w:val="0"/>
        <w:spacing w:line="500" w:lineRule="exact"/>
        <w:ind w:firstLine="420" w:firstLineChars="200"/>
        <w:rPr>
          <w:rFonts w:ascii="仿宋" w:hAnsi="仿宋" w:eastAsia="仿宋" w:cs="仿宋"/>
          <w:sz w:val="28"/>
          <w:szCs w:val="28"/>
        </w:rPr>
      </w:pPr>
      <w:r>
        <w:rPr>
          <w:rFonts w:hint="eastAsia" w:ascii="����" w:hAnsi="����"/>
          <w:color w:val="FF0000"/>
          <w:szCs w:val="21"/>
        </w:rPr>
        <w:drawing>
          <wp:anchor distT="0" distB="0" distL="0" distR="0" simplePos="0" relativeHeight="251659264" behindDoc="1" locked="0" layoutInCell="1" allowOverlap="1">
            <wp:simplePos x="0" y="0"/>
            <wp:positionH relativeFrom="column">
              <wp:posOffset>460375</wp:posOffset>
            </wp:positionH>
            <wp:positionV relativeFrom="paragraph">
              <wp:posOffset>97155</wp:posOffset>
            </wp:positionV>
            <wp:extent cx="4486275" cy="2009140"/>
            <wp:effectExtent l="4445" t="4445" r="5080" b="571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adjustRightInd w:val="0"/>
        <w:snapToGrid w:val="0"/>
        <w:spacing w:line="500" w:lineRule="exact"/>
        <w:ind w:firstLine="560" w:firstLineChars="200"/>
        <w:rPr>
          <w:rFonts w:ascii="仿宋" w:hAnsi="仿宋" w:eastAsia="仿宋" w:cs="仿宋"/>
          <w:sz w:val="28"/>
          <w:szCs w:val="28"/>
        </w:rPr>
      </w:pPr>
    </w:p>
    <w:p>
      <w:pPr>
        <w:adjustRightInd w:val="0"/>
        <w:snapToGrid w:val="0"/>
        <w:spacing w:line="500" w:lineRule="exact"/>
        <w:ind w:firstLine="560" w:firstLineChars="200"/>
        <w:rPr>
          <w:rFonts w:ascii="仿宋" w:hAnsi="仿宋" w:eastAsia="仿宋" w:cs="仿宋"/>
          <w:sz w:val="28"/>
          <w:szCs w:val="28"/>
        </w:rPr>
      </w:pPr>
    </w:p>
    <w:p>
      <w:pPr>
        <w:adjustRightInd w:val="0"/>
        <w:snapToGrid w:val="0"/>
        <w:spacing w:line="500" w:lineRule="exact"/>
        <w:ind w:firstLine="560" w:firstLineChars="200"/>
        <w:rPr>
          <w:rFonts w:ascii="仿宋" w:hAnsi="仿宋" w:eastAsia="仿宋" w:cs="仿宋"/>
          <w:sz w:val="28"/>
          <w:szCs w:val="28"/>
        </w:rPr>
      </w:pPr>
    </w:p>
    <w:p>
      <w:pPr>
        <w:adjustRightInd w:val="0"/>
        <w:snapToGrid w:val="0"/>
        <w:spacing w:line="500" w:lineRule="exact"/>
        <w:ind w:firstLine="560" w:firstLineChars="200"/>
        <w:rPr>
          <w:rFonts w:ascii="仿宋" w:hAnsi="仿宋" w:eastAsia="仿宋" w:cs="仿宋"/>
          <w:sz w:val="28"/>
          <w:szCs w:val="28"/>
        </w:rPr>
      </w:pPr>
    </w:p>
    <w:p>
      <w:pPr>
        <w:adjustRightInd w:val="0"/>
        <w:snapToGrid w:val="0"/>
        <w:spacing w:line="500" w:lineRule="exact"/>
        <w:ind w:firstLine="560" w:firstLineChars="200"/>
        <w:rPr>
          <w:rFonts w:ascii="仿宋" w:hAnsi="仿宋" w:eastAsia="仿宋" w:cs="仿宋"/>
          <w:sz w:val="28"/>
          <w:szCs w:val="28"/>
        </w:rPr>
      </w:pPr>
    </w:p>
    <w:p>
      <w:pPr>
        <w:adjustRightInd w:val="0"/>
        <w:snapToGrid w:val="0"/>
        <w:spacing w:line="500" w:lineRule="exact"/>
        <w:ind w:firstLine="560" w:firstLineChars="200"/>
        <w:rPr>
          <w:rFonts w:ascii="仿宋" w:hAnsi="仿宋" w:eastAsia="仿宋" w:cs="仿宋"/>
          <w:sz w:val="28"/>
          <w:szCs w:val="28"/>
        </w:rPr>
      </w:pP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 “双师型”教师比例。“双师型”教师103人，专业课教师123人，比例84%；上一年度“双师型”教师102人，专业课教师120人，比例85%。</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（3）兼职教师：</w:t>
      </w:r>
      <w:r>
        <w:rPr>
          <w:rFonts w:hint="default" w:ascii="仿宋" w:hAnsi="仿宋" w:eastAsia="仿宋" w:cs="仿宋"/>
          <w:sz w:val="28"/>
          <w:szCs w:val="28"/>
        </w:rPr>
        <w:t>38</w:t>
      </w:r>
      <w:r>
        <w:rPr>
          <w:rFonts w:hint="eastAsia" w:ascii="仿宋" w:hAnsi="仿宋" w:eastAsia="仿宋" w:cs="仿宋"/>
          <w:sz w:val="28"/>
          <w:szCs w:val="28"/>
        </w:rPr>
        <w:t>人</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专任教师学历：专任教师206人，其中具有本科以上学历的192人，比例93.2%以上；硕士以上学历8人，比例3.9%；上一年度专任教师205人，其中具有本科以上学历的194人，比例94.6%以上；硕士以上学历5人，比例2.4%。</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（5）专任教师高级职称</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专任教师206人，其中高级职称63人，比例30.6%；上一年度专任教师205人，高级职称63人，比例30.7%。</w:t>
      </w:r>
    </w:p>
    <w:p/>
    <w:p>
      <w:pPr>
        <w:rPr>
          <w:rFonts w:ascii="仿宋" w:hAnsi="仿宋" w:eastAsia="仿宋" w:cs="仿宋"/>
          <w:sz w:val="28"/>
          <w:szCs w:val="28"/>
        </w:rPr>
      </w:pPr>
      <w:r>
        <w:rPr>
          <w:rFonts w:ascii="仿宋" w:hAnsi="仿宋" w:eastAsia="仿宋" w:cs="仿宋"/>
          <w:sz w:val="28"/>
          <w:szCs w:val="28"/>
        </w:rPr>
        <w:drawing>
          <wp:anchor distT="0" distB="0" distL="114300" distR="114300" simplePos="0" relativeHeight="251662336" behindDoc="0" locked="0" layoutInCell="1" allowOverlap="1">
            <wp:simplePos x="0" y="0"/>
            <wp:positionH relativeFrom="column">
              <wp:posOffset>309880</wp:posOffset>
            </wp:positionH>
            <wp:positionV relativeFrom="paragraph">
              <wp:posOffset>5715</wp:posOffset>
            </wp:positionV>
            <wp:extent cx="4749800" cy="2970530"/>
            <wp:effectExtent l="4445" t="5080" r="8255" b="1524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 w:hAnsi="仿宋" w:eastAsia="仿宋"/>
          <w:color w:val="000000"/>
          <w:sz w:val="28"/>
          <w:szCs w:val="28"/>
        </w:rPr>
        <w:t>1.4设施设备</w:t>
      </w:r>
    </w:p>
    <w:tbl>
      <w:tblPr>
        <w:tblStyle w:val="3"/>
        <w:tblpPr w:leftFromText="181" w:rightFromText="181" w:vertAnchor="text" w:horzAnchor="margin" w:tblpX="108" w:tblpY="285"/>
        <w:tblW w:w="85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9"/>
        <w:gridCol w:w="1275"/>
        <w:gridCol w:w="1276"/>
        <w:gridCol w:w="870"/>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699" w:type="dxa"/>
            <w:noWrap w:val="0"/>
            <w:vAlign w:val="center"/>
          </w:tcPr>
          <w:p>
            <w:pPr>
              <w:widowControl/>
              <w:spacing w:line="500" w:lineRule="exact"/>
              <w:jc w:val="center"/>
              <w:rPr>
                <w:rFonts w:ascii="仿宋" w:hAnsi="仿宋" w:eastAsia="仿宋" w:cs="仿宋"/>
                <w:kern w:val="0"/>
                <w:sz w:val="28"/>
                <w:szCs w:val="28"/>
              </w:rPr>
            </w:pPr>
          </w:p>
        </w:tc>
        <w:tc>
          <w:tcPr>
            <w:tcW w:w="1275"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2019年</w:t>
            </w:r>
          </w:p>
        </w:tc>
        <w:tc>
          <w:tcPr>
            <w:tcW w:w="1276"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2020年</w:t>
            </w:r>
          </w:p>
        </w:tc>
        <w:tc>
          <w:tcPr>
            <w:tcW w:w="870"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比对</w:t>
            </w:r>
          </w:p>
        </w:tc>
        <w:tc>
          <w:tcPr>
            <w:tcW w:w="2390"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699"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在册学生</w:t>
            </w:r>
          </w:p>
        </w:tc>
        <w:tc>
          <w:tcPr>
            <w:tcW w:w="1275"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2784</w:t>
            </w:r>
          </w:p>
        </w:tc>
        <w:tc>
          <w:tcPr>
            <w:tcW w:w="1276"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2744</w:t>
            </w:r>
          </w:p>
        </w:tc>
        <w:tc>
          <w:tcPr>
            <w:tcW w:w="870" w:type="dxa"/>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-40</w:t>
            </w:r>
          </w:p>
        </w:tc>
        <w:tc>
          <w:tcPr>
            <w:tcW w:w="2390" w:type="dxa"/>
            <w:noWrap w:val="0"/>
            <w:vAlign w:val="center"/>
          </w:tcPr>
          <w:p>
            <w:pPr>
              <w:widowControl/>
              <w:spacing w:line="5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699"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在校学生</w:t>
            </w:r>
          </w:p>
        </w:tc>
        <w:tc>
          <w:tcPr>
            <w:tcW w:w="1275"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2242</w:t>
            </w:r>
          </w:p>
        </w:tc>
        <w:tc>
          <w:tcPr>
            <w:tcW w:w="1276"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2308</w:t>
            </w:r>
          </w:p>
        </w:tc>
        <w:tc>
          <w:tcPr>
            <w:tcW w:w="870" w:type="dxa"/>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66</w:t>
            </w:r>
          </w:p>
        </w:tc>
        <w:tc>
          <w:tcPr>
            <w:tcW w:w="2390" w:type="dxa"/>
            <w:noWrap w:val="0"/>
            <w:vAlign w:val="center"/>
          </w:tcPr>
          <w:p>
            <w:pPr>
              <w:widowControl/>
              <w:spacing w:line="5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99"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实验实训设备资产值(万元)</w:t>
            </w:r>
          </w:p>
        </w:tc>
        <w:tc>
          <w:tcPr>
            <w:tcW w:w="1275"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3251</w:t>
            </w:r>
          </w:p>
        </w:tc>
        <w:tc>
          <w:tcPr>
            <w:tcW w:w="1276"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3314</w:t>
            </w:r>
          </w:p>
        </w:tc>
        <w:tc>
          <w:tcPr>
            <w:tcW w:w="870" w:type="dxa"/>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63</w:t>
            </w:r>
          </w:p>
        </w:tc>
        <w:tc>
          <w:tcPr>
            <w:tcW w:w="2390" w:type="dxa"/>
            <w:noWrap w:val="0"/>
            <w:vAlign w:val="center"/>
          </w:tcPr>
          <w:p>
            <w:pPr>
              <w:widowControl/>
              <w:spacing w:line="5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699"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生均教学仪器设备值（元）</w:t>
            </w:r>
          </w:p>
        </w:tc>
        <w:tc>
          <w:tcPr>
            <w:tcW w:w="1275"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11677</w:t>
            </w:r>
          </w:p>
        </w:tc>
        <w:tc>
          <w:tcPr>
            <w:tcW w:w="1276"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12077</w:t>
            </w:r>
          </w:p>
        </w:tc>
        <w:tc>
          <w:tcPr>
            <w:tcW w:w="870" w:type="dxa"/>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400</w:t>
            </w:r>
          </w:p>
        </w:tc>
        <w:tc>
          <w:tcPr>
            <w:tcW w:w="2390"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（注：按在册学生数计算）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rPr>
        <w:tc>
          <w:tcPr>
            <w:tcW w:w="2699"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实验实训设备 (台、套)</w:t>
            </w:r>
          </w:p>
        </w:tc>
        <w:tc>
          <w:tcPr>
            <w:tcW w:w="1275"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3723</w:t>
            </w:r>
          </w:p>
        </w:tc>
        <w:tc>
          <w:tcPr>
            <w:tcW w:w="1276"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3745</w:t>
            </w:r>
          </w:p>
        </w:tc>
        <w:tc>
          <w:tcPr>
            <w:tcW w:w="870" w:type="dxa"/>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22</w:t>
            </w:r>
          </w:p>
        </w:tc>
        <w:tc>
          <w:tcPr>
            <w:tcW w:w="2390" w:type="dxa"/>
            <w:noWrap w:val="0"/>
            <w:vAlign w:val="center"/>
          </w:tcPr>
          <w:p>
            <w:pPr>
              <w:widowControl/>
              <w:spacing w:line="5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699"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实训实习工位数（个）</w:t>
            </w:r>
          </w:p>
        </w:tc>
        <w:tc>
          <w:tcPr>
            <w:tcW w:w="1275"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2290</w:t>
            </w:r>
          </w:p>
        </w:tc>
        <w:tc>
          <w:tcPr>
            <w:tcW w:w="1276"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2335</w:t>
            </w:r>
          </w:p>
        </w:tc>
        <w:tc>
          <w:tcPr>
            <w:tcW w:w="870" w:type="dxa"/>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45</w:t>
            </w:r>
          </w:p>
        </w:tc>
        <w:tc>
          <w:tcPr>
            <w:tcW w:w="2390"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（注：按在册学生数计算）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699"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生均实训实习工位数（个/生）</w:t>
            </w:r>
          </w:p>
        </w:tc>
        <w:tc>
          <w:tcPr>
            <w:tcW w:w="1275"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1.02</w:t>
            </w:r>
          </w:p>
        </w:tc>
        <w:tc>
          <w:tcPr>
            <w:tcW w:w="1276"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1.01</w:t>
            </w:r>
          </w:p>
        </w:tc>
        <w:tc>
          <w:tcPr>
            <w:tcW w:w="870" w:type="dxa"/>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-0.01</w:t>
            </w:r>
          </w:p>
        </w:tc>
        <w:tc>
          <w:tcPr>
            <w:tcW w:w="2390"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（注：按在校学生数计算）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699"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sz w:val="28"/>
                <w:szCs w:val="28"/>
              </w:rPr>
              <w:t>生均纸质图书</w:t>
            </w:r>
            <w:r>
              <w:rPr>
                <w:rFonts w:hint="eastAsia" w:ascii="仿宋" w:hAnsi="仿宋" w:eastAsia="仿宋" w:cs="仿宋"/>
                <w:kern w:val="0"/>
                <w:sz w:val="28"/>
                <w:szCs w:val="28"/>
              </w:rPr>
              <w:t>（本/生）</w:t>
            </w:r>
          </w:p>
        </w:tc>
        <w:tc>
          <w:tcPr>
            <w:tcW w:w="1275"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32</w:t>
            </w:r>
          </w:p>
        </w:tc>
        <w:tc>
          <w:tcPr>
            <w:tcW w:w="1276"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33</w:t>
            </w:r>
          </w:p>
        </w:tc>
        <w:tc>
          <w:tcPr>
            <w:tcW w:w="870" w:type="dxa"/>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1</w:t>
            </w:r>
          </w:p>
        </w:tc>
        <w:tc>
          <w:tcPr>
            <w:tcW w:w="2390" w:type="dxa"/>
            <w:noWrap w:val="0"/>
            <w:vAlign w:val="center"/>
          </w:tcPr>
          <w:p>
            <w:pPr>
              <w:widowControl/>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（注：按在册学生数计算）</w:t>
            </w:r>
          </w:p>
        </w:tc>
      </w:tr>
    </w:tbl>
    <w:p>
      <w:pPr>
        <w:adjustRightInd w:val="0"/>
        <w:snapToGrid w:val="0"/>
        <w:spacing w:line="500" w:lineRule="exact"/>
        <w:outlineLvl w:val="1"/>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2.学生发展</w:t>
      </w:r>
    </w:p>
    <w:p>
      <w:pPr>
        <w:adjustRightInd w:val="0"/>
        <w:snapToGrid w:val="0"/>
        <w:spacing w:line="500" w:lineRule="exact"/>
        <w:outlineLvl w:val="1"/>
        <w:rPr>
          <w:rFonts w:hint="eastAsia" w:ascii="仿宋" w:hAnsi="仿宋" w:eastAsia="仿宋" w:cs="仿宋"/>
          <w:sz w:val="28"/>
          <w:szCs w:val="28"/>
        </w:rPr>
      </w:pPr>
      <w:r>
        <w:rPr>
          <w:rFonts w:hint="eastAsia" w:ascii="仿宋" w:hAnsi="仿宋" w:eastAsia="仿宋" w:cs="仿宋"/>
          <w:sz w:val="28"/>
          <w:szCs w:val="28"/>
        </w:rPr>
        <w:t>2.1学生素质</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在学生中大力开展中国梦、社会主义核心价值观、勤俭节约、热爱劳动的教育，引导学生树立正确的理想信念、中国精神和思想道德品质。利用德育课、班会课、活动课等课堂形式，进行爱国主义教育；通过学校广播站开展核心价值观宣讲；利用晨会、晨读、班歌、主题教育等形式，开展“我的中国梦”系列活动。</w:t>
      </w:r>
    </w:p>
    <w:p>
      <w:pPr>
        <w:numPr>
          <w:ilvl w:val="0"/>
          <w:numId w:val="0"/>
        </w:numPr>
        <w:adjustRightInd w:val="0"/>
        <w:snapToGrid w:val="0"/>
        <w:spacing w:line="500" w:lineRule="exact"/>
        <w:ind w:firstLine="280" w:firstLineChars="100"/>
        <w:outlineLvl w:val="1"/>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毕业率</w:t>
      </w:r>
    </w:p>
    <w:tbl>
      <w:tblPr>
        <w:tblStyle w:val="3"/>
        <w:tblW w:w="8686"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737"/>
        <w:gridCol w:w="1737"/>
        <w:gridCol w:w="1737"/>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shd w:val="clear" w:color="auto" w:fill="auto"/>
            <w:noWrap w:val="0"/>
            <w:vAlign w:val="center"/>
          </w:tcPr>
          <w:p>
            <w:pPr>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年份</w:t>
            </w:r>
          </w:p>
        </w:tc>
        <w:tc>
          <w:tcPr>
            <w:tcW w:w="1737" w:type="dxa"/>
            <w:shd w:val="clear" w:color="auto" w:fill="auto"/>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毕业总人数</w:t>
            </w:r>
          </w:p>
        </w:tc>
        <w:tc>
          <w:tcPr>
            <w:tcW w:w="1737" w:type="dxa"/>
            <w:shd w:val="clear" w:color="auto" w:fill="auto"/>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合格人数</w:t>
            </w:r>
          </w:p>
        </w:tc>
        <w:tc>
          <w:tcPr>
            <w:tcW w:w="1737" w:type="dxa"/>
            <w:shd w:val="clear" w:color="auto" w:fill="auto"/>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不合格人数</w:t>
            </w:r>
          </w:p>
        </w:tc>
        <w:tc>
          <w:tcPr>
            <w:tcW w:w="1738" w:type="dxa"/>
            <w:shd w:val="clear" w:color="auto" w:fill="auto"/>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毕业率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shd w:val="clear" w:color="auto" w:fill="auto"/>
            <w:noWrap w:val="0"/>
            <w:vAlign w:val="center"/>
          </w:tcPr>
          <w:p>
            <w:pPr>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2019年</w:t>
            </w:r>
          </w:p>
        </w:tc>
        <w:tc>
          <w:tcPr>
            <w:tcW w:w="1737" w:type="dxa"/>
            <w:shd w:val="clear" w:color="auto" w:fill="auto"/>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891</w:t>
            </w:r>
          </w:p>
        </w:tc>
        <w:tc>
          <w:tcPr>
            <w:tcW w:w="1737" w:type="dxa"/>
            <w:shd w:val="clear" w:color="auto" w:fill="auto"/>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836</w:t>
            </w:r>
          </w:p>
        </w:tc>
        <w:tc>
          <w:tcPr>
            <w:tcW w:w="1737" w:type="dxa"/>
            <w:shd w:val="clear" w:color="auto" w:fill="auto"/>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55</w:t>
            </w:r>
          </w:p>
        </w:tc>
        <w:tc>
          <w:tcPr>
            <w:tcW w:w="1738" w:type="dxa"/>
            <w:shd w:val="clear" w:color="auto" w:fill="auto"/>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shd w:val="clear" w:color="auto" w:fill="auto"/>
            <w:noWrap w:val="0"/>
            <w:vAlign w:val="center"/>
          </w:tcPr>
          <w:p>
            <w:pPr>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2020年</w:t>
            </w:r>
          </w:p>
        </w:tc>
        <w:tc>
          <w:tcPr>
            <w:tcW w:w="1737" w:type="dxa"/>
            <w:shd w:val="clear" w:color="auto" w:fill="auto"/>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933</w:t>
            </w:r>
          </w:p>
        </w:tc>
        <w:tc>
          <w:tcPr>
            <w:tcW w:w="1737" w:type="dxa"/>
            <w:shd w:val="clear" w:color="auto" w:fill="auto"/>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848</w:t>
            </w:r>
          </w:p>
        </w:tc>
        <w:tc>
          <w:tcPr>
            <w:tcW w:w="1737" w:type="dxa"/>
            <w:shd w:val="clear" w:color="auto" w:fill="auto"/>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85</w:t>
            </w:r>
          </w:p>
        </w:tc>
        <w:tc>
          <w:tcPr>
            <w:tcW w:w="1738" w:type="dxa"/>
            <w:shd w:val="clear" w:color="auto" w:fill="auto"/>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shd w:val="clear" w:color="auto" w:fill="auto"/>
            <w:noWrap w:val="0"/>
            <w:vAlign w:val="center"/>
          </w:tcPr>
          <w:p>
            <w:pPr>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比对</w:t>
            </w:r>
          </w:p>
        </w:tc>
        <w:tc>
          <w:tcPr>
            <w:tcW w:w="1737" w:type="dxa"/>
            <w:shd w:val="clear" w:color="auto" w:fill="auto"/>
            <w:noWrap w:val="0"/>
            <w:vAlign w:val="center"/>
          </w:tcPr>
          <w:p>
            <w:pPr>
              <w:spacing w:line="500" w:lineRule="exact"/>
              <w:ind w:left="-2" w:leftChars="-1"/>
              <w:jc w:val="center"/>
              <w:rPr>
                <w:rFonts w:ascii="仿宋" w:hAnsi="仿宋" w:eastAsia="仿宋" w:cs="仿宋"/>
                <w:sz w:val="28"/>
                <w:szCs w:val="28"/>
              </w:rPr>
            </w:pPr>
            <w:r>
              <w:rPr>
                <w:rFonts w:hint="eastAsia" w:ascii="仿宋" w:hAnsi="仿宋" w:eastAsia="仿宋" w:cs="仿宋"/>
                <w:sz w:val="28"/>
                <w:szCs w:val="28"/>
              </w:rPr>
              <w:t>42</w:t>
            </w:r>
          </w:p>
        </w:tc>
        <w:tc>
          <w:tcPr>
            <w:tcW w:w="1737" w:type="dxa"/>
            <w:shd w:val="clear" w:color="auto" w:fill="auto"/>
            <w:noWrap w:val="0"/>
            <w:vAlign w:val="center"/>
          </w:tcPr>
          <w:p>
            <w:pPr>
              <w:spacing w:line="500" w:lineRule="exact"/>
              <w:ind w:left="-2" w:leftChars="-1"/>
              <w:jc w:val="center"/>
              <w:rPr>
                <w:rFonts w:ascii="仿宋" w:hAnsi="仿宋" w:eastAsia="仿宋" w:cs="仿宋"/>
                <w:sz w:val="28"/>
                <w:szCs w:val="28"/>
              </w:rPr>
            </w:pPr>
            <w:r>
              <w:rPr>
                <w:rFonts w:hint="eastAsia" w:ascii="仿宋" w:hAnsi="仿宋" w:eastAsia="仿宋" w:cs="仿宋"/>
                <w:sz w:val="28"/>
                <w:szCs w:val="28"/>
              </w:rPr>
              <w:t>12</w:t>
            </w:r>
          </w:p>
        </w:tc>
        <w:tc>
          <w:tcPr>
            <w:tcW w:w="1737" w:type="dxa"/>
            <w:shd w:val="clear" w:color="auto" w:fill="auto"/>
            <w:noWrap w:val="0"/>
            <w:vAlign w:val="center"/>
          </w:tcPr>
          <w:p>
            <w:pPr>
              <w:spacing w:line="500" w:lineRule="exact"/>
              <w:ind w:left="-2" w:leftChars="-1"/>
              <w:jc w:val="center"/>
              <w:rPr>
                <w:rFonts w:ascii="仿宋" w:hAnsi="仿宋" w:eastAsia="仿宋" w:cs="仿宋"/>
                <w:sz w:val="28"/>
                <w:szCs w:val="28"/>
              </w:rPr>
            </w:pPr>
            <w:r>
              <w:rPr>
                <w:rFonts w:hint="eastAsia" w:ascii="仿宋" w:hAnsi="仿宋" w:eastAsia="仿宋" w:cs="仿宋"/>
                <w:sz w:val="28"/>
                <w:szCs w:val="28"/>
              </w:rPr>
              <w:t>30</w:t>
            </w:r>
          </w:p>
        </w:tc>
        <w:tc>
          <w:tcPr>
            <w:tcW w:w="1738" w:type="dxa"/>
            <w:shd w:val="clear" w:color="auto" w:fill="auto"/>
            <w:noWrap w:val="0"/>
            <w:vAlign w:val="center"/>
          </w:tcPr>
          <w:p>
            <w:pPr>
              <w:spacing w:line="500" w:lineRule="exact"/>
              <w:ind w:left="-2" w:leftChars="-1"/>
              <w:jc w:val="center"/>
              <w:rPr>
                <w:rFonts w:ascii="仿宋" w:hAnsi="仿宋" w:eastAsia="仿宋" w:cs="仿宋"/>
                <w:sz w:val="28"/>
                <w:szCs w:val="28"/>
              </w:rPr>
            </w:pPr>
            <w:r>
              <w:rPr>
                <w:rFonts w:hint="eastAsia" w:ascii="仿宋" w:hAnsi="仿宋" w:eastAsia="仿宋" w:cs="仿宋"/>
                <w:sz w:val="28"/>
                <w:szCs w:val="28"/>
              </w:rPr>
              <w:t>-2.9%</w:t>
            </w:r>
          </w:p>
        </w:tc>
      </w:tr>
    </w:tbl>
    <w:p>
      <w:pPr>
        <w:numPr>
          <w:ilvl w:val="0"/>
          <w:numId w:val="0"/>
        </w:numPr>
        <w:spacing w:line="500" w:lineRule="exact"/>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文化课合格率</w:t>
      </w:r>
    </w:p>
    <w:tbl>
      <w:tblPr>
        <w:tblStyle w:val="3"/>
        <w:tblpPr w:leftFromText="181" w:rightFromText="181" w:vertAnchor="text" w:horzAnchor="margin" w:tblpX="69" w:tblpY="182"/>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452"/>
        <w:gridCol w:w="1452"/>
        <w:gridCol w:w="1451"/>
        <w:gridCol w:w="145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51" w:type="dxa"/>
            <w:shd w:val="clear" w:color="auto" w:fill="auto"/>
            <w:noWrap w:val="0"/>
            <w:vAlign w:val="center"/>
          </w:tcPr>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年份</w:t>
            </w:r>
          </w:p>
        </w:tc>
        <w:tc>
          <w:tcPr>
            <w:tcW w:w="1452" w:type="dxa"/>
            <w:shd w:val="clear" w:color="auto" w:fill="auto"/>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语文</w:t>
            </w:r>
          </w:p>
        </w:tc>
        <w:tc>
          <w:tcPr>
            <w:tcW w:w="1452" w:type="dxa"/>
            <w:shd w:val="clear" w:color="auto" w:fill="auto"/>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数学</w:t>
            </w:r>
          </w:p>
        </w:tc>
        <w:tc>
          <w:tcPr>
            <w:tcW w:w="1451" w:type="dxa"/>
            <w:shd w:val="clear" w:color="auto" w:fill="auto"/>
            <w:noWrap w:val="0"/>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英语</w:t>
            </w:r>
          </w:p>
        </w:tc>
        <w:tc>
          <w:tcPr>
            <w:tcW w:w="1452" w:type="dxa"/>
            <w:shd w:val="clear" w:color="auto" w:fill="auto"/>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专业技能</w:t>
            </w:r>
          </w:p>
          <w:p>
            <w:pPr>
              <w:snapToGrid w:val="0"/>
              <w:jc w:val="center"/>
              <w:rPr>
                <w:rFonts w:ascii="仿宋" w:hAnsi="仿宋" w:eastAsia="仿宋" w:cs="仿宋"/>
                <w:sz w:val="28"/>
                <w:szCs w:val="28"/>
              </w:rPr>
            </w:pPr>
            <w:r>
              <w:rPr>
                <w:rFonts w:hint="eastAsia" w:ascii="仿宋" w:hAnsi="仿宋" w:eastAsia="仿宋" w:cs="仿宋"/>
                <w:sz w:val="28"/>
                <w:szCs w:val="28"/>
              </w:rPr>
              <w:t>合格率</w:t>
            </w:r>
          </w:p>
        </w:tc>
        <w:tc>
          <w:tcPr>
            <w:tcW w:w="1452" w:type="dxa"/>
            <w:shd w:val="clear" w:color="auto" w:fill="auto"/>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体质测评</w:t>
            </w:r>
          </w:p>
          <w:p>
            <w:pPr>
              <w:snapToGrid w:val="0"/>
              <w:jc w:val="center"/>
              <w:rPr>
                <w:rFonts w:ascii="仿宋" w:hAnsi="仿宋" w:eastAsia="仿宋" w:cs="仿宋"/>
                <w:sz w:val="28"/>
                <w:szCs w:val="28"/>
              </w:rPr>
            </w:pPr>
            <w:r>
              <w:rPr>
                <w:rFonts w:hint="eastAsia" w:ascii="仿宋" w:hAnsi="仿宋" w:eastAsia="仿宋" w:cs="仿宋"/>
                <w:sz w:val="28"/>
                <w:szCs w:val="28"/>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51"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2019年</w:t>
            </w:r>
          </w:p>
        </w:tc>
        <w:tc>
          <w:tcPr>
            <w:tcW w:w="1452"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96.5%</w:t>
            </w:r>
          </w:p>
        </w:tc>
        <w:tc>
          <w:tcPr>
            <w:tcW w:w="1452"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94.5%</w:t>
            </w:r>
          </w:p>
        </w:tc>
        <w:tc>
          <w:tcPr>
            <w:tcW w:w="1451"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91.3%</w:t>
            </w:r>
          </w:p>
        </w:tc>
        <w:tc>
          <w:tcPr>
            <w:tcW w:w="1452"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93.2%</w:t>
            </w:r>
          </w:p>
        </w:tc>
        <w:tc>
          <w:tcPr>
            <w:tcW w:w="1452"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51"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2020年</w:t>
            </w:r>
          </w:p>
        </w:tc>
        <w:tc>
          <w:tcPr>
            <w:tcW w:w="1452"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96.2%</w:t>
            </w:r>
          </w:p>
        </w:tc>
        <w:tc>
          <w:tcPr>
            <w:tcW w:w="1452"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94.2%</w:t>
            </w:r>
          </w:p>
        </w:tc>
        <w:tc>
          <w:tcPr>
            <w:tcW w:w="1451"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90.8%</w:t>
            </w:r>
          </w:p>
        </w:tc>
        <w:tc>
          <w:tcPr>
            <w:tcW w:w="1452"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91.9%</w:t>
            </w:r>
          </w:p>
        </w:tc>
        <w:tc>
          <w:tcPr>
            <w:tcW w:w="1452"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51"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比对</w:t>
            </w:r>
          </w:p>
        </w:tc>
        <w:tc>
          <w:tcPr>
            <w:tcW w:w="1452"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-0.3%</w:t>
            </w:r>
          </w:p>
        </w:tc>
        <w:tc>
          <w:tcPr>
            <w:tcW w:w="1452"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-0.3%</w:t>
            </w:r>
          </w:p>
        </w:tc>
        <w:tc>
          <w:tcPr>
            <w:tcW w:w="1451"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-0.5%</w:t>
            </w:r>
          </w:p>
        </w:tc>
        <w:tc>
          <w:tcPr>
            <w:tcW w:w="1452"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-1.3%</w:t>
            </w:r>
          </w:p>
        </w:tc>
        <w:tc>
          <w:tcPr>
            <w:tcW w:w="1452" w:type="dxa"/>
            <w:shd w:val="clear" w:color="auto" w:fill="auto"/>
            <w:noWrap w:val="0"/>
            <w:vAlign w:val="center"/>
          </w:tcPr>
          <w:p>
            <w:pPr>
              <w:spacing w:line="500" w:lineRule="exact"/>
              <w:jc w:val="center"/>
              <w:rPr>
                <w:rFonts w:ascii="仿宋" w:hAnsi="仿宋" w:eastAsia="仿宋"/>
                <w:sz w:val="28"/>
                <w:szCs w:val="28"/>
              </w:rPr>
            </w:pPr>
            <w:r>
              <w:rPr>
                <w:rFonts w:hint="eastAsia" w:ascii="仿宋" w:hAnsi="仿宋" w:eastAsia="仿宋"/>
                <w:sz w:val="28"/>
                <w:szCs w:val="28"/>
              </w:rPr>
              <w:t>1.4%</w:t>
            </w:r>
          </w:p>
        </w:tc>
      </w:tr>
    </w:tbl>
    <w:p>
      <w:pPr>
        <w:adjustRightInd w:val="0"/>
        <w:snapToGrid w:val="0"/>
        <w:spacing w:line="500" w:lineRule="exact"/>
        <w:outlineLvl w:val="1"/>
        <w:rPr>
          <w:rFonts w:ascii="仿宋" w:hAnsi="仿宋" w:eastAsia="仿宋" w:cs="仿宋"/>
          <w:sz w:val="28"/>
          <w:szCs w:val="28"/>
        </w:rPr>
      </w:pPr>
      <w:r>
        <w:rPr>
          <w:rFonts w:hint="eastAsia" w:ascii="仿宋" w:hAnsi="仿宋" w:eastAsia="仿宋" w:cs="仿宋"/>
          <w:sz w:val="28"/>
          <w:szCs w:val="28"/>
        </w:rPr>
        <w:t>2.2在校体验</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开展“理实一体”和项目教学法，注重学生实践体验，学生对理论学习、专业学习实训产生浓厚的兴趣，学习满意度高。校园开展技能节、体育节、艺术节等各类校园技能文化活动，同时成立各类球队、舞蹈社、合唱社、棋社、礼仪队、国旗队等各类社团，学生参与面广，满意度高。</w:t>
      </w:r>
    </w:p>
    <w:p>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毕业生就业率高，就业率连年在99%以上，用人单位满意，毕业生对学校满意度高。</w:t>
      </w:r>
      <w:r>
        <w:rPr>
          <w:rFonts w:hint="eastAsia" w:ascii="仿宋" w:hAnsi="仿宋" w:eastAsia="仿宋" w:cs="仿宋"/>
          <w:sz w:val="28"/>
          <w:szCs w:val="28"/>
          <w:lang w:val="en-US" w:eastAsia="zh-CN"/>
        </w:rPr>
        <w:t xml:space="preserve"> </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校园开展体育节、艺术节等各类校园文化活动，同时开设舞蹈社、合唱社、滚灯协会、棋类协会、体育协会、舞蹈社、手工社团等各类社团，学生参与面广，满意度高。学校开展积极德育模式的探索与实践，提升学生积极心理，倡导学生积极行为，注重学生积极品质的形成。</w:t>
      </w:r>
    </w:p>
    <w:p>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2.3 资助情况</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有稳定的教育经费来源，学校基本建设、大型设备添置纳入举办者的预算。年生均公用经费高于当地普通高中生均公用经费的1.5倍以上，并做到逐步增加。学校已形成多渠道筹措经费的机制。对中央财政、省财政支持项目，举办者按规定足额落实配套经费。我校生均费用为3811元/人。</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学校根据上级下发关于中职国家助学金相关</w:t>
      </w:r>
      <w:bookmarkStart w:id="8" w:name="_GoBack"/>
      <w:bookmarkEnd w:id="8"/>
      <w:r>
        <w:rPr>
          <w:rFonts w:hint="eastAsia" w:ascii="仿宋" w:hAnsi="仿宋" w:eastAsia="仿宋" w:cs="仿宋"/>
          <w:sz w:val="28"/>
          <w:szCs w:val="28"/>
        </w:rPr>
        <w:t>文件及通知，制定《学生资助管理工作制度》。学校严格执行相关制度规定，严把审核关，对应享受资助的学生做到按时及时足额地发放相应助学金。做好每期学生资助的台账资料，包括申请资料，银行卡资料，发放账及明细资料，学生变动信息等。在2020年上，享受国家级中职助学金为88人，金额为81910 元；享受校内助学金为151 人，金额为129050 元；在2020年下，享受国家级中职助学金为73 人，金额为 76360 元；享受校内助学金为150 人，金额为135360 元。</w:t>
      </w:r>
    </w:p>
    <w:p>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2.4就业质量</w:t>
      </w:r>
    </w:p>
    <w:tbl>
      <w:tblPr>
        <w:tblStyle w:val="3"/>
        <w:tblW w:w="0" w:type="auto"/>
        <w:tblInd w:w="93" w:type="dxa"/>
        <w:tblLayout w:type="fixed"/>
        <w:tblCellMar>
          <w:top w:w="0" w:type="dxa"/>
          <w:left w:w="108" w:type="dxa"/>
          <w:bottom w:w="0" w:type="dxa"/>
          <w:right w:w="108" w:type="dxa"/>
        </w:tblCellMar>
      </w:tblPr>
      <w:tblGrid>
        <w:gridCol w:w="1095"/>
        <w:gridCol w:w="3419"/>
        <w:gridCol w:w="1780"/>
        <w:gridCol w:w="1913"/>
      </w:tblGrid>
      <w:tr>
        <w:tblPrEx>
          <w:tblCellMar>
            <w:top w:w="0" w:type="dxa"/>
            <w:left w:w="108" w:type="dxa"/>
            <w:bottom w:w="0" w:type="dxa"/>
            <w:right w:w="108" w:type="dxa"/>
          </w:tblCellMar>
        </w:tblPrEx>
        <w:trPr>
          <w:trHeight w:val="443" w:hRule="atLeast"/>
        </w:trPr>
        <w:tc>
          <w:tcPr>
            <w:tcW w:w="8207" w:type="dxa"/>
            <w:gridSpan w:val="4"/>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海盐县理工学校2019/2020年平均就业情况表</w:t>
            </w:r>
          </w:p>
        </w:tc>
      </w:tr>
      <w:tr>
        <w:tblPrEx>
          <w:tblCellMar>
            <w:top w:w="0" w:type="dxa"/>
            <w:left w:w="108" w:type="dxa"/>
            <w:bottom w:w="0" w:type="dxa"/>
            <w:right w:w="108" w:type="dxa"/>
          </w:tblCellMar>
        </w:tblPrEx>
        <w:trPr>
          <w:trHeight w:val="405" w:hRule="atLeast"/>
        </w:trPr>
        <w:tc>
          <w:tcPr>
            <w:tcW w:w="45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年份</w:t>
            </w:r>
          </w:p>
        </w:tc>
        <w:tc>
          <w:tcPr>
            <w:tcW w:w="178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2019年</w:t>
            </w:r>
          </w:p>
        </w:tc>
        <w:tc>
          <w:tcPr>
            <w:tcW w:w="191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2020年</w:t>
            </w:r>
          </w:p>
        </w:tc>
      </w:tr>
      <w:tr>
        <w:tblPrEx>
          <w:tblCellMar>
            <w:top w:w="0" w:type="dxa"/>
            <w:left w:w="108" w:type="dxa"/>
            <w:bottom w:w="0" w:type="dxa"/>
            <w:right w:w="108" w:type="dxa"/>
          </w:tblCellMar>
        </w:tblPrEx>
        <w:trPr>
          <w:trHeight w:val="405" w:hRule="atLeast"/>
        </w:trPr>
        <w:tc>
          <w:tcPr>
            <w:tcW w:w="4514"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总数</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836</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933</w:t>
            </w:r>
          </w:p>
        </w:tc>
      </w:tr>
      <w:tr>
        <w:tblPrEx>
          <w:tblCellMar>
            <w:top w:w="0" w:type="dxa"/>
            <w:left w:w="108" w:type="dxa"/>
            <w:bottom w:w="0" w:type="dxa"/>
            <w:right w:w="108" w:type="dxa"/>
          </w:tblCellMar>
        </w:tblPrEx>
        <w:trPr>
          <w:trHeight w:val="405" w:hRule="atLeast"/>
        </w:trPr>
        <w:tc>
          <w:tcPr>
            <w:tcW w:w="4514"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就业数</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821</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927</w:t>
            </w:r>
          </w:p>
        </w:tc>
      </w:tr>
      <w:tr>
        <w:tblPrEx>
          <w:tblCellMar>
            <w:top w:w="0" w:type="dxa"/>
            <w:left w:w="108" w:type="dxa"/>
            <w:bottom w:w="0" w:type="dxa"/>
            <w:right w:w="108" w:type="dxa"/>
          </w:tblCellMar>
        </w:tblPrEx>
        <w:trPr>
          <w:trHeight w:val="405" w:hRule="atLeast"/>
        </w:trPr>
        <w:tc>
          <w:tcPr>
            <w:tcW w:w="4514"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对口数</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786</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886</w:t>
            </w:r>
          </w:p>
        </w:tc>
      </w:tr>
      <w:tr>
        <w:tblPrEx>
          <w:tblCellMar>
            <w:top w:w="0" w:type="dxa"/>
            <w:left w:w="108" w:type="dxa"/>
            <w:bottom w:w="0" w:type="dxa"/>
            <w:right w:w="108" w:type="dxa"/>
          </w:tblCellMar>
        </w:tblPrEx>
        <w:trPr>
          <w:trHeight w:val="405" w:hRule="atLeast"/>
        </w:trPr>
        <w:tc>
          <w:tcPr>
            <w:tcW w:w="4514"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就业率</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98.21%</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99.40%</w:t>
            </w:r>
          </w:p>
        </w:tc>
      </w:tr>
      <w:tr>
        <w:tblPrEx>
          <w:tblCellMar>
            <w:top w:w="0" w:type="dxa"/>
            <w:left w:w="108" w:type="dxa"/>
            <w:bottom w:w="0" w:type="dxa"/>
            <w:right w:w="108" w:type="dxa"/>
          </w:tblCellMar>
        </w:tblPrEx>
        <w:trPr>
          <w:trHeight w:val="405" w:hRule="atLeast"/>
        </w:trPr>
        <w:tc>
          <w:tcPr>
            <w:tcW w:w="4514"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对口率</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94.02%</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95.00%</w:t>
            </w:r>
          </w:p>
        </w:tc>
      </w:tr>
      <w:tr>
        <w:tblPrEx>
          <w:tblCellMar>
            <w:top w:w="0" w:type="dxa"/>
            <w:left w:w="108" w:type="dxa"/>
            <w:bottom w:w="0" w:type="dxa"/>
            <w:right w:w="108" w:type="dxa"/>
          </w:tblCellMar>
        </w:tblPrEx>
        <w:trPr>
          <w:trHeight w:val="405" w:hRule="atLeast"/>
        </w:trPr>
        <w:tc>
          <w:tcPr>
            <w:tcW w:w="1095" w:type="dxa"/>
            <w:vMerge w:val="restart"/>
            <w:tcBorders>
              <w:top w:val="nil"/>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w:t>
            </w:r>
          </w:p>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w:t>
            </w:r>
          </w:p>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业</w:t>
            </w:r>
          </w:p>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就</w:t>
            </w:r>
          </w:p>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业</w:t>
            </w:r>
          </w:p>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率</w:t>
            </w: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数控技术应用</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99.24%</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机械加工技术</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85.24%</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电子技术应用</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98.61%</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楼宇智能化设备安装与运行</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电气技术应用</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汽车运用与维修</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97.73%</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98.50%</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汽车整车与配件营销</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无</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无</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旅游服务与管理</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98.35%</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98.6%</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高星级饭店运营与管理</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无</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无</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中餐烹饪与营养膳食</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98.50%</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工艺美术</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美术设计与制作</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96.67%</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r>
      <w:tr>
        <w:tblPrEx>
          <w:tblCellMar>
            <w:top w:w="0" w:type="dxa"/>
            <w:left w:w="108" w:type="dxa"/>
            <w:bottom w:w="0" w:type="dxa"/>
            <w:right w:w="108" w:type="dxa"/>
          </w:tblCellMar>
        </w:tblPrEx>
        <w:trPr>
          <w:trHeight w:val="458"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学前教育</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99.26%</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99.00%</w:t>
            </w:r>
          </w:p>
        </w:tc>
      </w:tr>
      <w:tr>
        <w:tblPrEx>
          <w:tblCellMar>
            <w:top w:w="0" w:type="dxa"/>
            <w:left w:w="108" w:type="dxa"/>
            <w:bottom w:w="0" w:type="dxa"/>
            <w:right w:w="108" w:type="dxa"/>
          </w:tblCellMar>
        </w:tblPrEx>
        <w:trPr>
          <w:trHeight w:val="26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single" w:color="auto" w:sz="4" w:space="0"/>
              <w:left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机电技术应用</w:t>
            </w:r>
          </w:p>
        </w:tc>
        <w:tc>
          <w:tcPr>
            <w:tcW w:w="1780" w:type="dxa"/>
            <w:tcBorders>
              <w:top w:val="single" w:color="auto" w:sz="4" w:space="0"/>
              <w:left w:val="nil"/>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c>
          <w:tcPr>
            <w:tcW w:w="1913" w:type="dxa"/>
            <w:tcBorders>
              <w:top w:val="single" w:color="auto" w:sz="4" w:space="0"/>
              <w:left w:val="nil"/>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r>
      <w:tr>
        <w:tblPrEx>
          <w:tblCellMar>
            <w:top w:w="0" w:type="dxa"/>
            <w:left w:w="108" w:type="dxa"/>
            <w:bottom w:w="0" w:type="dxa"/>
            <w:right w:w="108" w:type="dxa"/>
          </w:tblCellMar>
        </w:tblPrEx>
        <w:trPr>
          <w:trHeight w:val="111" w:hRule="atLeast"/>
        </w:trPr>
        <w:tc>
          <w:tcPr>
            <w:tcW w:w="1095"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1913" w:type="dxa"/>
            <w:tcBorders>
              <w:top w:val="nil"/>
              <w:left w:val="nil"/>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1095" w:type="dxa"/>
            <w:vMerge w:val="restart"/>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w:t>
            </w:r>
          </w:p>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w:t>
            </w:r>
          </w:p>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业</w:t>
            </w:r>
          </w:p>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w:t>
            </w:r>
          </w:p>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口</w:t>
            </w:r>
          </w:p>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率</w:t>
            </w: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数控技术应用</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99.03%</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99.24%</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机械加工技术</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90%</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86%</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电子技术应用</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97.18%</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95.00%</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楼宇智能化设备安装与运行</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88.24%</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电气技术应用</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98.51%</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95.00%</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汽车运用与维修</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97.67%</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90.00%</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汽车整车与配件营销</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无</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无</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旅游服务与管理</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93.59%</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90.00%</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高星级饭店运营与管理</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无</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无</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中餐烹饪与营养膳食</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88.41%</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95.00%</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widowControl/>
              <w:shd w:val="clear" w:color="auto" w:fill="FFC000"/>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工艺美术</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r>
      <w:tr>
        <w:tblPrEx>
          <w:tblCellMar>
            <w:top w:w="0" w:type="dxa"/>
            <w:left w:w="108" w:type="dxa"/>
            <w:bottom w:w="0" w:type="dxa"/>
            <w:right w:w="108" w:type="dxa"/>
          </w:tblCellMar>
        </w:tblPrEx>
        <w:trPr>
          <w:trHeight w:val="405" w:hRule="atLeast"/>
        </w:trPr>
        <w:tc>
          <w:tcPr>
            <w:tcW w:w="1095" w:type="dxa"/>
            <w:vMerge w:val="continue"/>
            <w:tcBorders>
              <w:left w:val="single" w:color="auto" w:sz="4" w:space="0"/>
              <w:right w:val="single" w:color="auto" w:sz="4" w:space="0"/>
            </w:tcBorders>
            <w:vAlign w:val="center"/>
          </w:tcPr>
          <w:p>
            <w:pPr>
              <w:widowControl/>
              <w:shd w:val="clear" w:color="auto" w:fill="FFC000"/>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美术设计与制作</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96.55%</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90.90%</w:t>
            </w:r>
          </w:p>
        </w:tc>
      </w:tr>
      <w:tr>
        <w:tblPrEx>
          <w:tblCellMar>
            <w:top w:w="0" w:type="dxa"/>
            <w:left w:w="108" w:type="dxa"/>
            <w:bottom w:w="0" w:type="dxa"/>
            <w:right w:w="108" w:type="dxa"/>
          </w:tblCellMar>
        </w:tblPrEx>
        <w:trPr>
          <w:trHeight w:val="70" w:hRule="atLeast"/>
        </w:trPr>
        <w:tc>
          <w:tcPr>
            <w:tcW w:w="1095" w:type="dxa"/>
            <w:vMerge w:val="continue"/>
            <w:tcBorders>
              <w:left w:val="single" w:color="auto" w:sz="4" w:space="0"/>
              <w:right w:val="single" w:color="auto" w:sz="4" w:space="0"/>
            </w:tcBorders>
            <w:vAlign w:val="center"/>
          </w:tcPr>
          <w:p>
            <w:pPr>
              <w:widowControl/>
              <w:shd w:val="clear" w:color="auto" w:fill="FFC000"/>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学前教育</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93.33%</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90.00%</w:t>
            </w:r>
          </w:p>
        </w:tc>
      </w:tr>
      <w:tr>
        <w:tblPrEx>
          <w:tblCellMar>
            <w:top w:w="0" w:type="dxa"/>
            <w:left w:w="108" w:type="dxa"/>
            <w:bottom w:w="0" w:type="dxa"/>
            <w:right w:w="108" w:type="dxa"/>
          </w:tblCellMar>
        </w:tblPrEx>
        <w:trPr>
          <w:trHeight w:val="360" w:hRule="atLeast"/>
        </w:trPr>
        <w:tc>
          <w:tcPr>
            <w:tcW w:w="1095" w:type="dxa"/>
            <w:vMerge w:val="continue"/>
            <w:tcBorders>
              <w:left w:val="single" w:color="auto" w:sz="4" w:space="0"/>
              <w:right w:val="single" w:color="auto" w:sz="4" w:space="0"/>
            </w:tcBorders>
            <w:vAlign w:val="center"/>
          </w:tcPr>
          <w:p>
            <w:pPr>
              <w:widowControl/>
              <w:shd w:val="clear" w:color="auto" w:fill="FFC000"/>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1780" w:type="dxa"/>
            <w:tcBorders>
              <w:top w:val="single" w:color="auto" w:sz="4" w:space="0"/>
              <w:left w:val="nil"/>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1913" w:type="dxa"/>
            <w:tcBorders>
              <w:top w:val="single" w:color="auto" w:sz="4" w:space="0"/>
              <w:left w:val="nil"/>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80" w:hRule="atLeast"/>
        </w:trPr>
        <w:tc>
          <w:tcPr>
            <w:tcW w:w="1095" w:type="dxa"/>
            <w:vMerge w:val="continue"/>
            <w:tcBorders>
              <w:left w:val="single" w:color="auto" w:sz="4" w:space="0"/>
              <w:bottom w:val="single" w:color="auto" w:sz="4" w:space="0"/>
              <w:right w:val="single" w:color="auto" w:sz="4" w:space="0"/>
            </w:tcBorders>
            <w:vAlign w:val="center"/>
          </w:tcPr>
          <w:p>
            <w:pPr>
              <w:widowControl/>
              <w:shd w:val="clear" w:color="auto" w:fill="FFC000"/>
              <w:jc w:val="center"/>
              <w:rPr>
                <w:rFonts w:ascii="仿宋" w:hAnsi="仿宋" w:eastAsia="仿宋" w:cs="仿宋"/>
                <w:color w:val="000000" w:themeColor="text1"/>
                <w:sz w:val="24"/>
                <w:szCs w:val="24"/>
                <w:highlight w:val="none"/>
                <w14:textFill>
                  <w14:solidFill>
                    <w14:schemeClr w14:val="tx1"/>
                  </w14:solidFill>
                </w14:textFill>
              </w:rPr>
            </w:pPr>
          </w:p>
        </w:tc>
        <w:tc>
          <w:tcPr>
            <w:tcW w:w="341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机电技术应用</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w:t>
            </w:r>
          </w:p>
        </w:tc>
      </w:tr>
      <w:tr>
        <w:tblPrEx>
          <w:tblCellMar>
            <w:top w:w="0" w:type="dxa"/>
            <w:left w:w="108" w:type="dxa"/>
            <w:bottom w:w="0" w:type="dxa"/>
            <w:right w:w="108" w:type="dxa"/>
          </w:tblCellMar>
        </w:tblPrEx>
        <w:trPr>
          <w:trHeight w:val="405" w:hRule="atLeast"/>
        </w:trPr>
        <w:tc>
          <w:tcPr>
            <w:tcW w:w="4514"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年收入（万元）</w:t>
            </w:r>
          </w:p>
        </w:tc>
        <w:tc>
          <w:tcPr>
            <w:tcW w:w="1780"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2.73</w:t>
            </w:r>
          </w:p>
        </w:tc>
        <w:tc>
          <w:tcPr>
            <w:tcW w:w="1913"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2.95</w:t>
            </w:r>
          </w:p>
        </w:tc>
      </w:tr>
      <w:tr>
        <w:tblPrEx>
          <w:tblCellMar>
            <w:top w:w="0" w:type="dxa"/>
            <w:left w:w="108" w:type="dxa"/>
            <w:bottom w:w="0" w:type="dxa"/>
            <w:right w:w="108" w:type="dxa"/>
          </w:tblCellMar>
        </w:tblPrEx>
        <w:trPr>
          <w:trHeight w:val="405" w:hRule="atLeast"/>
        </w:trPr>
        <w:tc>
          <w:tcPr>
            <w:tcW w:w="45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升入高校人数</w:t>
            </w:r>
          </w:p>
        </w:tc>
        <w:tc>
          <w:tcPr>
            <w:tcW w:w="178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363</w:t>
            </w:r>
          </w:p>
        </w:tc>
        <w:tc>
          <w:tcPr>
            <w:tcW w:w="191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391</w:t>
            </w:r>
          </w:p>
        </w:tc>
      </w:tr>
      <w:tr>
        <w:tblPrEx>
          <w:tblCellMar>
            <w:top w:w="0" w:type="dxa"/>
            <w:left w:w="108" w:type="dxa"/>
            <w:bottom w:w="0" w:type="dxa"/>
            <w:right w:w="108" w:type="dxa"/>
          </w:tblCellMar>
        </w:tblPrEx>
        <w:trPr>
          <w:trHeight w:val="405" w:hRule="atLeast"/>
        </w:trPr>
        <w:tc>
          <w:tcPr>
            <w:tcW w:w="45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升入高校率</w:t>
            </w:r>
          </w:p>
        </w:tc>
        <w:tc>
          <w:tcPr>
            <w:tcW w:w="178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43.42%</w:t>
            </w:r>
          </w:p>
        </w:tc>
        <w:tc>
          <w:tcPr>
            <w:tcW w:w="191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42.12%</w:t>
            </w:r>
          </w:p>
        </w:tc>
      </w:tr>
    </w:tbl>
    <w:p>
      <w:pPr>
        <w:adjustRightInd w:val="0"/>
        <w:snapToGrid w:val="0"/>
        <w:spacing w:line="500" w:lineRule="exact"/>
        <w:outlineLvl w:val="1"/>
        <w:rPr>
          <w:rFonts w:ascii="仿宋" w:hAnsi="仿宋" w:eastAsia="仿宋" w:cs="仿宋"/>
          <w:sz w:val="28"/>
          <w:szCs w:val="28"/>
        </w:rPr>
      </w:pPr>
      <w:r>
        <w:rPr>
          <w:rFonts w:hint="eastAsia" w:ascii="仿宋" w:hAnsi="仿宋" w:eastAsia="仿宋" w:cs="仿宋"/>
          <w:sz w:val="28"/>
          <w:szCs w:val="28"/>
        </w:rPr>
        <w:t>2.5职业发展</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(1)学习能力</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学校始终秉承“做中学，学中做”的教学理论，在理论课堂和技能操作课堂中注重培养学生自主探究、小组合作的学习能力，并取得了良好效果。</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2020年全校共有331名考生参加浙江省单招单考，上线率100%。其中本科上线58人，本科率17.52%；学前、机械、电子电工、旅游服务、工艺美术、汽车专业本科率均超全省平均水平，其中：汽车专业本科率37.50%，名列全省前5 位、工艺美术本科率37.50%，名列全省前8 位、旅游服务专业本科率19.23%，名列全省前10 位、电子电工专业本科率11.90%，名列全省前10 位、机械专业本科率</w:t>
      </w:r>
      <w:r>
        <w:rPr>
          <w:rFonts w:ascii="仿宋" w:hAnsi="仿宋" w:eastAsia="仿宋" w:cs="仿宋"/>
          <w:sz w:val="28"/>
          <w:szCs w:val="28"/>
        </w:rPr>
        <w:t>23.29%</w:t>
      </w:r>
      <w:r>
        <w:rPr>
          <w:rFonts w:hint="eastAsia" w:ascii="仿宋" w:hAnsi="仿宋" w:eastAsia="仿宋" w:cs="仿宋"/>
          <w:sz w:val="28"/>
          <w:szCs w:val="28"/>
        </w:rPr>
        <w:t>，名列全省前11 位，七个专业18名学生总分进入全省前50名，38名学生总分进入全省前100名。另有27名同学被高校提前录取。五年一贯制二个班共51位学生升入对口高校，升学率94.4%。</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2020年学生参加各类技能竞赛共获得56个奖项，其中国家级3项，省级1项,市级37项，县级15项。</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 创新创业能力</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学校以培养学生创新意识、创业精神，提升创业能力为目标，全面实施创新创业教育。高一年级全部开设《创新教程》（省编教材），高二年级开设《创业教程》（省编教材），并由培训处组织对高二学生进行《创业培训》。</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为了培养学生的创新意识，我校积极探索校企合作新模式，与海盐县联合电器有限公司联合成立金点工作室，由胡金星老师负责牵头；与海盐县施锐德自动化设备有限公司联合成立亮点工作室，由胡立标老师负责牵头；与法狮龙家居建材股份有限公司联合成立零点工作室，由陆青老师负责牵头。三个工作室组织专业骨干教师开展产品图纸设计与绘制、新产品研发、家装项目设计、参与企业技术改造等，既锻炼了老师，也训练了学生，开拓师生创新思维，培养学生创新意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创新工作室里，指导老师通过与企业联系，引进切切实实的项目供学生实践创新，使学生的创新设计与生活、工作设计理念接轨。学校开设公共必修《创新创业》课程，组建创新大赛兴趣小组等创新创业学生团队。</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嘉兴市第十届中等职业学校学生创新创业大赛中由肖伟峰、崔程平老师指导的作品智控游标卡尺获二等奖，张佳伟、肖伟峰老师指导的作品“防闯红灯”智能交通系统获三等奖，胡金星、马建华老师指导的作品任意停微推力手机支架获三等奖，王炜豪、顾斌超老师指导的作品多功能行李箱获三等奖，陆飞龙老师指导的作品发动机启动电源系统演示台架获三等奖；在第十二届嘉兴市中小学电脑制作活动中张海平老师指导的作品正弦波发生器（音箱频响“煲机”测试）获优秀奖；在第29届海盐县青少年科技创新大赛（创新成果小发明）中由卜民力、胡金星老师指导的作品双管（情侣水杯、水壶、调料盒）和无尘粉笔刷均获三等奖。</w:t>
      </w:r>
    </w:p>
    <w:p>
      <w:pPr>
        <w:adjustRightInd w:val="0"/>
        <w:snapToGrid w:val="0"/>
        <w:spacing w:line="50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3.质量保障措施</w:t>
      </w:r>
    </w:p>
    <w:p>
      <w:pPr>
        <w:pStyle w:val="2"/>
        <w:shd w:val="clear" w:color="auto" w:fill="FFFFFF"/>
        <w:spacing w:before="0" w:beforeAutospacing="0" w:after="0" w:afterAutospacing="0" w:line="500" w:lineRule="exact"/>
        <w:ind w:firstLine="482"/>
        <w:outlineLvl w:val="1"/>
        <w:rPr>
          <w:rFonts w:ascii="仿宋" w:hAnsi="仿宋" w:eastAsia="仿宋"/>
          <w:sz w:val="28"/>
          <w:szCs w:val="28"/>
        </w:rPr>
      </w:pPr>
      <w:r>
        <w:rPr>
          <w:rFonts w:hint="eastAsia" w:ascii="仿宋" w:hAnsi="仿宋" w:eastAsia="仿宋"/>
          <w:sz w:val="28"/>
          <w:szCs w:val="28"/>
        </w:rPr>
        <w:t>3.1专业动态调整</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学校的专业建设始终紧密结合当地经济发展和产业结构的调整，坚持“做优做特、适时动态调整”的专业发展思路。目前海盐产业结构调整和重点产业布局的形势是：海盐（德国）工业园区定位于先进装备制造业、智慧物流业；海盐（丹麦）工业园区定位于先进装备制造业、电子电器业、节能环保业；中法共建核能产业园，定位于核电装备制造业、核电生产性服务业、核电工业科技旅游业、核技术应用产业等四大产业；为了适应产业结构的调整和智能装备产业迅速发展的新形势，学校与产业园、经开区单位等合作，改造机电一体化传统专业，增设了工业机器人方向的专业，为智能装备产业的高技能人才需求提供保障；为提升物流业从业人员水平，智慧物流专业与浙江东方职业技术学院合作开展中高职一体化人才培养；为提升现代制造业从业人员水平，数控技术应用专业与嘉兴职业技术学院合作开展中高职一体化人才培养；与南北湖景区投资管理有限公司、绮园景区合作培养旅游服务类人才；将传统美术专业向美术设计方向转型，为海盐集成吊顶、室内装璜等家装行业培养技能型人才。</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通过市场调研和专家论证，科学制定本校专业发展规划，调整专业布局和专业设置，做到了主体专业与当地产业匹配度高，适应产业转型升级要求。 将原来的11个专业调整为数控技术、电子技术、机电一体化（工业机器人）、电气技术与自动化、汽车运用与维修、智慧物流、旅游服务管理、烹饪、学前教育、美术设计等10个主要专业。</w:t>
      </w:r>
    </w:p>
    <w:tbl>
      <w:tblPr>
        <w:tblStyle w:val="3"/>
        <w:tblW w:w="8755"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176"/>
        <w:gridCol w:w="1176"/>
        <w:gridCol w:w="936"/>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80" w:type="dxa"/>
            <w:noWrap w:val="0"/>
            <w:vAlign w:val="top"/>
          </w:tcPr>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w:t>
            </w:r>
          </w:p>
        </w:tc>
        <w:tc>
          <w:tcPr>
            <w:tcW w:w="1176" w:type="dxa"/>
            <w:noWrap w:val="0"/>
            <w:vAlign w:val="top"/>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2019年</w:t>
            </w:r>
          </w:p>
        </w:tc>
        <w:tc>
          <w:tcPr>
            <w:tcW w:w="1176" w:type="dxa"/>
            <w:noWrap w:val="0"/>
            <w:vAlign w:val="top"/>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2020年</w:t>
            </w:r>
          </w:p>
        </w:tc>
        <w:tc>
          <w:tcPr>
            <w:tcW w:w="936" w:type="dxa"/>
            <w:noWrap w:val="0"/>
            <w:vAlign w:val="top"/>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比对</w:t>
            </w:r>
          </w:p>
        </w:tc>
        <w:tc>
          <w:tcPr>
            <w:tcW w:w="2887" w:type="dxa"/>
            <w:noWrap w:val="0"/>
            <w:vAlign w:val="bottom"/>
          </w:tcPr>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80" w:type="dxa"/>
            <w:noWrap w:val="0"/>
            <w:vAlign w:val="top"/>
          </w:tcPr>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专业设置动态调整与结构优化(个)</w:t>
            </w:r>
          </w:p>
        </w:tc>
        <w:tc>
          <w:tcPr>
            <w:tcW w:w="1176" w:type="dxa"/>
            <w:noWrap w:val="0"/>
            <w:vAlign w:val="center"/>
          </w:tcPr>
          <w:p>
            <w:pPr>
              <w:adjustRightInd w:val="0"/>
              <w:snapToGrid w:val="0"/>
              <w:spacing w:line="500" w:lineRule="exact"/>
              <w:ind w:firstLine="280" w:firstLineChars="100"/>
              <w:jc w:val="center"/>
              <w:rPr>
                <w:rFonts w:ascii="仿宋" w:hAnsi="仿宋" w:eastAsia="仿宋" w:cs="仿宋"/>
                <w:sz w:val="28"/>
                <w:szCs w:val="28"/>
              </w:rPr>
            </w:pPr>
            <w:r>
              <w:rPr>
                <w:rFonts w:hint="eastAsia" w:ascii="仿宋" w:hAnsi="仿宋" w:eastAsia="仿宋" w:cs="仿宋"/>
                <w:sz w:val="28"/>
                <w:szCs w:val="28"/>
              </w:rPr>
              <w:t>11</w:t>
            </w:r>
          </w:p>
        </w:tc>
        <w:tc>
          <w:tcPr>
            <w:tcW w:w="1176" w:type="dxa"/>
            <w:noWrap w:val="0"/>
            <w:vAlign w:val="center"/>
          </w:tcPr>
          <w:p>
            <w:pPr>
              <w:adjustRightInd w:val="0"/>
              <w:snapToGrid w:val="0"/>
              <w:spacing w:line="500" w:lineRule="exact"/>
              <w:ind w:firstLine="280" w:firstLineChars="100"/>
              <w:jc w:val="center"/>
              <w:rPr>
                <w:rFonts w:ascii="仿宋" w:hAnsi="仿宋" w:eastAsia="仿宋" w:cs="仿宋"/>
                <w:sz w:val="28"/>
                <w:szCs w:val="28"/>
              </w:rPr>
            </w:pPr>
            <w:r>
              <w:rPr>
                <w:rFonts w:hint="eastAsia" w:ascii="仿宋" w:hAnsi="仿宋" w:eastAsia="仿宋" w:cs="仿宋"/>
                <w:sz w:val="28"/>
                <w:szCs w:val="28"/>
              </w:rPr>
              <w:t>10</w:t>
            </w:r>
          </w:p>
        </w:tc>
        <w:tc>
          <w:tcPr>
            <w:tcW w:w="936" w:type="dxa"/>
            <w:noWrap w:val="0"/>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-1</w:t>
            </w:r>
          </w:p>
        </w:tc>
        <w:tc>
          <w:tcPr>
            <w:tcW w:w="2887" w:type="dxa"/>
            <w:noWrap w:val="0"/>
            <w:vAlign w:val="bottom"/>
          </w:tcPr>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以2019、2020招生计划为准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80" w:type="dxa"/>
            <w:noWrap w:val="0"/>
            <w:vAlign w:val="top"/>
          </w:tcPr>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人才培养方案调整</w:t>
            </w:r>
          </w:p>
        </w:tc>
        <w:tc>
          <w:tcPr>
            <w:tcW w:w="6175" w:type="dxa"/>
            <w:gridSpan w:val="4"/>
            <w:noWrap w:val="0"/>
            <w:vAlign w:val="center"/>
          </w:tcPr>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修订完善了2020级学生选择性课程专业实施性教学计划</w:t>
            </w:r>
          </w:p>
        </w:tc>
      </w:tr>
    </w:tbl>
    <w:p>
      <w:pPr>
        <w:adjustRightInd w:val="0"/>
        <w:snapToGrid w:val="0"/>
        <w:spacing w:line="500" w:lineRule="exact"/>
        <w:outlineLvl w:val="1"/>
        <w:rPr>
          <w:rFonts w:hint="eastAsia" w:ascii="仿宋" w:hAnsi="仿宋" w:eastAsia="仿宋" w:cs="仿宋"/>
          <w:sz w:val="28"/>
          <w:szCs w:val="28"/>
        </w:rPr>
      </w:pPr>
      <w:r>
        <w:rPr>
          <w:rFonts w:hint="eastAsia" w:ascii="仿宋" w:hAnsi="仿宋" w:eastAsia="仿宋" w:cs="仿宋"/>
          <w:sz w:val="28"/>
          <w:szCs w:val="28"/>
        </w:rPr>
        <w:t>3.2教育教学改革</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（1）中职课改</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在省、市、县主管部门统一安排下，坚决贯彻落实浙江省课改精神和县（市）课改实施意见，在2018、2019、2020级学生中全面开展课改工作。</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海盐理工学校选择性课程改革试行方案》，学校提出了“尊重差异，发展特长，提供最适合的教育选择，为学生的终身发展奠基”的课改理念。近两年我校的课改工作的推进，经历从无到有、从少到多、逐步扩面的量变过程，也是从追求基础规范，到特色创建的螺旋上升，不断完善选择性教育实施方案，“2412选择性课改机制”日趋成熟，并在各个专业初步构建了“同一基础、差异发展”的课程体系，以及学生三年实施性教学计划，并在各专业得到了积极落实和优化调整。出台了“各课改专业教学指导方案、选修课程开发和实施意见、选修课程申报办法、选修课教学管理要求”等配套政策，以及 “校本课程及教学资源建设、师生选修课教学”等各种实施细则，并指导2019级、2020级学生进行课程选择，开展选择性学习。先后组织了2018级学生专业发展方向选择、2019级学生专业工种方向选择、2020级学生专业选择和发展方向选择。同时面向高一、高二近1870多名学生，开设了120门选修课，近百名教师参与选修课教学，得到了全校师生欢迎，取得了良好效果。</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（2）学校公共基础课</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贯彻省课改精神，由公共必修课程和专业必修课程组成“核心课程模块”，教学时数原则上不超过总时数的50%，并按1:1比例分年段设置，主要安排在第一学年。实际开设了职业道德与法律、经济政治与社会、哲学与人生等德育课程，语文、数学、英语等文化课程，及体育与健康、计算机应用基础等公共课程，促进了学生综合文化素养的提升。</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（3）专业设置</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开设数控技术、机械加工技术、机电技术、电子技术、汽车检测与维修、旅游服务管理、学前教育、烹饪、美术设计等专业。其中机械加工技术专业是浙江省示范专业和浙江省骨干专业，数控技术专业和电子技术专业是嘉兴市示范专业。机械加工技术专业和学前教育专业是嘉兴市专业创新基地。各专业培养了大量的毕业生，为地方经济建设培养了大批技术技能型应用人才。</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（4）师资队伍</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高度重视教师队伍建设，出台实施了“教师梯队建设方案及过程管理考核办法”、“教师队伍建设五年规划”、三年内新教师“青蓝工程”等；组织开展了“教师五年360学时专业发展培训”、“非师范类专业新教师入职培训”、“名师学科带头人年度考核”、教学常规“四优”教师评比、教师线上学习培训。认真实施教师梯队建设方案，建立学校干部听课制度、干部联系专业部、教研组和竞赛项目制度。通过建设大师工作室和省技能大师校园工作站、师徒结对、以老带新、校本培训、校本研修、技能竞赛、进高校、下企业实践等形式为青年教师的成长搭建平台，成效明显，已逐步形成校、县、市级名师梯队。</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2020年有1位老师获得嘉兴市职业技能带头人，1位老师被评为第十三批嘉兴市学科教学带头人，1位老师获得县十佳优秀高技能人才称号，3位教师获得县中小学名教师称号，4位教师被评为县第十一批学科教学带头人。</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目前，学校有县级及以上名师、学科带头人、技术操作能手和技能大师等荣誉37名。其中省浙派名师培养人选3名、省教坛新秀1名、省级技术能手1名、市级学科带头人2名、市级技术操作能手2名、市职业技能带头人2名、市技能大师工作室1个、县职业技能带头人1名、县名师6名、县学科带头人11名、县学科教学能手3名、县德育名师4名。</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（5）课程建设</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进一步明确办学定位、优化专业设置、细分培养目标，积极构建多样化的选择性课程体系，探索建设“模块化课程”的选择机制，为师生实践“工学交替”的教学机制和“做中学”的学习机制，打下了坚实基础。学校立足学生实际和专业实际，打造了切实可行的包含“核心课程模块”和“自选课程模块”在内的选择性课程体系，并在实施中逐步做到“核心课程模块” 教学时数原则上不超过总时数的50%，公共必修课程和专业必修课程，按1:1比例分年段设置。公共必修课程主要包括职业道德与法律、经济政治与社会、哲学与人生等德育课程，语文、数学、英语等文化课程，及体育与健康、计算机应用基础等公共课程。专业必修课程主要是学生初次所选的专业大类的基础知识和技能课程。同时，“自选课程模块”教学时数原则上不能低于总时数的50%，分“限定选修”和“自由选修”两种，按二选一比例向学生提供选修课程科目。另外，学校还将职业生涯规划、创新创业教育、质量素质教育、心理健康教育等课程纳入限定选修课程体系中。设计实施了“健康生活、人格素养、专业拓展以及创新创业”四大自由选修课程，供学生自主选择学习。学校老师自主开发18门校本资源。</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（6）人才培养模式改革</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被确定为浙江省第二批现代学徒制试点单位，四家合作企业被省人社厅确定为企业新型学徒制试点单位。学校汽修专业与海盐恒通汽车服务有限公司，积极开展“工学”交替“现代学徒制”试点改革。与海联锯业科技有限公司、浙江法狮龙建材科技有限公司、中国核工业二三建设有限公司秦山分公司、南北湖景区投资管理有限公司等企业开展工学交替和学徒制试点工作。</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每年安排汽修专业一个试点班学生进入企业进行工深交替和现代学徒培养，由企业和学校共派老师和师傅对学生进行理论和实践教学，制订完整的工作制度，建立了学生下企业学习实施方案、工学交替每日情况汇总表、工学交替考核表（教师评、企业评）、教师下企业实践工作情况登记表、学生企业学习成长档案、安全措施与违纪处理办法、学徒实习管理制度等一系列管理措施。从最后的顶岗实习和就业情况统计，参与的学生无论是职业素养、职业技术能力、岗位的适应能力均大大超出非试点班级学生。</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（7）信息化教学</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在前期省示范校“数字化校园”项目建设的基础上，继续投入资金提升校园网络硬件，不断完善“学校数字校园平台”等在内的多个建设项目，集成了学校行政管理信息化、教学管理信息化、网络教学管理等多个管理平台。目前，学校校办、教务、学生、总务等科室，专业部、教研组，班主任、任课教师等多个层面环节，在工作中都能充分应用信息化技术，进行日常教学和管理。智慧教室建设已完成建设并投入使用，进一步促进了信息化技术在教学中的运用，不断提升学校教学育人水平、效率和质量。</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（8）实训基地</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实训基地已具备一定规模，实训基地现有建筑面积11327.6平方米，教学设备3350台套，总价值2872余万元。建设有机械（数控）加工、电子电工、汽修、烹饪、旅游服务、美术设计、学前教育等实训基地，共有实训室82个，工位数2856余个，基本满足本校各专业实训教学和社会培训的需要。今年又投入资金，不断改善实训条件，调整完善实训室布局，改建了智慧教室、工业机器人实训室、仪表及照明电路实训室建设，为教学实训提供良好环境。</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实训基地建设除硬件设施的逐步完善外，还重视软件建设，加强师生职业规范的培养，加强企业文化进车间建设，与企业岗位教学、职业意识培养相结合，逐步尝试从单一的粗放型管理向精细化管理、现代7S体系管理、企业岗位式管理转型,参照企业做法在实训室设置可视化看板，以使实训过程、师生职责更加明了，减少实训教学过程中的随意性，从而提高实训课教学效果和质量。</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（9）教学资源建设</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不断建设并完善专业教学资源，以校本课程建设为抓手，聚焦教育教学困惑点，突破教育教学疑难点，以校本课程开发突破教学资源缺失的局限，海盐县理工学校努力构建理工特色校本课程。2020年度学校完成了第三批校本课程开发，共完成校本课程开发项目15项。</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孙芳老师《巧用数学看专业——电子电工中的数学问题》、吕华老师的《学好电工基础——疑难突破》被评为优秀校本课程，另外《西餐制作》等10项被评为合格。至今理工学校已经完成三批特色校本课程开发项目共36项，其中优秀校本课程项目共11项，形成了《说文解字——现代汉语语法》《中职语文群诗阅读》等体现传统文化特色的校本课程资源，形成了《PETS1高频词族突破》《学好电工基础——疑难突破》等学科、专业重难点突破课程资源，形成了《餐饮升级，妙手生花——口布花艺术》《巧用数学看专业——电子电工中的数学问题》等学科教学与专业教学融合的课程资源，第一、二批校本课程中已有20项校本课程分别在市、县精品课程评比中获奖。理工学校课程开发团队正努力提升自身的研究水平与课程开发力，建设理工学校特色校本课程群，助力教育教学，助力学生成长。</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另外还继续购置超星近百万册电子图书和6500余册电子期刊的阅读、下载版权，依托学校专业教学资源的网络平台，实现教学资源共享。</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（10）教材选用</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按照省市有关精神，结合学校两套课程体系实际，按规定征订学期学生教师教材、教辅、音像等教学资源。包括“公共必修课程、专业必修课程及选修课程”三个模块，都能合理选用“国家规划教材、省课改实验教材、省市地方教材、行业教材以及校本开发教材”等，尤其是课改专业按规定全面充分征订各专业课改教材教辅资源。部分合作办学班级，则按规定建立与对口高校相衔接的课程体系，并征订高校规定教材教辅等。另外，结合省全面深化高校考试招生制度改革试点实际，结合我校高等职业教育提前招生、单考单招等考试需要，精心选择征订与单考单招密切相关的地方性教材教辅资源。</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（11）国际合作</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自2014年我校与丹麦南方职业技术学院签订合作办学协议以来，每年两校都有互派师生交流学习的计划。目前我校与丹方通过线上渠道协商相关合作事宜，待条件允许后着手开展相关工作。国际交流活动的开展，不仅加强了中丹两校之间的友谊，更拓宽了师生的国际视野，借助国际化交流必将进一步推进我校职业教育的发展。</w:t>
      </w:r>
    </w:p>
    <w:p>
      <w:pPr>
        <w:pStyle w:val="2"/>
        <w:shd w:val="clear" w:color="auto" w:fill="FFFFFF"/>
        <w:spacing w:before="0" w:beforeAutospacing="0" w:after="0" w:afterAutospacing="0" w:line="500" w:lineRule="exact"/>
        <w:rPr>
          <w:rFonts w:ascii="仿宋_GB2312" w:hAnsi="Calibri" w:eastAsia="仿宋_GB2312"/>
          <w:color w:val="000000"/>
          <w:sz w:val="28"/>
          <w:szCs w:val="28"/>
        </w:rPr>
      </w:pPr>
      <w:r>
        <w:rPr>
          <w:rFonts w:hint="eastAsia" w:ascii="仿宋_GB2312" w:hAnsi="Calibri" w:eastAsia="仿宋_GB2312"/>
          <w:color w:val="000000"/>
          <w:sz w:val="28"/>
          <w:szCs w:val="28"/>
        </w:rPr>
        <w:t>3.3 教师培养培训</w:t>
      </w:r>
    </w:p>
    <w:p>
      <w:pPr>
        <w:adjustRightInd w:val="0"/>
        <w:spacing w:before="156" w:beforeLines="50" w:after="156" w:afterLines="50" w:line="440" w:lineRule="exact"/>
        <w:ind w:firstLine="548" w:firstLineChars="196"/>
        <w:jc w:val="left"/>
        <w:rPr>
          <w:rFonts w:ascii="仿宋" w:hAnsi="仿宋" w:eastAsia="仿宋" w:cs="仿宋"/>
          <w:sz w:val="28"/>
          <w:szCs w:val="28"/>
        </w:rPr>
      </w:pPr>
      <w:r>
        <w:rPr>
          <w:rFonts w:hint="eastAsia" w:ascii="仿宋" w:hAnsi="仿宋" w:eastAsia="仿宋" w:cs="仿宋"/>
          <w:sz w:val="28"/>
          <w:szCs w:val="28"/>
        </w:rPr>
        <w:t>1．完成省教师培训平台报名工作，组织教师参加省、市、县培训学习,2019年，全校205位进入教师省培训平台教师，一年来，共完成省市级培训项目人次达805人，各项培训工作顺利完成。科研处负责对教师信息进行平台更新；根据省、市、县文件，科学引导，分层分类，集中完成省、市、县三级培训项目的梳理；组织教师进行了集中的平台报名和完成两轮报名审核工作。报名审核工作时间节点强，采用提前介入的方法，准确无误完成。一年来，通过各科室、全体教研组长的通力协作，培训通知传达准确、及时，教师培训过程扎实，县通识培训学校实践展示课阶段，按照县里教研室要求做好相关培训签到、听课和评课等过程管理工作。确保了上级部门组织的各项教师培训参加准时、认真，有效完成培训提升工作。</w:t>
      </w:r>
      <w:r>
        <w:rPr>
          <w:rFonts w:hint="eastAsia" w:ascii="仿宋" w:hAnsi="仿宋" w:eastAsia="仿宋" w:cs="仿宋"/>
          <w:sz w:val="28"/>
          <w:szCs w:val="28"/>
        </w:rPr>
        <w:br w:type="textWrapping"/>
      </w:r>
      <w:r>
        <w:rPr>
          <w:rFonts w:hint="eastAsia" w:ascii="仿宋" w:hAnsi="仿宋" w:eastAsia="仿宋" w:cs="仿宋"/>
          <w:sz w:val="28"/>
          <w:szCs w:val="28"/>
        </w:rPr>
        <w:t xml:space="preserve">    2．扎实组织和推进学校师德培训和信息化团队建设等专题培训</w:t>
      </w:r>
      <w:r>
        <w:rPr>
          <w:rFonts w:hint="eastAsia" w:ascii="仿宋" w:hAnsi="仿宋" w:eastAsia="仿宋" w:cs="仿宋"/>
          <w:sz w:val="28"/>
          <w:szCs w:val="28"/>
        </w:rPr>
        <w:br w:type="textWrapping"/>
      </w:r>
      <w:r>
        <w:rPr>
          <w:rFonts w:hint="eastAsia" w:ascii="仿宋" w:hAnsi="仿宋" w:eastAsia="仿宋" w:cs="仿宋"/>
          <w:sz w:val="28"/>
          <w:szCs w:val="28"/>
        </w:rPr>
        <w:t xml:space="preserve">    学校教务处、学生处、科研处三个处室联动，聚焦信息化等专题性校本培训，制定了2020年海盐县理工学校校本研训计划，完成项目平台报申报工作，并依据计划有序推进校本研训工作。以“服务引领”为理念、以“指令校本”并行为实践宗旨，“线上线下”融合研训，扎实有序的系列化培训，助推教师教育教学综合能力提升，认真履职、精益求精。学校各项专题校本研训扎实稳步推进，完成全校钉钉直播、四川屏山联播等全校研训5次。教务处聚焦教师信息化能力，助推教师信息应用能力提升，开展信息化设计、比赛等4次；学生处聚焦积极德育育人能力，构建学校积极德育的德育育人品牌，开展专题培训4次； 科研处聚焦研究力，开展疫情下教师课题、课程研究能力研训关培训、全校性展示周活动等8次。同时积极撰写研训相关报道，10多篇在校园网和县教育网发表。校本专题性研训活动，多角度服务和引领教师成为研究型教师。完成2020年度县校本研训项目材料整理，并报送县参加2020年度校本研训总结考核工作。</w:t>
      </w:r>
    </w:p>
    <w:p>
      <w:pPr>
        <w:pStyle w:val="2"/>
        <w:shd w:val="clear" w:color="auto" w:fill="FFFFFF"/>
        <w:spacing w:before="0" w:beforeAutospacing="0" w:after="0" w:afterAutospacing="0" w:line="500" w:lineRule="exact"/>
        <w:ind w:firstLine="480"/>
        <w:rPr>
          <w:rFonts w:ascii="仿宋" w:hAnsi="仿宋" w:eastAsia="仿宋" w:cs="仿宋"/>
          <w:sz w:val="28"/>
          <w:szCs w:val="28"/>
        </w:rPr>
      </w:pPr>
      <w:r>
        <w:rPr>
          <w:rFonts w:hint="eastAsia" w:ascii="仿宋" w:hAnsi="仿宋" w:eastAsia="仿宋" w:cs="仿宋"/>
          <w:sz w:val="28"/>
          <w:szCs w:val="28"/>
        </w:rPr>
        <w:t>3.  360学时培训情况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1260"/>
        <w:gridCol w:w="1260"/>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26" w:type="dxa"/>
            <w:shd w:val="clear" w:color="auto" w:fill="auto"/>
          </w:tcPr>
          <w:p>
            <w:pPr>
              <w:spacing w:line="500" w:lineRule="exact"/>
              <w:jc w:val="center"/>
              <w:rPr>
                <w:rFonts w:ascii="仿宋" w:hAnsi="仿宋" w:eastAsia="仿宋" w:cs="仿宋"/>
                <w:sz w:val="24"/>
                <w:szCs w:val="24"/>
              </w:rPr>
            </w:pPr>
          </w:p>
        </w:tc>
        <w:tc>
          <w:tcPr>
            <w:tcW w:w="1260" w:type="dxa"/>
          </w:tcPr>
          <w:p>
            <w:pPr>
              <w:widowControl/>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2019</w:t>
            </w:r>
          </w:p>
        </w:tc>
        <w:tc>
          <w:tcPr>
            <w:tcW w:w="1260" w:type="dxa"/>
            <w:shd w:val="clear" w:color="auto" w:fill="auto"/>
          </w:tcPr>
          <w:p>
            <w:pPr>
              <w:widowControl/>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2020</w:t>
            </w:r>
          </w:p>
        </w:tc>
        <w:tc>
          <w:tcPr>
            <w:tcW w:w="3284" w:type="dxa"/>
            <w:shd w:val="clear" w:color="auto" w:fill="auto"/>
          </w:tcPr>
          <w:p>
            <w:pPr>
              <w:widowControl/>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26" w:type="dxa"/>
            <w:shd w:val="clear" w:color="auto" w:fill="auto"/>
          </w:tcPr>
          <w:p>
            <w:pPr>
              <w:spacing w:line="500" w:lineRule="exact"/>
              <w:rPr>
                <w:rFonts w:ascii="仿宋" w:hAnsi="仿宋" w:eastAsia="仿宋" w:cs="仿宋"/>
                <w:sz w:val="24"/>
                <w:szCs w:val="24"/>
              </w:rPr>
            </w:pPr>
            <w:r>
              <w:rPr>
                <w:rFonts w:hint="eastAsia" w:ascii="仿宋" w:hAnsi="仿宋" w:eastAsia="仿宋" w:cs="仿宋"/>
                <w:sz w:val="24"/>
                <w:szCs w:val="24"/>
              </w:rPr>
              <w:t>参训教师人数</w:t>
            </w:r>
          </w:p>
        </w:tc>
        <w:tc>
          <w:tcPr>
            <w:tcW w:w="1260" w:type="dxa"/>
          </w:tcPr>
          <w:p>
            <w:pPr>
              <w:widowControl/>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203</w:t>
            </w:r>
          </w:p>
        </w:tc>
        <w:tc>
          <w:tcPr>
            <w:tcW w:w="1260" w:type="dxa"/>
            <w:shd w:val="clear" w:color="auto" w:fill="auto"/>
          </w:tcPr>
          <w:p>
            <w:pPr>
              <w:widowControl/>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205</w:t>
            </w:r>
          </w:p>
        </w:tc>
        <w:tc>
          <w:tcPr>
            <w:tcW w:w="3284" w:type="dxa"/>
            <w:shd w:val="clear" w:color="auto" w:fill="auto"/>
          </w:tcPr>
          <w:p>
            <w:pPr>
              <w:spacing w:line="500" w:lineRule="exact"/>
              <w:jc w:val="center"/>
              <w:rPr>
                <w:rFonts w:ascii="仿宋" w:hAnsi="仿宋" w:eastAsia="仿宋" w:cs="仿宋"/>
                <w:sz w:val="24"/>
                <w:szCs w:val="24"/>
              </w:rPr>
            </w:pPr>
            <w:r>
              <w:rPr>
                <w:rFonts w:hint="eastAsia" w:ascii="仿宋" w:hAnsi="仿宋" w:eastAsia="仿宋" w:cs="仿宋"/>
                <w:sz w:val="24"/>
                <w:szCs w:val="24"/>
              </w:rPr>
              <w:t>以平台数据为准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26" w:type="dxa"/>
            <w:shd w:val="clear" w:color="auto" w:fill="auto"/>
          </w:tcPr>
          <w:p>
            <w:pPr>
              <w:spacing w:line="500" w:lineRule="exact"/>
              <w:rPr>
                <w:rFonts w:ascii="仿宋" w:hAnsi="仿宋" w:eastAsia="仿宋" w:cs="仿宋"/>
                <w:sz w:val="24"/>
                <w:szCs w:val="24"/>
              </w:rPr>
            </w:pPr>
            <w:r>
              <w:rPr>
                <w:rFonts w:hint="eastAsia" w:ascii="仿宋" w:hAnsi="仿宋" w:eastAsia="仿宋" w:cs="仿宋"/>
                <w:sz w:val="24"/>
                <w:szCs w:val="24"/>
              </w:rPr>
              <w:t>国培（人次）</w:t>
            </w:r>
          </w:p>
        </w:tc>
        <w:tc>
          <w:tcPr>
            <w:tcW w:w="1260" w:type="dxa"/>
          </w:tcPr>
          <w:p>
            <w:pPr>
              <w:spacing w:line="500" w:lineRule="exact"/>
              <w:jc w:val="center"/>
              <w:rPr>
                <w:rFonts w:ascii="仿宋" w:hAnsi="仿宋" w:eastAsia="仿宋" w:cs="仿宋"/>
                <w:sz w:val="24"/>
                <w:szCs w:val="24"/>
              </w:rPr>
            </w:pPr>
            <w:r>
              <w:rPr>
                <w:rFonts w:hint="eastAsia" w:ascii="仿宋" w:hAnsi="仿宋" w:eastAsia="仿宋" w:cs="仿宋"/>
                <w:sz w:val="24"/>
                <w:szCs w:val="24"/>
              </w:rPr>
              <w:t>0</w:t>
            </w:r>
          </w:p>
        </w:tc>
        <w:tc>
          <w:tcPr>
            <w:tcW w:w="1260" w:type="dxa"/>
            <w:shd w:val="clear" w:color="auto" w:fill="auto"/>
          </w:tcPr>
          <w:p>
            <w:pPr>
              <w:spacing w:line="500" w:lineRule="exact"/>
              <w:jc w:val="center"/>
              <w:rPr>
                <w:rFonts w:ascii="仿宋" w:hAnsi="仿宋" w:eastAsia="仿宋" w:cs="仿宋"/>
                <w:sz w:val="24"/>
                <w:szCs w:val="24"/>
              </w:rPr>
            </w:pPr>
            <w:r>
              <w:rPr>
                <w:rFonts w:hint="eastAsia" w:ascii="仿宋" w:hAnsi="仿宋" w:eastAsia="仿宋" w:cs="仿宋"/>
                <w:sz w:val="24"/>
                <w:szCs w:val="24"/>
              </w:rPr>
              <w:t>0</w:t>
            </w:r>
          </w:p>
        </w:tc>
        <w:tc>
          <w:tcPr>
            <w:tcW w:w="3284" w:type="dxa"/>
            <w:shd w:val="clear" w:color="auto" w:fill="auto"/>
          </w:tcPr>
          <w:p>
            <w:pPr>
              <w:spacing w:line="500" w:lineRule="exact"/>
              <w:jc w:val="center"/>
              <w:rPr>
                <w:rFonts w:ascii="仿宋" w:hAnsi="仿宋" w:eastAsia="仿宋" w:cs="仿宋"/>
                <w:sz w:val="24"/>
                <w:szCs w:val="24"/>
              </w:rPr>
            </w:pPr>
            <w:r>
              <w:rPr>
                <w:rFonts w:hint="eastAsia" w:ascii="仿宋" w:hAnsi="仿宋" w:eastAsia="仿宋" w:cs="仿宋"/>
                <w:sz w:val="24"/>
                <w:szCs w:val="24"/>
              </w:rPr>
              <w:t>以平台数据为准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26" w:type="dxa"/>
            <w:shd w:val="clear" w:color="auto" w:fill="auto"/>
          </w:tcPr>
          <w:p>
            <w:pPr>
              <w:spacing w:line="500" w:lineRule="exact"/>
              <w:rPr>
                <w:rFonts w:ascii="仿宋" w:hAnsi="仿宋" w:eastAsia="仿宋" w:cs="仿宋"/>
                <w:sz w:val="24"/>
                <w:szCs w:val="24"/>
              </w:rPr>
            </w:pPr>
            <w:r>
              <w:rPr>
                <w:rFonts w:hint="eastAsia" w:ascii="仿宋" w:hAnsi="仿宋" w:eastAsia="仿宋" w:cs="仿宋"/>
                <w:sz w:val="24"/>
                <w:szCs w:val="24"/>
              </w:rPr>
              <w:t>省培（人次）</w:t>
            </w:r>
          </w:p>
        </w:tc>
        <w:tc>
          <w:tcPr>
            <w:tcW w:w="1260" w:type="dxa"/>
          </w:tcPr>
          <w:p>
            <w:pPr>
              <w:spacing w:line="500" w:lineRule="exact"/>
              <w:jc w:val="center"/>
              <w:rPr>
                <w:rFonts w:ascii="仿宋" w:hAnsi="仿宋" w:eastAsia="仿宋" w:cs="仿宋"/>
                <w:sz w:val="24"/>
                <w:szCs w:val="24"/>
              </w:rPr>
            </w:pPr>
            <w:r>
              <w:rPr>
                <w:rFonts w:hint="eastAsia" w:ascii="仿宋" w:hAnsi="仿宋" w:eastAsia="仿宋" w:cs="仿宋"/>
                <w:sz w:val="24"/>
                <w:szCs w:val="24"/>
              </w:rPr>
              <w:t>69</w:t>
            </w:r>
          </w:p>
        </w:tc>
        <w:tc>
          <w:tcPr>
            <w:tcW w:w="1260" w:type="dxa"/>
            <w:shd w:val="clear" w:color="auto" w:fill="auto"/>
          </w:tcPr>
          <w:p>
            <w:pPr>
              <w:spacing w:line="500" w:lineRule="exact"/>
              <w:jc w:val="center"/>
              <w:rPr>
                <w:rFonts w:ascii="仿宋" w:hAnsi="仿宋" w:eastAsia="仿宋" w:cs="仿宋"/>
                <w:sz w:val="24"/>
                <w:szCs w:val="24"/>
              </w:rPr>
            </w:pPr>
            <w:r>
              <w:rPr>
                <w:rFonts w:hint="eastAsia" w:ascii="仿宋" w:hAnsi="仿宋" w:eastAsia="仿宋" w:cs="仿宋"/>
                <w:sz w:val="24"/>
                <w:szCs w:val="24"/>
              </w:rPr>
              <w:t>32</w:t>
            </w:r>
          </w:p>
        </w:tc>
        <w:tc>
          <w:tcPr>
            <w:tcW w:w="3284" w:type="dxa"/>
            <w:shd w:val="clear" w:color="auto" w:fill="auto"/>
          </w:tcPr>
          <w:p>
            <w:pPr>
              <w:spacing w:line="500" w:lineRule="exact"/>
              <w:jc w:val="center"/>
              <w:rPr>
                <w:rFonts w:ascii="仿宋" w:hAnsi="仿宋" w:eastAsia="仿宋" w:cs="仿宋"/>
                <w:sz w:val="24"/>
                <w:szCs w:val="24"/>
              </w:rPr>
            </w:pPr>
            <w:r>
              <w:rPr>
                <w:rFonts w:hint="eastAsia" w:ascii="仿宋" w:hAnsi="仿宋" w:eastAsia="仿宋" w:cs="仿宋"/>
                <w:sz w:val="24"/>
                <w:szCs w:val="24"/>
              </w:rPr>
              <w:t>以平台数据为准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26" w:type="dxa"/>
            <w:shd w:val="clear" w:color="auto" w:fill="auto"/>
          </w:tcPr>
          <w:p>
            <w:pPr>
              <w:spacing w:line="500" w:lineRule="exact"/>
              <w:rPr>
                <w:rFonts w:ascii="仿宋" w:hAnsi="仿宋" w:eastAsia="仿宋" w:cs="仿宋"/>
                <w:sz w:val="24"/>
                <w:szCs w:val="24"/>
              </w:rPr>
            </w:pPr>
            <w:r>
              <w:rPr>
                <w:rFonts w:hint="eastAsia" w:ascii="仿宋" w:hAnsi="仿宋" w:eastAsia="仿宋" w:cs="仿宋"/>
                <w:sz w:val="24"/>
                <w:szCs w:val="24"/>
              </w:rPr>
              <w:t>县市级（人次）</w:t>
            </w:r>
          </w:p>
        </w:tc>
        <w:tc>
          <w:tcPr>
            <w:tcW w:w="1260" w:type="dxa"/>
          </w:tcPr>
          <w:p>
            <w:pPr>
              <w:spacing w:line="500" w:lineRule="exact"/>
              <w:jc w:val="center"/>
              <w:rPr>
                <w:rFonts w:ascii="仿宋" w:hAnsi="仿宋" w:eastAsia="仿宋" w:cs="仿宋"/>
                <w:sz w:val="24"/>
                <w:szCs w:val="24"/>
              </w:rPr>
            </w:pPr>
            <w:r>
              <w:rPr>
                <w:rFonts w:hint="eastAsia" w:ascii="仿宋" w:hAnsi="仿宋" w:eastAsia="仿宋" w:cs="仿宋"/>
                <w:sz w:val="24"/>
                <w:szCs w:val="24"/>
              </w:rPr>
              <w:t>1190</w:t>
            </w:r>
          </w:p>
        </w:tc>
        <w:tc>
          <w:tcPr>
            <w:tcW w:w="1260" w:type="dxa"/>
            <w:shd w:val="clear" w:color="auto" w:fill="auto"/>
          </w:tcPr>
          <w:p>
            <w:pPr>
              <w:spacing w:line="500" w:lineRule="exact"/>
              <w:jc w:val="center"/>
              <w:rPr>
                <w:rFonts w:ascii="仿宋" w:hAnsi="仿宋" w:eastAsia="仿宋" w:cs="仿宋"/>
                <w:sz w:val="24"/>
                <w:szCs w:val="24"/>
              </w:rPr>
            </w:pPr>
            <w:r>
              <w:rPr>
                <w:rFonts w:hint="eastAsia" w:ascii="仿宋" w:hAnsi="仿宋" w:eastAsia="仿宋" w:cs="仿宋"/>
                <w:sz w:val="24"/>
                <w:szCs w:val="24"/>
              </w:rPr>
              <w:t>773</w:t>
            </w:r>
          </w:p>
        </w:tc>
        <w:tc>
          <w:tcPr>
            <w:tcW w:w="3284" w:type="dxa"/>
            <w:shd w:val="clear" w:color="auto" w:fill="auto"/>
          </w:tcPr>
          <w:p>
            <w:pPr>
              <w:spacing w:line="500" w:lineRule="exact"/>
              <w:jc w:val="center"/>
              <w:rPr>
                <w:rFonts w:ascii="仿宋" w:hAnsi="仿宋" w:eastAsia="仿宋" w:cs="仿宋"/>
                <w:sz w:val="24"/>
                <w:szCs w:val="24"/>
              </w:rPr>
            </w:pPr>
            <w:r>
              <w:rPr>
                <w:rFonts w:hint="eastAsia" w:ascii="仿宋" w:hAnsi="仿宋" w:eastAsia="仿宋" w:cs="仿宋"/>
                <w:sz w:val="24"/>
                <w:szCs w:val="24"/>
              </w:rPr>
              <w:t>以平台数据为准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226" w:type="dxa"/>
            <w:shd w:val="clear" w:color="auto" w:fill="auto"/>
          </w:tcPr>
          <w:p>
            <w:pPr>
              <w:spacing w:line="500" w:lineRule="exact"/>
              <w:rPr>
                <w:rFonts w:ascii="仿宋" w:hAnsi="仿宋" w:eastAsia="仿宋" w:cs="仿宋"/>
                <w:kern w:val="0"/>
                <w:sz w:val="24"/>
                <w:szCs w:val="24"/>
              </w:rPr>
            </w:pPr>
            <w:r>
              <w:rPr>
                <w:rFonts w:hint="eastAsia" w:ascii="仿宋" w:hAnsi="仿宋" w:eastAsia="仿宋" w:cs="仿宋"/>
                <w:kern w:val="0"/>
                <w:sz w:val="24"/>
                <w:szCs w:val="24"/>
              </w:rPr>
              <w:t>培训经费</w:t>
            </w:r>
          </w:p>
        </w:tc>
        <w:tc>
          <w:tcPr>
            <w:tcW w:w="1260" w:type="dxa"/>
          </w:tcPr>
          <w:p>
            <w:pPr>
              <w:spacing w:line="500" w:lineRule="exact"/>
              <w:jc w:val="center"/>
              <w:rPr>
                <w:rFonts w:ascii="仿宋" w:hAnsi="仿宋" w:eastAsia="仿宋" w:cs="仿宋"/>
                <w:sz w:val="24"/>
                <w:szCs w:val="24"/>
              </w:rPr>
            </w:pPr>
            <w:r>
              <w:rPr>
                <w:rFonts w:hint="eastAsia" w:ascii="仿宋" w:hAnsi="仿宋" w:eastAsia="仿宋" w:cs="仿宋"/>
                <w:kern w:val="0"/>
                <w:sz w:val="24"/>
                <w:szCs w:val="24"/>
              </w:rPr>
              <w:t>741873元</w:t>
            </w:r>
          </w:p>
        </w:tc>
        <w:tc>
          <w:tcPr>
            <w:tcW w:w="1260" w:type="dxa"/>
            <w:shd w:val="clear" w:color="auto" w:fill="auto"/>
          </w:tcPr>
          <w:p>
            <w:pPr>
              <w:spacing w:line="500" w:lineRule="exact"/>
              <w:jc w:val="center"/>
              <w:rPr>
                <w:rFonts w:ascii="仿宋" w:hAnsi="仿宋" w:eastAsia="仿宋" w:cs="仿宋"/>
                <w:sz w:val="24"/>
                <w:szCs w:val="24"/>
              </w:rPr>
            </w:pPr>
            <w:r>
              <w:rPr>
                <w:rFonts w:hint="eastAsia" w:ascii="微软雅黑" w:hAnsi="微软雅黑" w:eastAsia="微软雅黑"/>
                <w:color w:val="111F2C"/>
                <w:szCs w:val="21"/>
                <w:shd w:val="clear" w:color="auto" w:fill="FFFFFF"/>
              </w:rPr>
              <w:t>222931</w:t>
            </w:r>
          </w:p>
        </w:tc>
        <w:tc>
          <w:tcPr>
            <w:tcW w:w="3284" w:type="dxa"/>
            <w:shd w:val="clear" w:color="auto" w:fill="auto"/>
          </w:tcPr>
          <w:p>
            <w:pPr>
              <w:spacing w:line="500" w:lineRule="exact"/>
              <w:jc w:val="center"/>
              <w:rPr>
                <w:rFonts w:ascii="仿宋" w:hAnsi="仿宋" w:eastAsia="仿宋" w:cs="仿宋"/>
                <w:sz w:val="24"/>
                <w:szCs w:val="24"/>
              </w:rPr>
            </w:pPr>
            <w:r>
              <w:rPr>
                <w:rFonts w:hint="eastAsia" w:ascii="仿宋" w:hAnsi="仿宋" w:eastAsia="仿宋" w:cs="仿宋"/>
                <w:sz w:val="24"/>
                <w:szCs w:val="24"/>
              </w:rPr>
              <w:t>以财务数据为准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226" w:type="dxa"/>
            <w:shd w:val="clear" w:color="auto" w:fill="auto"/>
          </w:tcPr>
          <w:p>
            <w:pPr>
              <w:spacing w:line="500" w:lineRule="exact"/>
              <w:rPr>
                <w:rFonts w:ascii="仿宋" w:hAnsi="仿宋" w:eastAsia="仿宋" w:cs="仿宋"/>
                <w:kern w:val="0"/>
                <w:sz w:val="24"/>
                <w:szCs w:val="24"/>
              </w:rPr>
            </w:pPr>
            <w:r>
              <w:rPr>
                <w:rFonts w:hint="eastAsia" w:ascii="仿宋" w:hAnsi="仿宋" w:eastAsia="仿宋" w:cs="仿宋"/>
                <w:kern w:val="0"/>
                <w:sz w:val="24"/>
                <w:szCs w:val="24"/>
              </w:rPr>
              <w:t>人均培训经费</w:t>
            </w:r>
          </w:p>
        </w:tc>
        <w:tc>
          <w:tcPr>
            <w:tcW w:w="1260" w:type="dxa"/>
          </w:tcPr>
          <w:p>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3466元</w:t>
            </w:r>
          </w:p>
        </w:tc>
        <w:tc>
          <w:tcPr>
            <w:tcW w:w="1260" w:type="dxa"/>
            <w:shd w:val="clear" w:color="auto" w:fill="auto"/>
          </w:tcPr>
          <w:p>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288</w:t>
            </w:r>
          </w:p>
        </w:tc>
        <w:tc>
          <w:tcPr>
            <w:tcW w:w="3284" w:type="dxa"/>
            <w:shd w:val="clear" w:color="auto" w:fill="auto"/>
          </w:tcPr>
          <w:p>
            <w:pPr>
              <w:spacing w:line="500" w:lineRule="exact"/>
              <w:jc w:val="center"/>
              <w:rPr>
                <w:rFonts w:ascii="仿宋" w:hAnsi="仿宋" w:eastAsia="仿宋" w:cs="仿宋"/>
                <w:sz w:val="24"/>
                <w:szCs w:val="24"/>
              </w:rPr>
            </w:pPr>
            <w:r>
              <w:rPr>
                <w:rFonts w:hint="eastAsia" w:ascii="仿宋" w:hAnsi="仿宋" w:eastAsia="仿宋" w:cs="仿宋"/>
                <w:sz w:val="24"/>
                <w:szCs w:val="24"/>
              </w:rPr>
              <w:t>以财务数据为准</w:t>
            </w:r>
          </w:p>
        </w:tc>
      </w:tr>
    </w:tbl>
    <w:p>
      <w:pPr>
        <w:adjustRightInd w:val="0"/>
        <w:snapToGrid w:val="0"/>
        <w:spacing w:line="500" w:lineRule="exact"/>
        <w:rPr>
          <w:rFonts w:hint="eastAsia" w:ascii="仿宋" w:hAnsi="仿宋" w:eastAsia="仿宋" w:cs="仿宋"/>
          <w:sz w:val="28"/>
          <w:szCs w:val="28"/>
        </w:rPr>
      </w:pPr>
    </w:p>
    <w:p>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3.4 规范管理情况</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（1）教学管理</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期初根据专业实施性教学计划安排班级开设课程，根据师资情况安排教师任课，只有合理安排教学，才能保证教学秩序和教学质量。不管是理论课还是实训课，学校的一切教学工作均属于教学常规管理的范围，教务处、专业部采取定期和不定期的方式，对实训课堂进行巡视检查，发现问题，及时反馈，督促整改。本学期继续开展教学督导，由校级领导开展课堂随堂听课和反馈，强化教学常规管理，促进教学质量提升。期中期末会同专业部、教研组对教师备课本、作业本等教学资料进行检查并及时反馈优劣，督促整改，根据要求专业部每月组织人员对教师备课本开展检查并统计备课量。每个月底组织专业部对各个实训室进行7S安全检查，发现问题，及时拍照反馈，同时不断加强学生职业意识培养，指导做好实训室7S工作不断提高学生职业素养。</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不断改进学生学业考核评价方式方法的同时，加强对各级各类考试考务工作的管理，不断完善和推进考教分离制度，教研组除合理安排组内教师出卷外，还积极联系校外优秀教师命题，同时通过参加市学业水平测试、省联合体、八校联盟、七校发展联盟的联考，不断提高命题规范性和试卷质量，真正做到考教分离，通过考试反映教学质量。考试结束后由教务处、专业部、教研组组织集体阅卷，提高阅卷质量，客观公正反映学生学习状况，同时通过数据处理技术，对成绩进行分析，并及时公布统计结果，为教学分析提供依据。</w:t>
      </w:r>
    </w:p>
    <w:p>
      <w:pPr>
        <w:adjustRightInd w:val="0"/>
        <w:snapToGrid w:val="0"/>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学生管理</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优化德育管理制度。完善排队制度、道德实践周管理规定和工作流程、德育例会制度、安全信息上报制度、家校联系制度、寝室安全制度、班主任常规工作机制、班主任培训工作、班级德育管理、学生自我管理机制</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强化德育队伍建设。抓好班主任队伍工作，保安队伍工作，护校队队伍工作，校医队伍工作，开展了晨检电子上报制度，组织开展了一期生活委员培训，一期青春期女性生理健康讲座。抓好心理辅导员队伍工作，生活指导老师队伍工作。</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细化学生基础管理工作。完善道德实践周工作。继续实行学生在校集体活动排队工作。继续实施三检一调工作，即寝室内务检查、包干区检查、仪容仪表检查和专业部调研；完善胸卡检查制度； </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内化主题德育活动。开展各类主题月活动。本学期开展的活动有行为规范创建月活动、寝室文化创建月、健康教育月活动等。</w:t>
      </w:r>
    </w:p>
    <w:p>
      <w:pPr>
        <w:keepNext w:val="0"/>
        <w:keepLines w:val="0"/>
        <w:pageBreakBefore w:val="0"/>
        <w:kinsoku/>
        <w:wordWrap/>
        <w:overflowPunct/>
        <w:topLinePunct w:val="0"/>
        <w:autoSpaceDE/>
        <w:autoSpaceDN/>
        <w:bidi w:val="0"/>
        <w:adjustRightInd w:val="0"/>
        <w:snapToGrid w:val="0"/>
        <w:spacing w:line="50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财务管理</w:t>
      </w:r>
    </w:p>
    <w:p>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学校财务工作中，严格执行相关法律法规要求，事前做好预算工作，基础资料数据统计及时准确，实行收支两条线管理；事中严格按预算执行，做到有计划的使用经费, 从严掌握开支。按照法律、法规及上级主管部门的要求，单据报销均需校长、分管领导审批签字、经办人签名方可报销。学生收费及时清理上缴，按时办理退费，每学期保证零欠费；事后及时做好整理、统计及材料的归档工作。</w:t>
      </w:r>
    </w:p>
    <w:p>
      <w:pPr>
        <w:keepNext w:val="0"/>
        <w:keepLines w:val="0"/>
        <w:pageBreakBefore w:val="0"/>
        <w:kinsoku/>
        <w:wordWrap/>
        <w:overflowPunct/>
        <w:topLinePunct w:val="0"/>
        <w:autoSpaceDE/>
        <w:autoSpaceDN/>
        <w:bidi w:val="0"/>
        <w:adjustRightInd w:val="0"/>
        <w:snapToGrid w:val="0"/>
        <w:spacing w:line="50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4）后勤</w:t>
      </w:r>
      <w:r>
        <w:rPr>
          <w:rFonts w:hint="eastAsia" w:ascii="仿宋" w:hAnsi="仿宋" w:eastAsia="仿宋" w:cs="仿宋"/>
          <w:color w:val="auto"/>
          <w:sz w:val="28"/>
          <w:szCs w:val="28"/>
          <w:highlight w:val="none"/>
        </w:rPr>
        <w:t>管理</w:t>
      </w:r>
    </w:p>
    <w:p>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校总务后勤工作在学校领导的支持下，围绕学校重点工作，坚持服务全体师生、服务学校发展的工作宗旨，坚持团结协作、规范操作的工作理念，虚心听取师生建议，群策群力，不断提升工作质量。做到严守财经纪律，严格操作程序，规范物品采购与管理；优化工作流程，提升服务质量，保障学校各项工作开展；同时加强设施管理，重视绿化美化，打造平安美丽校园；强化“五常法”管理，注重食品安全，提升食堂饭菜质量；加强规范过程管理，重视工程质量，抓好重点项目建设。保障了教育教学工作有序开展。</w:t>
      </w:r>
    </w:p>
    <w:p>
      <w:pPr>
        <w:keepNext w:val="0"/>
        <w:keepLines w:val="0"/>
        <w:pageBreakBefore w:val="0"/>
        <w:kinsoku/>
        <w:wordWrap/>
        <w:overflowPunct/>
        <w:topLinePunct w:val="0"/>
        <w:autoSpaceDE/>
        <w:autoSpaceDN/>
        <w:bidi w:val="0"/>
        <w:adjustRightInd w:val="0"/>
        <w:snapToGrid w:val="0"/>
        <w:spacing w:line="500" w:lineRule="exact"/>
        <w:ind w:firstLine="280" w:firstLineChars="1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5)安全管理</w:t>
      </w:r>
    </w:p>
    <w:p>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校高度重视安全工作，牢固树立安全第一的理念，学校安全组织健全，层层签订安全责任书，完善安全应急预案；定期开展各类安全隐患检查、排查；完善安全硬件建设，保障学校安全措施的落实，“三防”落实到位，各类生活、教育教学设施设备安全；学校开展的“安全教育周、消防安全教育月、法制宣传教育周”等法制、安全主题教育内容丰富；加强实习生的安全管理，实习指导教师定期下企业进行检查，实习生都参加了实习责任保险；学校未发生任何食品安全、公共卫生事件。</w:t>
      </w:r>
    </w:p>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（6）科研管理和管理队伍建设、管理信息化水平</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学校教育科研以课题研究为引领，借助“一种模式、两支队伍、三个平台、四大抓手”，形成海盐理工特色的教育科研之路。学校坚持走“教育教学问题——学习剖析确立研究点——教学实践研究——反思再实践”的科研方法，着力建设以学校名师成员、教研组长、科研骨干梯队、各专业部和教研组科研新秀、专业骨干青年为主体的科研骨干青年梯队，建立了课题博客管理系统，依托信息化科研管理平台，注重师资培训的实效，形成科研主题实践月，狠抓课题研究特色与过程，规范推进校本课程开发与使用，将教育行动研究作为教师发展的根本，努力让教师成为“研究型”教师，成效显著。</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2020年，学校科研工作收获成果，积极参评助推科研成果展示。</w:t>
      </w:r>
      <w:r>
        <w:rPr>
          <w:rFonts w:hint="eastAsia" w:ascii="仿宋" w:hAnsi="仿宋" w:eastAsia="仿宋" w:cs="仿宋"/>
          <w:sz w:val="28"/>
          <w:szCs w:val="28"/>
        </w:rPr>
        <w:cr/>
      </w:r>
      <w:r>
        <w:rPr>
          <w:rFonts w:hint="eastAsia" w:ascii="仿宋" w:hAnsi="仿宋" w:eastAsia="仿宋" w:cs="仿宋"/>
          <w:sz w:val="28"/>
          <w:szCs w:val="28"/>
        </w:rPr>
        <w:t>一是课题成果奖情况：在2020年浙江省职业教育与成人教育课题成果评比中，潘云杰老师、孙芳老师负责的课题分别获得省级二等奖、三等奖，卫燕老师课题获市重点调研课题一等奖；二是发表、获奖论文情况：20年度，教师省级以上核心刊物发表论文76篇，2020年度全体教师县级以上获奖论文137篇，其中县市一等奖23篇，获奖率居县市前列。三是课题立项、结题情况：2020年度，省市县25项课题全部顺利通过结题；2020年立项课题21项，其中省级课题3项，包括省技工院校课题2项，省中华职业教育课题1项，市级7项，立项率远超兄弟职业学校。四是，教师校外教辅材料：20年度教师主编或者参与校外教辅材料16项。五是教师课堂公开课：2020年度教师开设县级以上公开课21节，校级课题展示周探究展示课共37节。五是校本课程开发：2020年开展校本课程开发专题培训2次，推进第三批12项校本课程开发完成，终审通过2项优秀，10项合格。</w:t>
      </w:r>
    </w:p>
    <w:p>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3.5 德育工作情况</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把德育课作为学校德育工作的主渠道，开设职业生涯规划、职业道德与法律、经济政治与社会、哲学与人生四门课程。注重心理健康教育工作，开展心理健康团体辅导和个体辅导，注重心理健康教育有效性。与此同时，结合学校实际，开发了相应的德育校本教材。借助《开学六节课》、《读响青春》系统教材有效地进行了预防艾滋病教育、毒品预防教育、环境教育、廉洁教育、安全教育等。</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注重校园文化建设。结合学校特点，开展了7S文化进校园活动，编制7S行动手册，完成教室、寝室、实训工场7S环境布置，加强了校园硬件文化建设。同时，开展了职业宣传周、体育节、艺术节、寝室文化节、传统文化节活动、企业文化进校园等系列活动，活跃了校园生活，提升了校园精神品质。</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积极组织学生参加文明风采比赛，19美术王凤婷同学的《鸟嘴医生在现》获得嘉兴市中等职业学校2020年度“文明风采”活动二等奖；王凤婷同学的《身处险境》获得嘉兴市中等职业学校2020年度“文明风采”活动三等奖。</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生社团除了滚灯协会和棋类协会，还有青春飞扬的体育协会，灵动活泼的舞蹈社、细致创新的手工社团、帅气十足的卡丁车协会、因地制宜的旅游协会、奇思妙想的智能制造社团、具有地方特色的乡宴协会等等。通过社团活动，可以使我们的人生态度更加积极向上，增强集体意识与责任意识，创造潜能可以更好地被激发，学以致用，提高素质，陶冶情操。学校社团活动的蓬勃发展，已成为构建校园文化的主力军，解读校园文化的风向标。</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学生会在学校党委领导下，在学生处和团委的具体指导下，以“全心全意为师生服务”为宗旨，充分发挥学生群体“自我教育、自我管理、自我发展”的职能，下设主席团、办公室、播音室、纪检体育部、生活部、文宣部，坚持“礼貌、学习、模范、创新”的工作理念，参与学校学生事务的管理，为广大师生创造了良好的学习环境和生活环境，并且积极服务社会，传递正能量。</w:t>
      </w:r>
      <w:r>
        <w:rPr>
          <w:rFonts w:hint="eastAsia" w:ascii="仿宋" w:hAnsi="仿宋" w:eastAsia="仿宋" w:cs="仿宋"/>
          <w:sz w:val="28"/>
          <w:szCs w:val="28"/>
        </w:rPr>
        <w:cr/>
      </w:r>
      <w:r>
        <w:rPr>
          <w:rFonts w:hint="eastAsia" w:ascii="仿宋" w:hAnsi="仿宋" w:eastAsia="仿宋" w:cs="仿宋"/>
          <w:sz w:val="28"/>
          <w:szCs w:val="28"/>
        </w:rPr>
        <w:t xml:space="preserve">    学校“小红帽”家电维修志愿服务队立足于理工，着眼于社会，是学校的一个志愿服务明星品牌，具有理工学校专业特色。多年来，理工“小红帽”家电维修志愿服务队一直是由学校党委领导，校学生处和团委统一组织、指导、管理。服务队以学校骨干专业为依托，以“服务群众、服务社会”为宗旨，秉承青年志愿者服务活动的光荣传统，积极联合社区、街道、敬老院等举办各类活动，扎实的技能，优秀的素质保证了每一次活动的顺利完成近几年来，先后得到中国文明网，嘉兴日报，海盐教育网等多个媒体的竞相报道。海盐县理工学校学生会荣获2015年度嘉兴市“优秀学生会”称号，2016年嘉兴市青少年暑期社会实践活动优秀团队。2017-2018年度海盐理工学校“小红帽”慈善义工小分队荣获优秀慈善义工组织、2019年度新时代好青年志愿服务团队。指导老师胡立标、仰卫力、崔程平等先后被评为浙江省大中专学生志愿者暑期“三下乡”社会实践先进个人和省级、市级、县级优秀志愿者，王炜豪老师被评为2020年度海盐县最美志愿者。学校学生会荣获嘉兴市“优秀学生会”称号，学校青年志愿者服务队获得嘉兴市青少年暑期社会实践活动优秀团队，已具有一定的社会知名度。</w:t>
      </w:r>
    </w:p>
    <w:p>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3.6党建情况</w:t>
      </w:r>
    </w:p>
    <w:p>
      <w:pPr>
        <w:adjustRightInd w:val="0"/>
        <w:snapToGrid w:val="0"/>
        <w:spacing w:line="5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2020年中共海盐县理工学校委员会由５人组成，黄雪明同志为书记，马志勇同志为纪监委员，李海青同志为宣传委员，黄伟同志为组织委员，许晓峰同志为统战委员。全校有党员107名，下设五个支部，其中第一党支部（行政支部）有党员28名；第二党支部（综合部支部）有党员35名；第三党支部（旅游与艺术部支部），有党员15名；第四党支部（机电与汽修部支部）有党员18名；第五党支部（退休支部）有党员11名。</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2020年度的学校党建工作，突出围绕全面从严治党要求，以“不忘初心，牢记使命”主题教育为主线，发挥党员先锋模范作用，加强政治建设、思想建设、组织建设、作风建设、廉政建设，推进学校党建工作。</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深入推进党员先锋示范建设工程，打造“红船先锋”党建品牌。积极开展红船引领下的“精工先锋”党建品牌探索，将“红船精神”内涵与学校“明理为人，精工为技”的校园文化相结合，通过“红船文化先锋、红船育人先锋、红船清风先锋”三大工程，打造“党建+课程思政、党建+志愿服务、党建+清廉校园”三大阵地，做优“红船引领”党建品牌。学校党委组织全体党员积极投入抗击新冠肺炎狙击战，在社区防控志愿服务、学校线上教学、复工复学、学校疫情防控等方面，学校全体党员发挥先锋模范作用。通过党员公开课、党员技能展示、党员先锋示范岗、党员爱心结对、感动理工教育微故事叙述、争做红船育人先锋、党员家电维修志愿服务等载体，开展学校党建特色和品牌创建，发挥党建引领作用，着力打造一支业务精湛、作风优良、示范引领的党员队伍，为培养“三守一扬”具有理工特色的新时代建设者发挥党员的先锋模范作用。一年来，党员教师论文发表国家级20篇，论文获奖省级9篇、市级7篇、县级15篇，课题成果获奖市一等奖1个，36名教师在省、市、县多彩课堂比赛中获奖。</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挥党委领导作用，加强学校政治建设、思想政治和意识形态工作。积极落实党的全面领导要求，加强学校政治建设。加强学校领导班子建设，不断增强“四个意识”，做到“两个维护”，坚定“四个自信”。加强教职工思想政治工作，组织全体教师学习党的十九大和十九届五中全会精神，学习习近平新时代中国特色社会主义思想和系列重要讲话精神，组织开展《习近平教育重要论述讲义》学习，用习近平新时代中国特色社会主义思想武装教师。办好学生业余党校第九、十期培训班和第十七、十八期业余团校培训班，加强学生思想政治工作。积极推进“用情用心用力、在岗在行在状态”主题教育活动，开展师德师风大排查和大整改，落实回头看工作，落实大引领，开展红船精神进校园活动，弘扬学校教师爱岗敬业的奉献奋斗精神，凝聚学校正能量，促进师德师风建设。重视党建舆论阵地建设，加强宣传引导，2020年度在海盐教育网、校园网等网站上共有27篇学校党建工作的报道，进一步扩大了学校党建影响力。</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落实从严治党要求，加强学校党组织自身建设。把握党建主线和主题，加强思想建设，组织开展好“习近平新时代中国特色社会主义思想”专题学习。加强组织建设。规范用好基层党组织工作手册，进一步健全和落实支部组织生活制度要求；落实三会一课制度（支部书记上党课、优秀党员上党课、普通党员上党课）；坚持月主题党日学习制度，组织开展好主题党日活动，丰富主题党日内容和形式；做好党员党费收缴工作，坚持月交季清制度；落实民主评议党员工作制度，做好上下半年两次党员先锋指数管理考核和民主评议工作；落实党员发展计划，规范发展党员工作程序，做好1名新党员的发展和2名预备党员的转正工作。加强作风建设和廉政建设。落实责任，做好党风廉政建设的监督工作，发挥学校纪检小组监督工作，参与学校招生、规范收费、物品采购招标、教师招聘、校内维修工程、学校迁建工程等监督工作；学校落实中央“八项”规定要求，学校无任何违反党风廉政建设的行为和问题。</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积极推进清廉学校创建。发挥学校党委在清廉学校创建中的领导作用,申报第一批清廉学校示范校，以全面从严治党要求为保障，以“明理为人，精工为技”校园文化建设为载体，以师德师风建设为核心，以“三守一扬”为目标，打造清廉学校建设的亮点和特色。2020年12月学校创建成为县教育系统第一批星级高品质清廉学校。</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2020年度学校党建工作所获荣誉有：学校党委获县教育系统第二批“学习强国”学习平台“学习先进组织”；第二党支部获嘉兴市第二批标准化规范化示范党支部称号；2020年海盐县教育系统微型党课大赛获二、三等奖和优胜奖。马志勇、陈海东、姜志友、陶永军、周兰玲、孙芳、夏海平、邹燕华、陈立峰、徐展时等10名党员获2020年度海盐县教育系统红船育人先锋荣誉。在浙江省成人教育与职业教育协会中等职业教育分会联合职业杂志社驻浙江办事处开展献礼建党百年•致敬职教力量之100个“职教党建品牌”优秀案例征集活动中，学校申报的《“红船先锋”：打造“党建+”三大阵地》党建品牌案例成功入围。</w:t>
      </w:r>
    </w:p>
    <w:p>
      <w:pPr>
        <w:pStyle w:val="2"/>
        <w:shd w:val="clear" w:color="auto" w:fill="FFFFFF"/>
        <w:spacing w:before="0" w:beforeAutospacing="0" w:after="0" w:afterAutospacing="0" w:line="500" w:lineRule="exact"/>
        <w:rPr>
          <w:rFonts w:ascii="����" w:hAnsi="����"/>
          <w:b/>
          <w:color w:val="000000"/>
          <w:sz w:val="21"/>
          <w:szCs w:val="21"/>
          <w:highlight w:val="none"/>
        </w:rPr>
      </w:pPr>
      <w:r>
        <w:rPr>
          <w:rFonts w:hint="eastAsia" w:ascii="仿宋_GB2312" w:hAnsi="Calibri" w:eastAsia="仿宋_GB2312"/>
          <w:b/>
          <w:color w:val="000000"/>
          <w:sz w:val="32"/>
          <w:szCs w:val="32"/>
          <w:highlight w:val="none"/>
        </w:rPr>
        <w:t>4.校企合作</w:t>
      </w:r>
    </w:p>
    <w:p>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4.1校企合作开展情况和效果</w:t>
      </w:r>
    </w:p>
    <w:tbl>
      <w:tblPr>
        <w:tblStyle w:val="3"/>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440"/>
        <w:gridCol w:w="2880"/>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noWrap/>
            <w:vAlign w:val="center"/>
          </w:tcPr>
          <w:p>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合作形式</w:t>
            </w:r>
          </w:p>
        </w:tc>
        <w:tc>
          <w:tcPr>
            <w:tcW w:w="1440" w:type="dxa"/>
            <w:shd w:val="clear" w:color="auto" w:fill="auto"/>
            <w:noWrap/>
            <w:vAlign w:val="center"/>
          </w:tcPr>
          <w:p>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合作数量</w:t>
            </w:r>
          </w:p>
        </w:tc>
        <w:tc>
          <w:tcPr>
            <w:tcW w:w="2880" w:type="dxa"/>
            <w:shd w:val="clear" w:color="auto" w:fill="auto"/>
            <w:noWrap/>
            <w:vAlign w:val="center"/>
          </w:tcPr>
          <w:p>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合作内容</w:t>
            </w:r>
          </w:p>
        </w:tc>
        <w:tc>
          <w:tcPr>
            <w:tcW w:w="2489" w:type="dxa"/>
            <w:shd w:val="clear" w:color="auto" w:fill="auto"/>
            <w:noWrap/>
            <w:vAlign w:val="center"/>
          </w:tcPr>
          <w:p>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合作效果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noWrap/>
            <w:vAlign w:val="center"/>
          </w:tcPr>
          <w:p>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理工职教联盟</w:t>
            </w:r>
          </w:p>
        </w:tc>
        <w:tc>
          <w:tcPr>
            <w:tcW w:w="1440" w:type="dxa"/>
            <w:shd w:val="clear" w:color="auto" w:fill="auto"/>
            <w:noWrap/>
            <w:vAlign w:val="center"/>
          </w:tcPr>
          <w:p>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33家单位</w:t>
            </w:r>
          </w:p>
        </w:tc>
        <w:tc>
          <w:tcPr>
            <w:tcW w:w="2880" w:type="dxa"/>
            <w:shd w:val="clear" w:color="auto" w:fill="auto"/>
            <w:noWrap/>
            <w:vAlign w:val="center"/>
          </w:tcPr>
          <w:p>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共同研究和开发技能型人才培养模式</w:t>
            </w:r>
          </w:p>
        </w:tc>
        <w:tc>
          <w:tcPr>
            <w:tcW w:w="2489" w:type="dxa"/>
            <w:shd w:val="clear" w:color="auto" w:fill="auto"/>
            <w:noWrap/>
            <w:vAlign w:val="center"/>
          </w:tcPr>
          <w:p>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对中职学生的培养目标和方式更加明确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noWrap/>
            <w:vAlign w:val="center"/>
          </w:tcPr>
          <w:p>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工学交替班</w:t>
            </w:r>
          </w:p>
        </w:tc>
        <w:tc>
          <w:tcPr>
            <w:tcW w:w="1440" w:type="dxa"/>
            <w:shd w:val="clear" w:color="auto" w:fill="auto"/>
            <w:noWrap/>
            <w:vAlign w:val="center"/>
          </w:tcPr>
          <w:p>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5个班级</w:t>
            </w:r>
          </w:p>
        </w:tc>
        <w:tc>
          <w:tcPr>
            <w:tcW w:w="2880" w:type="dxa"/>
            <w:shd w:val="clear" w:color="auto" w:fill="auto"/>
            <w:noWrap/>
            <w:vAlign w:val="center"/>
          </w:tcPr>
          <w:p>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通过工学交替的形式促进技能型人才的培养</w:t>
            </w:r>
          </w:p>
        </w:tc>
        <w:tc>
          <w:tcPr>
            <w:tcW w:w="2489" w:type="dxa"/>
            <w:shd w:val="clear" w:color="auto" w:fill="auto"/>
            <w:noWrap/>
            <w:vAlign w:val="center"/>
          </w:tcPr>
          <w:p>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学生了解了企业的岗位要求，专业技能得到了提升</w:t>
            </w:r>
          </w:p>
        </w:tc>
      </w:tr>
    </w:tbl>
    <w:p>
      <w:pPr>
        <w:pStyle w:val="2"/>
        <w:shd w:val="clear" w:color="auto" w:fill="FFFFFF"/>
        <w:spacing w:before="0" w:beforeAutospacing="0" w:after="0" w:afterAutospacing="0" w:line="500" w:lineRule="exact"/>
        <w:ind w:firstLine="480"/>
        <w:rPr>
          <w:rFonts w:ascii="仿宋" w:hAnsi="仿宋" w:eastAsia="仿宋" w:cs="仿宋"/>
          <w:color w:val="FF0000"/>
          <w:sz w:val="32"/>
          <w:szCs w:val="32"/>
          <w:highlight w:val="none"/>
        </w:rPr>
      </w:pPr>
    </w:p>
    <w:p>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4.2 学生实习情况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168"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实习生总数量</w:t>
            </w:r>
          </w:p>
        </w:tc>
        <w:tc>
          <w:tcPr>
            <w:tcW w:w="5580"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涉及顶 岗实习企业数量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168"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534人</w:t>
            </w:r>
          </w:p>
        </w:tc>
        <w:tc>
          <w:tcPr>
            <w:tcW w:w="5580"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137家</w:t>
            </w:r>
          </w:p>
        </w:tc>
      </w:tr>
    </w:tbl>
    <w:p>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4.3 集团化办学情况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08"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集团化办学名称</w:t>
            </w:r>
          </w:p>
        </w:tc>
        <w:tc>
          <w:tcPr>
            <w:tcW w:w="3914"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地位和作用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08"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海盐理工职教联盟</w:t>
            </w:r>
          </w:p>
        </w:tc>
        <w:tc>
          <w:tcPr>
            <w:tcW w:w="3914"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08"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海盐县机械学会</w:t>
            </w:r>
          </w:p>
        </w:tc>
        <w:tc>
          <w:tcPr>
            <w:tcW w:w="3914"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08"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浙江商业职教集团</w:t>
            </w:r>
          </w:p>
        </w:tc>
        <w:tc>
          <w:tcPr>
            <w:tcW w:w="3914"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08"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嘉兴欣禾职业集团</w:t>
            </w:r>
          </w:p>
        </w:tc>
        <w:tc>
          <w:tcPr>
            <w:tcW w:w="3914"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08"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嘉兴模具协会</w:t>
            </w:r>
          </w:p>
        </w:tc>
        <w:tc>
          <w:tcPr>
            <w:tcW w:w="3914"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会员单位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08"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嘉兴技师学会</w:t>
            </w:r>
          </w:p>
        </w:tc>
        <w:tc>
          <w:tcPr>
            <w:tcW w:w="3914"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副会长单位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08"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嘉兴交通职业教育集团</w:t>
            </w:r>
          </w:p>
        </w:tc>
        <w:tc>
          <w:tcPr>
            <w:tcW w:w="3914"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常务理事单位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08"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杭州富阳区职业教育集团</w:t>
            </w:r>
          </w:p>
        </w:tc>
        <w:tc>
          <w:tcPr>
            <w:tcW w:w="3914"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理事单位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08"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浙江省模具协会</w:t>
            </w:r>
          </w:p>
        </w:tc>
        <w:tc>
          <w:tcPr>
            <w:tcW w:w="3914"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理事单位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08"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嘉兴市工业互联网与智能技术协会</w:t>
            </w:r>
          </w:p>
        </w:tc>
        <w:tc>
          <w:tcPr>
            <w:tcW w:w="3914"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理事单位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08"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嘉兴市机器人与智能装备协会</w:t>
            </w:r>
          </w:p>
        </w:tc>
        <w:tc>
          <w:tcPr>
            <w:tcW w:w="3914"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会员单位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08"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浙江学前教育人才培养合作联盟</w:t>
            </w:r>
          </w:p>
        </w:tc>
        <w:tc>
          <w:tcPr>
            <w:tcW w:w="3914" w:type="dxa"/>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成员单位</w:t>
            </w:r>
          </w:p>
        </w:tc>
      </w:tr>
    </w:tbl>
    <w:p>
      <w:pPr>
        <w:adjustRightInd w:val="0"/>
        <w:snapToGrid w:val="0"/>
        <w:spacing w:line="500" w:lineRule="exact"/>
        <w:rPr>
          <w:rFonts w:hint="eastAsia" w:ascii="仿宋" w:hAnsi="仿宋" w:eastAsia="仿宋" w:cs="仿宋"/>
          <w:sz w:val="28"/>
          <w:szCs w:val="28"/>
        </w:rPr>
      </w:pPr>
      <w:r>
        <w:rPr>
          <w:rFonts w:hint="eastAsia" w:ascii="仿宋" w:hAnsi="仿宋" w:eastAsia="仿宋" w:cs="仿宋"/>
          <w:b/>
          <w:bCs/>
          <w:sz w:val="30"/>
          <w:szCs w:val="30"/>
        </w:rPr>
        <w:t>5.社会贡献</w:t>
      </w:r>
      <w:r>
        <w:rPr>
          <w:rFonts w:hint="eastAsia" w:ascii="仿宋" w:hAnsi="仿宋" w:eastAsia="仿宋" w:cs="仿宋"/>
          <w:sz w:val="28"/>
          <w:szCs w:val="28"/>
        </w:rPr>
        <w:t> </w:t>
      </w:r>
    </w:p>
    <w:p>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5.1技术技能人才培养</w:t>
      </w:r>
    </w:p>
    <w:tbl>
      <w:tblPr>
        <w:tblStyle w:val="3"/>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258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101"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年份</w:t>
            </w:r>
          </w:p>
        </w:tc>
        <w:tc>
          <w:tcPr>
            <w:tcW w:w="2587"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2019年</w:t>
            </w:r>
          </w:p>
        </w:tc>
        <w:tc>
          <w:tcPr>
            <w:tcW w:w="2700"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101"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毕业生数量</w:t>
            </w:r>
          </w:p>
        </w:tc>
        <w:tc>
          <w:tcPr>
            <w:tcW w:w="2587"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891</w:t>
            </w:r>
          </w:p>
        </w:tc>
        <w:tc>
          <w:tcPr>
            <w:tcW w:w="2700"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101"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技能等级获取数量</w:t>
            </w:r>
          </w:p>
        </w:tc>
        <w:tc>
          <w:tcPr>
            <w:tcW w:w="2587"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836</w:t>
            </w:r>
          </w:p>
        </w:tc>
        <w:tc>
          <w:tcPr>
            <w:tcW w:w="2700"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101"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技能等级获取率</w:t>
            </w:r>
          </w:p>
        </w:tc>
        <w:tc>
          <w:tcPr>
            <w:tcW w:w="2587"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93.8%</w:t>
            </w:r>
          </w:p>
        </w:tc>
        <w:tc>
          <w:tcPr>
            <w:tcW w:w="2700"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101"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企业评价满意度</w:t>
            </w:r>
          </w:p>
        </w:tc>
        <w:tc>
          <w:tcPr>
            <w:tcW w:w="2587"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95.2%</w:t>
            </w:r>
          </w:p>
        </w:tc>
        <w:tc>
          <w:tcPr>
            <w:tcW w:w="2700"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101"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社会对毕业生认可度</w:t>
            </w:r>
          </w:p>
        </w:tc>
        <w:tc>
          <w:tcPr>
            <w:tcW w:w="2587"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88．9%</w:t>
            </w:r>
          </w:p>
        </w:tc>
        <w:tc>
          <w:tcPr>
            <w:tcW w:w="2700" w:type="dxa"/>
            <w:shd w:val="clear" w:color="auto" w:fill="auto"/>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91.3%</w:t>
            </w:r>
          </w:p>
        </w:tc>
      </w:tr>
    </w:tbl>
    <w:p>
      <w:pPr>
        <w:pStyle w:val="2"/>
        <w:shd w:val="clear" w:color="auto" w:fill="FFFFFF"/>
        <w:adjustRightInd w:val="0"/>
        <w:snapToGrid w:val="0"/>
        <w:spacing w:before="0" w:beforeAutospacing="0" w:after="0" w:afterAutospacing="0"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5.2社会服务</w:t>
      </w:r>
    </w:p>
    <w:p>
      <w:pPr>
        <w:pStyle w:val="2"/>
        <w:shd w:val="clear" w:color="auto" w:fill="FFFFFF"/>
        <w:adjustRightInd w:val="0"/>
        <w:snapToGrid w:val="0"/>
        <w:spacing w:before="0" w:beforeAutospacing="0" w:after="0" w:afterAutospacing="0" w:line="500" w:lineRule="exact"/>
        <w:ind w:firstLine="482"/>
        <w:rPr>
          <w:rFonts w:ascii="仿宋" w:hAnsi="仿宋" w:eastAsia="仿宋" w:cs="仿宋"/>
          <w:sz w:val="28"/>
          <w:szCs w:val="28"/>
          <w:highlight w:val="none"/>
        </w:rPr>
      </w:pPr>
      <w:r>
        <w:rPr>
          <w:rFonts w:hint="eastAsia" w:ascii="仿宋" w:hAnsi="仿宋" w:eastAsia="仿宋" w:cs="仿宋"/>
          <w:sz w:val="28"/>
          <w:szCs w:val="28"/>
          <w:highlight w:val="none"/>
        </w:rPr>
        <w:t>（1）培训服务</w:t>
      </w:r>
    </w:p>
    <w:tbl>
      <w:tblPr>
        <w:tblStyle w:val="3"/>
        <w:tblpPr w:leftFromText="180" w:rightFromText="180" w:vertAnchor="text" w:horzAnchor="page" w:tblpX="1875" w:tblpY="93"/>
        <w:tblOverlap w:val="never"/>
        <w:tblW w:w="0" w:type="auto"/>
        <w:tblInd w:w="0" w:type="dxa"/>
        <w:tblLayout w:type="fixed"/>
        <w:tblCellMar>
          <w:top w:w="0" w:type="dxa"/>
          <w:left w:w="108" w:type="dxa"/>
          <w:bottom w:w="0" w:type="dxa"/>
          <w:right w:w="108" w:type="dxa"/>
        </w:tblCellMar>
      </w:tblPr>
      <w:tblGrid>
        <w:gridCol w:w="4169"/>
        <w:gridCol w:w="2175"/>
        <w:gridCol w:w="1771"/>
      </w:tblGrid>
      <w:tr>
        <w:tblPrEx>
          <w:tblCellMar>
            <w:top w:w="0" w:type="dxa"/>
            <w:left w:w="108" w:type="dxa"/>
            <w:bottom w:w="0" w:type="dxa"/>
            <w:right w:w="108" w:type="dxa"/>
          </w:tblCellMar>
        </w:tblPrEx>
        <w:trPr>
          <w:trHeight w:val="312" w:hRule="atLeast"/>
        </w:trPr>
        <w:tc>
          <w:tcPr>
            <w:tcW w:w="811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2019/2020年社会培训汇总表</w:t>
            </w:r>
          </w:p>
        </w:tc>
      </w:tr>
      <w:tr>
        <w:tblPrEx>
          <w:tblCellMar>
            <w:top w:w="0" w:type="dxa"/>
            <w:left w:w="108" w:type="dxa"/>
            <w:bottom w:w="0" w:type="dxa"/>
            <w:right w:w="108" w:type="dxa"/>
          </w:tblCellMar>
        </w:tblPrEx>
        <w:trPr>
          <w:trHeight w:val="312" w:hRule="atLeast"/>
        </w:trPr>
        <w:tc>
          <w:tcPr>
            <w:tcW w:w="4169" w:type="dxa"/>
            <w:tcBorders>
              <w:top w:val="nil"/>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年   份</w:t>
            </w:r>
          </w:p>
        </w:tc>
        <w:tc>
          <w:tcPr>
            <w:tcW w:w="2175" w:type="dxa"/>
            <w:tcBorders>
              <w:top w:val="nil"/>
              <w:left w:val="nil"/>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2019年</w:t>
            </w:r>
          </w:p>
        </w:tc>
        <w:tc>
          <w:tcPr>
            <w:tcW w:w="1771" w:type="dxa"/>
            <w:tcBorders>
              <w:top w:val="nil"/>
              <w:left w:val="nil"/>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2020年</w:t>
            </w:r>
          </w:p>
        </w:tc>
      </w:tr>
      <w:tr>
        <w:tblPrEx>
          <w:tblCellMar>
            <w:top w:w="0" w:type="dxa"/>
            <w:left w:w="108" w:type="dxa"/>
            <w:bottom w:w="0" w:type="dxa"/>
            <w:right w:w="108" w:type="dxa"/>
          </w:tblCellMar>
        </w:tblPrEx>
        <w:trPr>
          <w:trHeight w:val="312" w:hRule="atLeast"/>
        </w:trPr>
        <w:tc>
          <w:tcPr>
            <w:tcW w:w="4169" w:type="dxa"/>
            <w:tcBorders>
              <w:top w:val="nil"/>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培训开班数</w:t>
            </w:r>
          </w:p>
        </w:tc>
        <w:tc>
          <w:tcPr>
            <w:tcW w:w="2175" w:type="dxa"/>
            <w:tcBorders>
              <w:top w:val="nil"/>
              <w:left w:val="nil"/>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104</w:t>
            </w:r>
          </w:p>
        </w:tc>
        <w:tc>
          <w:tcPr>
            <w:tcW w:w="1771" w:type="dxa"/>
            <w:tcBorders>
              <w:top w:val="nil"/>
              <w:left w:val="nil"/>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70</w:t>
            </w:r>
          </w:p>
        </w:tc>
      </w:tr>
      <w:tr>
        <w:tblPrEx>
          <w:tblCellMar>
            <w:top w:w="0" w:type="dxa"/>
            <w:left w:w="108" w:type="dxa"/>
            <w:bottom w:w="0" w:type="dxa"/>
            <w:right w:w="108" w:type="dxa"/>
          </w:tblCellMar>
        </w:tblPrEx>
        <w:trPr>
          <w:trHeight w:val="312" w:hRule="atLeast"/>
        </w:trPr>
        <w:tc>
          <w:tcPr>
            <w:tcW w:w="4169" w:type="dxa"/>
            <w:tcBorders>
              <w:top w:val="nil"/>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培训人数</w:t>
            </w:r>
          </w:p>
        </w:tc>
        <w:tc>
          <w:tcPr>
            <w:tcW w:w="2175" w:type="dxa"/>
            <w:tcBorders>
              <w:top w:val="nil"/>
              <w:left w:val="nil"/>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10844</w:t>
            </w:r>
          </w:p>
        </w:tc>
        <w:tc>
          <w:tcPr>
            <w:tcW w:w="1771" w:type="dxa"/>
            <w:tcBorders>
              <w:top w:val="nil"/>
              <w:left w:val="nil"/>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8035</w:t>
            </w:r>
          </w:p>
        </w:tc>
      </w:tr>
      <w:tr>
        <w:tblPrEx>
          <w:tblCellMar>
            <w:top w:w="0" w:type="dxa"/>
            <w:left w:w="108" w:type="dxa"/>
            <w:bottom w:w="0" w:type="dxa"/>
            <w:right w:w="108" w:type="dxa"/>
          </w:tblCellMar>
        </w:tblPrEx>
        <w:trPr>
          <w:trHeight w:val="312" w:hRule="atLeast"/>
        </w:trPr>
        <w:tc>
          <w:tcPr>
            <w:tcW w:w="4169" w:type="dxa"/>
            <w:tcBorders>
              <w:top w:val="nil"/>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培训工种</w:t>
            </w:r>
          </w:p>
        </w:tc>
        <w:tc>
          <w:tcPr>
            <w:tcW w:w="2175" w:type="dxa"/>
            <w:tcBorders>
              <w:top w:val="nil"/>
              <w:left w:val="nil"/>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45</w:t>
            </w:r>
          </w:p>
        </w:tc>
        <w:tc>
          <w:tcPr>
            <w:tcW w:w="1771" w:type="dxa"/>
            <w:tcBorders>
              <w:top w:val="nil"/>
              <w:left w:val="nil"/>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21</w:t>
            </w:r>
          </w:p>
        </w:tc>
      </w:tr>
      <w:tr>
        <w:tblPrEx>
          <w:tblCellMar>
            <w:top w:w="0" w:type="dxa"/>
            <w:left w:w="108" w:type="dxa"/>
            <w:bottom w:w="0" w:type="dxa"/>
            <w:right w:w="108" w:type="dxa"/>
          </w:tblCellMar>
        </w:tblPrEx>
        <w:trPr>
          <w:trHeight w:val="312" w:hRule="atLeast"/>
        </w:trPr>
        <w:tc>
          <w:tcPr>
            <w:tcW w:w="4169" w:type="dxa"/>
            <w:tcBorders>
              <w:top w:val="nil"/>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全日制在校生人数</w:t>
            </w:r>
          </w:p>
        </w:tc>
        <w:tc>
          <w:tcPr>
            <w:tcW w:w="2175" w:type="dxa"/>
            <w:tcBorders>
              <w:top w:val="nil"/>
              <w:left w:val="nil"/>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2784</w:t>
            </w:r>
          </w:p>
        </w:tc>
        <w:tc>
          <w:tcPr>
            <w:tcW w:w="1771" w:type="dxa"/>
            <w:tcBorders>
              <w:top w:val="nil"/>
              <w:left w:val="nil"/>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2744</w:t>
            </w:r>
          </w:p>
        </w:tc>
      </w:tr>
      <w:tr>
        <w:tblPrEx>
          <w:tblCellMar>
            <w:top w:w="0" w:type="dxa"/>
            <w:left w:w="108" w:type="dxa"/>
            <w:bottom w:w="0" w:type="dxa"/>
            <w:right w:w="108" w:type="dxa"/>
          </w:tblCellMar>
        </w:tblPrEx>
        <w:trPr>
          <w:trHeight w:val="312" w:hRule="atLeast"/>
        </w:trPr>
        <w:tc>
          <w:tcPr>
            <w:tcW w:w="4169" w:type="dxa"/>
            <w:tcBorders>
              <w:top w:val="nil"/>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培训人数与全日制在校生人数比例</w:t>
            </w:r>
          </w:p>
        </w:tc>
        <w:tc>
          <w:tcPr>
            <w:tcW w:w="2175" w:type="dxa"/>
            <w:tcBorders>
              <w:top w:val="nil"/>
              <w:left w:val="nil"/>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3.9:1</w:t>
            </w:r>
          </w:p>
        </w:tc>
        <w:tc>
          <w:tcPr>
            <w:tcW w:w="1771" w:type="dxa"/>
            <w:tcBorders>
              <w:top w:val="nil"/>
              <w:left w:val="nil"/>
              <w:bottom w:val="single" w:color="auto" w:sz="4" w:space="0"/>
              <w:right w:val="single" w:color="auto" w:sz="4" w:space="0"/>
            </w:tcBorders>
            <w:noWrap/>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2.9:1</w:t>
            </w:r>
          </w:p>
        </w:tc>
      </w:tr>
    </w:tbl>
    <w:p>
      <w:pPr>
        <w:spacing w:line="500" w:lineRule="exact"/>
        <w:rPr>
          <w:rFonts w:ascii="仿宋" w:hAnsi="仿宋" w:eastAsia="仿宋" w:cs="仿宋"/>
          <w:sz w:val="28"/>
          <w:szCs w:val="28"/>
          <w:highlight w:val="none"/>
        </w:rPr>
      </w:pPr>
      <w:r>
        <w:rPr>
          <w:rFonts w:hint="eastAsia" w:ascii="仿宋" w:hAnsi="仿宋" w:eastAsia="仿宋" w:cs="仿宋"/>
          <w:highlight w:val="none"/>
        </w:rPr>
        <w:t>　</w:t>
      </w:r>
      <w:r>
        <w:rPr>
          <w:rFonts w:hint="eastAsia" w:ascii="仿宋" w:hAnsi="仿宋" w:eastAsia="仿宋" w:cs="仿宋"/>
          <w:highlight w:val="none"/>
          <w:lang w:val="en-US" w:eastAsia="zh-CN"/>
        </w:rPr>
        <w:t xml:space="preserve"> </w:t>
      </w:r>
      <w:r>
        <w:rPr>
          <w:rFonts w:hint="eastAsia" w:ascii="仿宋" w:hAnsi="仿宋" w:eastAsia="仿宋" w:cs="仿宋"/>
          <w:sz w:val="28"/>
          <w:szCs w:val="28"/>
          <w:highlight w:val="none"/>
        </w:rPr>
        <w:t>（2）技术服务</w:t>
      </w:r>
    </w:p>
    <w:p>
      <w:pPr>
        <w:adjustRightInd w:val="0"/>
        <w:snapToGrid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学校通过海盐理工职教联盟、嘉兴欣禾职教集团、嘉兴市工业互联网与智能技术协会、海盐县机械学会等校企合作平台，按照“贴近行业、注重实效、重点突破，整体推进”的原则，进一步拓展产学研合作的广度和深度。通过组织和参与人才参加洽谈会、承办职工技能比武、承担职工培训活动，服务本地经济建设。</w:t>
      </w:r>
    </w:p>
    <w:p>
      <w:pPr>
        <w:adjustRightInd w:val="0"/>
        <w:snapToGrid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学校建有培训中心，承担制造业、现代服务业、农业等产业的社会培训。既开展专业知识和职业技能的培训，也开展职业道德素养、文化知识等通识培训；既有员工、退役军人培训，也有中、高层管理人员的管理培训；既有职业素养培训，也有创业能力培训。形成了以学校为龙头，与全县8个乡镇成人文化学校和有关部门紧密联动的“1+8+X”培训机制。虽然受到疫情的影响，2020年的社会培训人数还是超过8000人。学校因培训工作突出、特色鲜明而被评为浙江省“优秀职工教育培训基地”，嘉兴市“十佳培训机构”。</w:t>
      </w:r>
    </w:p>
    <w:p>
      <w:pPr>
        <w:adjustRightInd w:val="0"/>
        <w:snapToGrid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学校通过校企合作，继续推进了两个“产学研中心”工作，共同研发新产品开发，获得多项国家专利；继续做好了三个专业教师工作室工作；建有国家级技能大师工作室校园工作站一个，省级技能大师校园工作站二个，嘉兴市技能大师工作室一个；与秦山核电联营公司联合共建核电新员工培训基地，合作开发核电员工培训教材。</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（3）文化传承</w:t>
      </w:r>
    </w:p>
    <w:p>
      <w:pPr>
        <w:adjustRightInd w:val="0"/>
        <w:snapToGrid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学校利用自身的专业特点，积极参与地方文化建设。学校是海盐非物质文化遗产进校园——“海盐滚灯”项目的传承学校，经常代表我县参加各类展示活动，代表学校参加各类汇报表演，深受各界欢迎。学校还通过传统节日活动，培育传统文化情感；开设传统文化选修课，加强对传统文化认知。</w:t>
      </w:r>
    </w:p>
    <w:p>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5.3对口支援</w:t>
      </w:r>
    </w:p>
    <w:p>
      <w:pPr>
        <w:adjustRightInd w:val="0"/>
        <w:snapToGrid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学校积极响应浙江省教育厅的号召，对口帮扶西部贫困地区和本省欠发达地区职业学校，在教师培训、专业建设、学校管理等方面进行帮扶。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2018年8月至今，根据嘉兴市委组织部、海盐县委组织部和海盐县教育局的安排，学校派出了汽修专业金帅老师赴屏山职校开展支教活动。</w:t>
      </w:r>
    </w:p>
    <w:p>
      <w:pPr>
        <w:adjustRightInd w:val="0"/>
        <w:snapToGrid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2019年8月31日四川省屏山县职业技术学校共有48名建档立卡贫困家庭学生来到我校就读。</w:t>
      </w:r>
    </w:p>
    <w:p>
      <w:pPr>
        <w:adjustRightInd w:val="0"/>
        <w:snapToGrid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2019年10月我校沈培华主任、胡立标老师赴椒江第二职业技术学校支教，为期一个学期。</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2020年5月，陆佳勋老师赴四川省屏山县职业技术学校支教。</w:t>
      </w:r>
    </w:p>
    <w:p>
      <w:pPr>
        <w:adjustRightInd w:val="0"/>
        <w:snapToGrid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2020年5月底，四川省屏山县职业技术学校共有12名学生来我校学习。</w:t>
      </w:r>
    </w:p>
    <w:p>
      <w:pPr>
        <w:adjustRightInd w:val="0"/>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5.4服务抗疫</w:t>
      </w:r>
    </w:p>
    <w:p>
      <w:pPr>
        <w:adjustRightInd w:val="0"/>
        <w:snapToGrid w:val="0"/>
        <w:spacing w:line="500" w:lineRule="exact"/>
        <w:ind w:firstLine="560" w:firstLineChars="200"/>
        <w:rPr>
          <w:rFonts w:ascii="仿宋" w:hAnsi="仿宋" w:eastAsia="仿宋" w:cs="仿宋"/>
          <w:sz w:val="28"/>
          <w:szCs w:val="28"/>
          <w:highlight w:val="none"/>
        </w:rPr>
      </w:pPr>
      <w:r>
        <w:rPr>
          <w:rFonts w:hint="eastAsia" w:ascii="仿宋" w:hAnsi="仿宋" w:eastAsia="仿宋"/>
          <w:sz w:val="28"/>
          <w:szCs w:val="28"/>
          <w:highlight w:val="none"/>
        </w:rPr>
        <w:t>学校加强抗疫宣传，教职工积极参与所在社区的防疫抗疫工作；</w:t>
      </w:r>
      <w:r>
        <w:rPr>
          <w:rFonts w:hint="eastAsia" w:ascii="仿宋" w:hAnsi="仿宋" w:eastAsia="仿宋"/>
          <w:color w:val="111F2C"/>
          <w:sz w:val="28"/>
          <w:szCs w:val="28"/>
          <w:highlight w:val="none"/>
          <w:shd w:val="clear" w:color="auto" w:fill="FFFFFF"/>
        </w:rPr>
        <w:t>学校的数百名顶岗实习生积极响应，驰援企业复工复产，出现在了恒锋工具、中达联合、佳乐科仪等龙头骨干企业的工位上，为复工复产做贡献。</w:t>
      </w:r>
    </w:p>
    <w:p>
      <w:pPr>
        <w:adjustRightInd w:val="0"/>
        <w:snapToGrid w:val="0"/>
        <w:spacing w:line="500" w:lineRule="exact"/>
        <w:rPr>
          <w:rFonts w:hint="default" w:ascii="仿宋" w:hAnsi="仿宋" w:eastAsia="仿宋"/>
          <w:b/>
          <w:bCs/>
          <w:color w:val="111F2C"/>
          <w:sz w:val="30"/>
          <w:szCs w:val="30"/>
          <w:highlight w:val="none"/>
          <w:shd w:val="clear" w:color="auto" w:fill="FFFFFF"/>
          <w:lang w:val="en-US" w:eastAsia="zh-CN"/>
        </w:rPr>
      </w:pPr>
      <w:r>
        <w:rPr>
          <w:rFonts w:hint="eastAsia" w:ascii="仿宋" w:hAnsi="仿宋" w:eastAsia="仿宋"/>
          <w:b/>
          <w:bCs/>
          <w:color w:val="111F2C"/>
          <w:sz w:val="30"/>
          <w:szCs w:val="30"/>
          <w:highlight w:val="none"/>
          <w:shd w:val="clear" w:color="auto" w:fill="FFFFFF"/>
          <w:lang w:val="en-US" w:eastAsia="zh-CN"/>
        </w:rPr>
        <w:t>6.举办者履责</w:t>
      </w:r>
    </w:p>
    <w:p>
      <w:pPr>
        <w:adjustRightInd w:val="0"/>
        <w:snapToGrid w:val="0"/>
        <w:spacing w:line="500" w:lineRule="exact"/>
        <w:rPr>
          <w:rFonts w:hint="eastAsia" w:ascii="仿宋" w:hAnsi="仿宋" w:eastAsia="仿宋"/>
          <w:color w:val="111F2C"/>
          <w:sz w:val="28"/>
          <w:szCs w:val="28"/>
          <w:highlight w:val="none"/>
          <w:shd w:val="clear" w:color="auto" w:fill="FFFFFF"/>
        </w:rPr>
      </w:pPr>
      <w:r>
        <w:rPr>
          <w:rFonts w:hint="eastAsia" w:ascii="仿宋" w:hAnsi="仿宋" w:eastAsia="仿宋"/>
          <w:color w:val="111F2C"/>
          <w:sz w:val="28"/>
          <w:szCs w:val="28"/>
          <w:highlight w:val="none"/>
          <w:shd w:val="clear" w:color="auto" w:fill="FFFFFF"/>
        </w:rPr>
        <w:t>6.1 经费</w:t>
      </w:r>
    </w:p>
    <w:p>
      <w:pPr>
        <w:adjustRightInd w:val="0"/>
        <w:snapToGrid w:val="0"/>
        <w:spacing w:line="500" w:lineRule="exact"/>
        <w:ind w:firstLine="560" w:firstLineChars="200"/>
      </w:pPr>
      <w:r>
        <w:rPr>
          <w:rFonts w:hint="eastAsia" w:ascii="仿宋" w:hAnsi="仿宋" w:eastAsia="仿宋"/>
          <w:color w:val="111F2C"/>
          <w:sz w:val="28"/>
          <w:szCs w:val="28"/>
          <w:highlight w:val="none"/>
          <w:shd w:val="clear" w:color="auto" w:fill="FFFFFF"/>
          <w:lang w:val="en-US" w:eastAsia="zh-CN"/>
        </w:rPr>
        <w:t>有稳定的教育经费来源，学校基本建设、大型设备添置纳入举办者的预算。年生均公用经费高于当地普通高中生均公用经费的1.5倍以上，并做到逐步增加</w:t>
      </w:r>
      <w:r>
        <w:rPr>
          <w:rFonts w:hint="eastAsia" w:ascii="仿宋" w:hAnsi="仿宋" w:eastAsia="仿宋" w:cs="仿宋"/>
          <w:sz w:val="28"/>
          <w:szCs w:val="28"/>
          <w:lang w:val="en-US" w:eastAsia="zh-CN"/>
        </w:rPr>
        <w:t>。学校已形成多渠道筹措经费的机制。对中央财政、省财政支持项目，举办者按规定足额落实配套经费。2020年我校生</w:t>
      </w:r>
      <w:r>
        <w:rPr>
          <w:rFonts w:hint="default" w:ascii="仿宋" w:hAnsi="仿宋" w:eastAsia="仿宋" w:cs="仿宋"/>
          <w:sz w:val="28"/>
          <w:szCs w:val="28"/>
          <w:lang w:eastAsia="zh-CN"/>
        </w:rPr>
        <w:t>3811</w:t>
      </w:r>
      <w:r>
        <w:rPr>
          <w:rFonts w:hint="eastAsia" w:ascii="仿宋" w:hAnsi="仿宋" w:eastAsia="仿宋" w:cs="仿宋"/>
          <w:sz w:val="28"/>
          <w:szCs w:val="28"/>
          <w:lang w:val="en-US" w:eastAsia="zh-CN"/>
        </w:rPr>
        <w:t>元/人 。</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6.2政策措施</w:t>
      </w:r>
    </w:p>
    <w:p>
      <w:pPr>
        <w:adjustRightInd w:val="0"/>
        <w:snapToGrid w:val="0"/>
        <w:spacing w:line="500" w:lineRule="exact"/>
        <w:ind w:firstLine="560" w:firstLineChars="200"/>
        <w:rPr>
          <w:rFonts w:hint="default"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县教育局积极赋予和落实职业学校的办学自主权，在全教育系统教师编制十分紧张的情况下，优先保证职业学校的教师需求，尤其在专业教师的引进和招聘上，给予政策倾斜。县政府出台校企合作资助政策，每年安排不少于200万元的专项资金，奖励合作企业和学校。评选了七家县教育型企业，并给予5万元的奖励，企业推动校企合作和产教融合，服务地方经济建设。</w:t>
      </w:r>
    </w:p>
    <w:p>
      <w:pPr>
        <w:numPr>
          <w:ilvl w:val="0"/>
          <w:numId w:val="1"/>
        </w:numPr>
        <w:adjustRightInd w:val="0"/>
        <w:snapToGrid w:val="0"/>
        <w:spacing w:line="500" w:lineRule="exact"/>
        <w:rPr>
          <w:rFonts w:hint="eastAsia" w:ascii="仿宋" w:hAnsi="仿宋" w:eastAsia="仿宋"/>
          <w:b/>
          <w:bCs/>
          <w:color w:val="111F2C"/>
          <w:sz w:val="30"/>
          <w:szCs w:val="30"/>
          <w:highlight w:val="none"/>
          <w:shd w:val="clear" w:color="auto" w:fill="FFFFFF"/>
          <w:lang w:val="en-US" w:eastAsia="zh-CN"/>
        </w:rPr>
      </w:pPr>
      <w:r>
        <w:rPr>
          <w:rFonts w:hint="eastAsia" w:ascii="仿宋" w:hAnsi="仿宋" w:eastAsia="仿宋"/>
          <w:b/>
          <w:bCs/>
          <w:color w:val="111F2C"/>
          <w:sz w:val="30"/>
          <w:szCs w:val="30"/>
          <w:highlight w:val="none"/>
          <w:shd w:val="clear" w:color="auto" w:fill="FFFFFF"/>
          <w:lang w:val="en-US" w:eastAsia="zh-CN"/>
        </w:rPr>
        <w:t>特色创新</w:t>
      </w:r>
    </w:p>
    <w:p>
      <w:pPr>
        <w:jc w:val="center"/>
        <w:rPr>
          <w:b/>
          <w:bCs/>
          <w:sz w:val="32"/>
          <w:szCs w:val="32"/>
        </w:rPr>
      </w:pPr>
      <w:r>
        <w:rPr>
          <w:rFonts w:hint="eastAsia"/>
          <w:b/>
          <w:bCs/>
          <w:sz w:val="32"/>
          <w:szCs w:val="32"/>
        </w:rPr>
        <w:t>以“一站式”培训服务促核电高端人才培育</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创新教育培训服务供给，职业院校对于服务社会以及服务区域经济发展有着极其重要的作用，职业学校开展面向社会、企业的职业培训和技术服务是现代职业教育的需要,是时代发展的迫切要求。“一站式”培训服务是我校与核电系统的双强组合，核电高端人才培训项目是我校培训的一张金名片，是我校多年来秉承企业培训走高端特色化的新要求，是“领航”海盐高端技能人才的培养新范式，是实现海盐大教育助力海盐经济社会转型升级发展的新气象。</w:t>
      </w:r>
    </w:p>
    <w:p>
      <w:pPr>
        <w:adjustRightInd w:val="0"/>
        <w:snapToGrid w:val="0"/>
        <w:spacing w:line="500" w:lineRule="exact"/>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一、校企优势为合作奠定坚实基础</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海盐县理工学校发挥自身专业优势，以服务当地经济、服务社会发展为宗旨、以对接海盐产业，是广受企业赞誉的“同心校”。从11年来，面向社会培训共举办各类培训班952个，参训学员69080人，近三年来每年参加教育培训学员人数超过万人，学校现已成为全县劳动力培训的主战场，为海盐培养了大批敬业守信，具有一技之长的技能人才，为海盐的发展提供了强有力的人才支撑。先后获得浙江省优秀职工教育培训基地、嘉兴市“十佳培训机构”、连续六年荣获嘉兴市农村劳动力培训先进基地，连续七年获海盐县农村劳动力培训考核一等奖等荣誉称号。</w:t>
      </w:r>
    </w:p>
    <w:p>
      <w:pPr>
        <w:adjustRightInd w:val="0"/>
        <w:snapToGrid w:val="0"/>
        <w:spacing w:line="500" w:lineRule="exact"/>
        <w:ind w:firstLine="560" w:firstLineChars="200"/>
        <w:rPr>
          <w:rFonts w:ascii="仿宋_GB2312" w:hAnsi="Times New Roman" w:eastAsia="仿宋_GB2312" w:cs="Times New Roman"/>
          <w:bCs/>
          <w:kern w:val="0"/>
          <w:sz w:val="30"/>
          <w:szCs w:val="30"/>
          <w:lang w:bidi="ar"/>
        </w:rPr>
      </w:pPr>
      <w:r>
        <w:rPr>
          <w:rFonts w:hint="eastAsia" w:ascii="仿宋" w:hAnsi="仿宋" w:eastAsia="仿宋"/>
          <w:color w:val="111F2C"/>
          <w:sz w:val="28"/>
          <w:szCs w:val="28"/>
          <w:highlight w:val="none"/>
          <w:shd w:val="clear" w:color="auto" w:fill="FFFFFF"/>
          <w:lang w:val="en-US" w:eastAsia="zh-CN"/>
        </w:rPr>
        <w:t>核电是海盐的名片，自1985年3月20日我国大陆首台核电机组在这里开工建设以来，秦山核电基地成功实现了“中国核电</w:t>
      </w:r>
      <w:r>
        <w:rPr>
          <w:rFonts w:hint="eastAsia" w:ascii="仿宋_GB2312" w:hAnsi="Times New Roman" w:eastAsia="仿宋_GB2312" w:cs="Times New Roman"/>
          <w:bCs/>
          <w:kern w:val="0"/>
          <w:sz w:val="30"/>
          <w:szCs w:val="30"/>
          <w:lang w:bidi="ar"/>
        </w:rPr>
        <w:t>从这里起步”、“走出一条核电国产化道路”、“核电工程管理与国际接轨”的过程，为我国核电事业发展奠定了坚实基础。历经</w:t>
      </w:r>
      <w:r>
        <w:rPr>
          <w:rFonts w:ascii="仿宋_GB2312" w:hAnsi="Times New Roman" w:eastAsia="仿宋_GB2312" w:cs="Times New Roman"/>
          <w:bCs/>
          <w:kern w:val="0"/>
          <w:sz w:val="30"/>
          <w:szCs w:val="30"/>
          <w:lang w:bidi="ar"/>
        </w:rPr>
        <w:t>36</w:t>
      </w:r>
      <w:r>
        <w:rPr>
          <w:rFonts w:hint="eastAsia" w:ascii="仿宋_GB2312" w:hAnsi="Times New Roman" w:eastAsia="仿宋_GB2312" w:cs="Times New Roman"/>
          <w:bCs/>
          <w:kern w:val="0"/>
          <w:sz w:val="30"/>
          <w:szCs w:val="30"/>
          <w:lang w:bidi="ar"/>
        </w:rPr>
        <w:t>年的发展，秦山核电已成为我国重要的核电生产基地和核电国产化的示范基地。目前，秦山核电是世界上唯一多机组、多堆型、多业主的核电基地，目前在海盐的核电正式职工有近六千人，为核电服务的员工近万人。海盐核电也是全国各核电基地管理人才和技能人才输出与培训基地。</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二、“一站式”培训服务策略与实现途径</w:t>
      </w:r>
    </w:p>
    <w:p>
      <w:pPr>
        <w:adjustRightInd w:val="0"/>
        <w:snapToGrid w:val="0"/>
        <w:spacing w:line="500" w:lineRule="exact"/>
        <w:ind w:firstLine="600" w:firstLineChars="200"/>
        <w:rPr>
          <w:rFonts w:hint="eastAsia" w:ascii="仿宋_GB2312" w:hAnsi="Times New Roman" w:eastAsia="仿宋_GB2312" w:cs="Times New Roman"/>
          <w:bCs/>
          <w:kern w:val="0"/>
          <w:sz w:val="30"/>
          <w:szCs w:val="30"/>
          <w:lang w:bidi="ar"/>
        </w:rPr>
      </w:pPr>
      <w:r>
        <w:rPr>
          <w:rFonts w:hint="eastAsia" w:ascii="仿宋_GB2312" w:hAnsi="Times New Roman" w:eastAsia="仿宋_GB2312" w:cs="Times New Roman"/>
          <w:bCs/>
          <w:kern w:val="0"/>
          <w:sz w:val="30"/>
          <w:szCs w:val="30"/>
          <w:lang w:bidi="ar"/>
        </w:rPr>
        <w:t>“一站式”培训服务是我校面向核电系统新员工提供的综合性培训项目，涵盖核电运维系统中的核心课程与相关基本技能，促成高端人才的专业发展。</w:t>
      </w:r>
    </w:p>
    <w:p>
      <w:pPr>
        <w:adjustRightInd w:val="0"/>
        <w:snapToGrid w:val="0"/>
        <w:spacing w:line="500" w:lineRule="exact"/>
        <w:ind w:firstLine="560" w:firstLineChars="200"/>
        <w:rPr>
          <w:rFonts w:hint="eastAsia"/>
          <w:b w:val="0"/>
          <w:bCs w:val="0"/>
          <w:sz w:val="28"/>
          <w:szCs w:val="28"/>
        </w:rPr>
      </w:pPr>
      <w:r>
        <w:rPr>
          <w:rFonts w:hint="eastAsia"/>
          <w:b w:val="0"/>
          <w:bCs w:val="0"/>
          <w:sz w:val="28"/>
          <w:szCs w:val="28"/>
        </w:rPr>
        <w:t>1</w:t>
      </w:r>
      <w:r>
        <w:rPr>
          <w:b w:val="0"/>
          <w:bCs w:val="0"/>
          <w:sz w:val="28"/>
          <w:szCs w:val="28"/>
        </w:rPr>
        <w:t>.</w:t>
      </w:r>
      <w:r>
        <w:rPr>
          <w:rFonts w:hint="eastAsia"/>
          <w:b w:val="0"/>
          <w:bCs w:val="0"/>
          <w:sz w:val="28"/>
          <w:szCs w:val="28"/>
        </w:rPr>
        <w:t>以专班形式实现“无间隙”组织管理</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核电相关培训作为学校的特色重点培训项目，根据核电培训多工种、高要求的特点，海盐县理工学校成立专门培训领导小组、项目实施小组。对接核电，充分与企业商议沟通，构建培训课程体系，整合培训资源，合力开展核电项目培训。</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每年接受中核核电运行新工培训任务后，学校高度重视，核电项目开班前，中核核电运行培训处与学校面对面多次沟通，就核电项目培训课程设置、培训改进、培训安排多方面进行深入交流，同时专门安排核电维修处专家与学校骨干培训师资就课程安排沟通交流会，适时开展校企联席会议，解决难点与问题。</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核电关联培训项目组织管理力求严谨。项目确定后，成立核电培训校领导小组，确定培训方案与分工，并召开校长、学校高层会议，就核电培训项目统一思想、制定特别政策，统筹任课老师的安排，相关实训工场优先级安排，召开全体培训老师与班主任老师会议，明确各自任务与要求，强调培训纪律，并特别制定本次培训老师与班主任工作制度。培训过程中召开学校主管部长、主带老师协商会，商讨完善培训过程中出现的新情况与变化，组建并定期召开培训班班委会，听参训员工培训的心声与反映，近距离的交流，更了解新工的学情，培训中心对老师的培训课程、教学有一手的认识，确保培训按计划有序有效进行。</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培训进行时，核电培训处领导随时来校观察指导，并组织专家专门听课并评估培训课程效果，专家组会深入课堂，听老师讲课、观师生互动，察学生实训，从基础信息、培训准备、讲解、绩效评价、后续措施等方面进行细致评估；并利用课间时间对学员进行访谈；最后召开评估后会议，就此次评估情况及时向学校反馈，双方形成良好互动。</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正因为项目很好的规划与严密的组织管理与高度关注培训细节管理，实施核电实际、实战、实效“三实课堂”，每年的核电相关培训均有条不紊的进行。</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2.落实教学硬条件，保障项目实施</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核电新员工的培训，其课程紧密结合核电运维等实践岗位的需求，为此需要建设完善教学条件，保障项目实施。</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项目由学校牵头，统筹规划，并制定核电相关培训每个班的方案，组织落实培训经费。三年来秦山核电、中国核建等公司安排356.5万元专款，并制定专款专用方案，项目经费固定且充裕。为更好完成核电项目，学校还专门投入资金80多万元，提升教室与实训室硬件条件，符合核电技能和核电安全培训要求，能很好满足海盐县核电相关培训的实际需求。</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硬件设备上，充分拓展机械、电子、电气等专业实训室的功能，添置核电培训专业的设备、工器具等，保障教学任务的开展。</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3.精心组建授课团队，保障培训质量</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项目实施中，学校精心选派44名专业教师担任核电相关培训：其中高级教师占15名，占34.1%。聘请学校专业机械、电子电气专业负责人参与制定培训模块，聘请核电专家指导培训内容。教学团队成员均为双师型教师，均具有高级工及以上技能等级证书。同时学校又安排12名专职人员担任项目管理，项目队伍实力强大。随着项目的深入推进，学校积极应对变化，用以老带新的方法培养更多的专业教师充实到教学团队中。</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4.立足项目要点，共建课程资源</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学校根据核电项目要点，以前两年核电通用的技能培训为基础，根据教学实施情况，对核电通用课程进行评估、优化，又与核电技能培训处相关专家共同交流、修改、审定，开发了核电通用技能三册培训教材，分别为“机械专业通用知识培训课程”、“电气专业通用知识培训课程”“仪控专业通用知识培训课程”，课程科目按编码编制，力求系统、实用、规范。</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立足精品，进一步做好配套课程资源的建设。撰写具有核电特色的教案，制作了相应授课课件，组建了各模块的配套题库。引进微课、微视频制作软件，提升教学信息化水平建设。</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5.落实课堂转型，贯通</w:t>
      </w:r>
      <w:bookmarkStart w:id="2" w:name="_Hlk62044956"/>
      <w:r>
        <w:rPr>
          <w:rFonts w:hint="eastAsia" w:ascii="仿宋" w:hAnsi="仿宋" w:eastAsia="仿宋"/>
          <w:color w:val="111F2C"/>
          <w:sz w:val="28"/>
          <w:szCs w:val="28"/>
          <w:highlight w:val="none"/>
          <w:shd w:val="clear" w:color="auto" w:fill="FFFFFF"/>
          <w:lang w:val="en-US" w:eastAsia="zh-CN"/>
        </w:rPr>
        <w:t>知行合一</w:t>
      </w:r>
      <w:bookmarkEnd w:id="2"/>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围绕核心培训任务，变革课堂教学模式，不断探索和实施新型教学模式。通过“知行合一”研究活动，不断探索课堂学习理论和持续改进教学实践，不断扩大项目教学、案例教学、启发式教学、理实一体化的教学等课堂教学模式的使用。加强课堂师生互动，突出学生主体地位，不断提高核心素养培养课堂教学主渠道的作用。注重专业教学过程与实际生产的对接，强调教学过程的实践性、开放性和职业性，注重调动学生学习的自主性和积极性。</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核电新工的培养目标是培养现场动手能力，又具有很强的专业技能，能把先进的科学技术转化为现实生产力的技术型、应用型技能人才。培训方案突出“理实合一”，将培训理论课与核级技能实操课进行组合教学，以技能操作课占70%，实现理论教学与实践动手一体化；以技能训练为中心，配制相关的理论知识构成教学模块，并由一位教师同时担任理论教学和实习指导，从而保证二者同步进行，理论指导实践，而实践操作又加深对理论知识的理解，使知识与技能掌握更加牢固。</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制定相应系统、规范的管理制度与工作流程，建立教学质量监控体系，进一步健全教学督查和评价制度，确保核电培训项目高效开展。通过“理实合一”培训，使参训学员从不知到熟悉，从生疏到熟练，较好达成核电新员工技能的要求。</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6.发挥资源优势，扩宽社会服务空间</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学校开展企业培训服务沿袭一贯“俯下身”的传统，对核电相关培训一直践行服务第一，不断提升服务水平与能力，相关工作人员在培训中以高标准要求，实实在在为核电员工服务。东方核电公司现大量员工在全国各核电基地安装施工，学校近三年每年派出专业师资与工作人员南下海南昌江核电、福建福清核电、北上江苏连云港核电、山东荣成核电上门培训新安全技能，真正做到服务到家。</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三、成效显著赢赞誉</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学校“一站式”培训服务的模式，解决了企业集中培训的难题，向企业交上了一份完美的答卷。2007年至今，已对核电相关技能、安全专题培训开设54个班级，参加培训核电相关员工有48761人次，培训课时达到7916个，培训项目包括维修电工、电气仪表检修、机械设备检修、仪表工等多工种，双方合作取得良好效果。</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特别是2014年核电紧密型合作培训项目开展以来，2014年至2016年三年以来，海盐理工学校已经开设核电员工技能培训班34个，培训3790个课时，参训核电员工1312人（达到22585人次），其中1283人获得维修电工等职业技能等级证书（或上岗证），技能等级证书培训取证率97.8%，其中获得中级工及以上职业技能等级占65.3%。</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特别是连续三年通过开展中核核电维修领域新员工通用技能二个月成长班培训，共有206名核电新员工参加（13393人次），新工多为985、211大学应届毕业生，分为电气、机械、仪控等工种，培训课时达到2830课时，新工通过学校培训取得显著成长。2016年广东的中核建集团也慕名来校，选派核电42名新员工来校进行近一个月360课的通用技能培训。</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项目的展开体现了海盐的“名名”合作，是学校培训向高端特色发展的缩影，“领航”海盐高端技能人才的培养。</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中核核电运副总经理邹正宇在考察培训工作后说：“学校能充分发挥地域、师资、场地优势，新工培训已经形成中核核电的典型标准模板。”刘崇都副总经理也多次对核电新工培训工作给予高度评价，并亲自在学校为新工授课。</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2015年学校何永香校长就学校社会培训工作在全省职教名校长论坛上作经验介绍。学校对核电员工技能培训项目，受到政府、教育主管部门高度关注，相关新闻相关新闻在嘉兴日报、嘉兴在线报道，海盐教育网报道。</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四、展望</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展望将来，随着海盐·中国核电城、“核电小镇”的建设推进，海盐县不仅集聚了中核核电、东方核电等央企龙头企业，同时本土企业也积极朝“入核”发展，推动产品提质创优，推动产业转型升级，并涌现出电渣核材、佳乐科仪、力源环保科技、博凡动力、万纳神核、浙江科路等一批位居细分行业前列的民营企业。</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r>
        <w:rPr>
          <w:rFonts w:hint="eastAsia" w:ascii="仿宋" w:hAnsi="仿宋" w:eastAsia="仿宋"/>
          <w:color w:val="111F2C"/>
          <w:sz w:val="28"/>
          <w:szCs w:val="28"/>
          <w:highlight w:val="none"/>
          <w:shd w:val="clear" w:color="auto" w:fill="FFFFFF"/>
          <w:lang w:val="en-US" w:eastAsia="zh-CN"/>
        </w:rPr>
        <w:t>回顾几年来的历程，学校不断创新理念、加强学校软硬件等内涵建设，努力提升办学实力和人才培养质量，不断整合资源，并以各种资源作基础条件，开拓路径，创新模式，根据区域本土化特色优势产业的需求，开拓出一种特色优势产业引导特色培训之路，充分发挥学校在服务社会功能方面的示范和引领作用，促进了区域经济的发展。在此过程中，学校的各项事业也取得了长足的进步，得到社会的认可，为自身发展赢得了更广阔的空间。</w:t>
      </w:r>
    </w:p>
    <w:p>
      <w:pPr>
        <w:adjustRightInd w:val="0"/>
        <w:snapToGrid w:val="0"/>
        <w:spacing w:line="500" w:lineRule="exact"/>
        <w:rPr>
          <w:rFonts w:hint="eastAsia" w:ascii="仿宋" w:hAnsi="仿宋" w:eastAsia="仿宋"/>
          <w:b/>
          <w:bCs/>
          <w:color w:val="111F2C"/>
          <w:sz w:val="30"/>
          <w:szCs w:val="30"/>
          <w:highlight w:val="none"/>
          <w:shd w:val="clear" w:color="auto" w:fill="FFFFFF"/>
          <w:lang w:val="en-US" w:eastAsia="zh-CN"/>
        </w:rPr>
      </w:pPr>
      <w:r>
        <w:rPr>
          <w:rFonts w:hint="eastAsia" w:ascii="仿宋" w:hAnsi="仿宋" w:eastAsia="仿宋"/>
          <w:b/>
          <w:bCs/>
          <w:color w:val="111F2C"/>
          <w:sz w:val="30"/>
          <w:szCs w:val="30"/>
          <w:highlight w:val="none"/>
          <w:shd w:val="clear" w:color="auto" w:fill="FFFFFF"/>
          <w:lang w:val="en-US" w:eastAsia="zh-CN"/>
        </w:rPr>
        <w:t>8.主要问题和改进措施</w:t>
      </w: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bookmarkStart w:id="3" w:name="_Toc1633"/>
      <w:r>
        <w:rPr>
          <w:rFonts w:hint="eastAsia" w:ascii="仿宋" w:hAnsi="仿宋" w:eastAsia="仿宋"/>
          <w:color w:val="111F2C"/>
          <w:sz w:val="28"/>
          <w:szCs w:val="28"/>
          <w:highlight w:val="none"/>
          <w:shd w:val="clear" w:color="auto" w:fill="FFFFFF"/>
          <w:lang w:val="en-US" w:eastAsia="zh-CN"/>
        </w:rPr>
        <w:t>一是高水平专业教师数量还较缺乏，教师队伍的综合素质还有待提升；</w:t>
      </w:r>
      <w:bookmarkEnd w:id="3"/>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bookmarkStart w:id="4" w:name="_Toc20753"/>
      <w:r>
        <w:rPr>
          <w:rFonts w:hint="eastAsia" w:ascii="仿宋" w:hAnsi="仿宋" w:eastAsia="仿宋"/>
          <w:color w:val="111F2C"/>
          <w:sz w:val="28"/>
          <w:szCs w:val="28"/>
          <w:highlight w:val="none"/>
          <w:shd w:val="clear" w:color="auto" w:fill="FFFFFF"/>
          <w:lang w:val="en-US" w:eastAsia="zh-CN"/>
        </w:rPr>
        <w:t>二是课堂教学改革还有待进一步深入，特别是如何实施好专业课堂教学工作上，在教学手段上还要改进；</w:t>
      </w:r>
      <w:bookmarkEnd w:id="4"/>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bookmarkStart w:id="5" w:name="_Toc9508"/>
      <w:r>
        <w:rPr>
          <w:rFonts w:hint="eastAsia" w:ascii="仿宋" w:hAnsi="仿宋" w:eastAsia="仿宋"/>
          <w:color w:val="111F2C"/>
          <w:sz w:val="28"/>
          <w:szCs w:val="28"/>
          <w:highlight w:val="none"/>
          <w:shd w:val="clear" w:color="auto" w:fill="FFFFFF"/>
          <w:lang w:val="en-US" w:eastAsia="zh-CN"/>
        </w:rPr>
        <w:t>三是骨干专业建设还要强化，要确保在市域范围乃至全省的示范作用；</w:t>
      </w:r>
      <w:bookmarkEnd w:id="5"/>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bookmarkStart w:id="6" w:name="_Toc7925"/>
      <w:r>
        <w:rPr>
          <w:rFonts w:hint="eastAsia" w:ascii="仿宋" w:hAnsi="仿宋" w:eastAsia="仿宋"/>
          <w:color w:val="111F2C"/>
          <w:sz w:val="28"/>
          <w:szCs w:val="28"/>
          <w:highlight w:val="none"/>
          <w:shd w:val="clear" w:color="auto" w:fill="FFFFFF"/>
          <w:lang w:val="en-US" w:eastAsia="zh-CN"/>
        </w:rPr>
        <w:t>四是技能大赛还有待突破，要缩小与省内领先学校的差距，争取在国赛更进一步，争取在世赛上零的突破；</w:t>
      </w:r>
      <w:bookmarkEnd w:id="6"/>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bookmarkStart w:id="7" w:name="_Toc22548"/>
      <w:r>
        <w:rPr>
          <w:rFonts w:hint="eastAsia" w:ascii="仿宋" w:hAnsi="仿宋" w:eastAsia="仿宋"/>
          <w:color w:val="111F2C"/>
          <w:sz w:val="28"/>
          <w:szCs w:val="28"/>
          <w:highlight w:val="none"/>
          <w:shd w:val="clear" w:color="auto" w:fill="FFFFFF"/>
          <w:lang w:val="en-US" w:eastAsia="zh-CN"/>
        </w:rPr>
        <w:t>五是校园文化还需加强顶层设计，文化内涵还要进一步提升。</w:t>
      </w:r>
      <w:bookmarkEnd w:id="7"/>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p>
    <w:p>
      <w:pPr>
        <w:adjustRightInd w:val="0"/>
        <w:snapToGrid w:val="0"/>
        <w:spacing w:line="500" w:lineRule="exact"/>
        <w:ind w:firstLine="560" w:firstLineChars="200"/>
        <w:rPr>
          <w:rFonts w:hint="eastAsia" w:ascii="仿宋" w:hAnsi="仿宋" w:eastAsia="仿宋"/>
          <w:color w:val="111F2C"/>
          <w:sz w:val="28"/>
          <w:szCs w:val="28"/>
          <w:highlight w:val="none"/>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64ECE"/>
    <w:multiLevelType w:val="singleLevel"/>
    <w:tmpl w:val="52264ECE"/>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C54C9"/>
    <w:rsid w:val="068A473D"/>
    <w:rsid w:val="2480145F"/>
    <w:rsid w:val="24DC54C9"/>
    <w:rsid w:val="2B1C6562"/>
    <w:rsid w:val="4C6B154D"/>
    <w:rsid w:val="525F7973"/>
    <w:rsid w:val="5C921B2B"/>
    <w:rsid w:val="77FF0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在校生</c:v>
                </c:pt>
              </c:strCache>
            </c:strRef>
          </c:tx>
          <c:invertIfNegative val="0"/>
          <c:dLbls>
            <c:delete val="1"/>
          </c:dLbls>
          <c:cat>
            <c:strRef>
              <c:f>Sheet1!$A$2:$A$3</c:f>
              <c:strCache>
                <c:ptCount val="2"/>
                <c:pt idx="0">
                  <c:v>2018-2019</c:v>
                </c:pt>
                <c:pt idx="1">
                  <c:v>2019-2020</c:v>
                </c:pt>
              </c:strCache>
            </c:strRef>
          </c:cat>
          <c:val>
            <c:numRef>
              <c:f>Sheet1!$B$2:$B$3</c:f>
              <c:numCache>
                <c:formatCode>General</c:formatCode>
                <c:ptCount val="2"/>
                <c:pt idx="0">
                  <c:v>2784</c:v>
                </c:pt>
                <c:pt idx="1">
                  <c:v>2754</c:v>
                </c:pt>
              </c:numCache>
            </c:numRef>
          </c:val>
        </c:ser>
        <c:ser>
          <c:idx val="1"/>
          <c:order val="1"/>
          <c:tx>
            <c:strRef>
              <c:f>Sheet1!$C$1</c:f>
              <c:strCache>
                <c:ptCount val="1"/>
                <c:pt idx="0">
                  <c:v>专任教师</c:v>
                </c:pt>
              </c:strCache>
            </c:strRef>
          </c:tx>
          <c:invertIfNegative val="0"/>
          <c:dLbls>
            <c:delete val="1"/>
          </c:dLbls>
          <c:cat>
            <c:strRef>
              <c:f>Sheet1!$A$2:$A$3</c:f>
              <c:strCache>
                <c:ptCount val="2"/>
                <c:pt idx="0">
                  <c:v>2018-2019</c:v>
                </c:pt>
                <c:pt idx="1">
                  <c:v>2019-2020</c:v>
                </c:pt>
              </c:strCache>
            </c:strRef>
          </c:cat>
          <c:val>
            <c:numRef>
              <c:f>Sheet1!$C$2:$C$3</c:f>
              <c:numCache>
                <c:formatCode>General</c:formatCode>
                <c:ptCount val="2"/>
                <c:pt idx="0">
                  <c:v>205</c:v>
                </c:pt>
                <c:pt idx="1">
                  <c:v>206</c:v>
                </c:pt>
              </c:numCache>
            </c:numRef>
          </c:val>
        </c:ser>
        <c:dLbls>
          <c:showLegendKey val="0"/>
          <c:showVal val="0"/>
          <c:showCatName val="0"/>
          <c:showSerName val="0"/>
          <c:showPercent val="0"/>
          <c:showBubbleSize val="0"/>
        </c:dLbls>
        <c:gapWidth val="150"/>
        <c:axId val="141905280"/>
        <c:axId val="213111936"/>
      </c:barChart>
      <c:catAx>
        <c:axId val="1419052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3111936"/>
        <c:crosses val="autoZero"/>
        <c:auto val="1"/>
        <c:lblAlgn val="ctr"/>
        <c:lblOffset val="100"/>
        <c:noMultiLvlLbl val="0"/>
      </c:catAx>
      <c:valAx>
        <c:axId val="2131119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190528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2018-2019</c:v>
                </c:pt>
              </c:strCache>
            </c:strRef>
          </c:tx>
          <c:invertIfNegative val="0"/>
          <c:dLbls>
            <c:delete val="1"/>
          </c:dLbls>
          <c:cat>
            <c:strRef>
              <c:f>Sheet1!$A$2:$A$7</c:f>
              <c:strCache>
                <c:ptCount val="6"/>
                <c:pt idx="0">
                  <c:v>专任教师</c:v>
                </c:pt>
                <c:pt idx="1">
                  <c:v>专业课教师</c:v>
                </c:pt>
                <c:pt idx="2">
                  <c:v>“双师型”教师</c:v>
                </c:pt>
                <c:pt idx="3">
                  <c:v>本科以上学历教师</c:v>
                </c:pt>
                <c:pt idx="4">
                  <c:v>硕士以上学历教师</c:v>
                </c:pt>
                <c:pt idx="5">
                  <c:v>高级职称</c:v>
                </c:pt>
              </c:strCache>
            </c:strRef>
          </c:cat>
          <c:val>
            <c:numRef>
              <c:f>Sheet1!$B$2:$B$7</c:f>
              <c:numCache>
                <c:formatCode>General</c:formatCode>
                <c:ptCount val="6"/>
                <c:pt idx="0">
                  <c:v>205</c:v>
                </c:pt>
                <c:pt idx="1">
                  <c:v>120</c:v>
                </c:pt>
                <c:pt idx="2">
                  <c:v>102</c:v>
                </c:pt>
                <c:pt idx="3">
                  <c:v>194</c:v>
                </c:pt>
                <c:pt idx="4">
                  <c:v>5</c:v>
                </c:pt>
                <c:pt idx="5">
                  <c:v>63</c:v>
                </c:pt>
              </c:numCache>
            </c:numRef>
          </c:val>
        </c:ser>
        <c:ser>
          <c:idx val="1"/>
          <c:order val="1"/>
          <c:tx>
            <c:strRef>
              <c:f>Sheet1!$C$1</c:f>
              <c:strCache>
                <c:ptCount val="1"/>
                <c:pt idx="0">
                  <c:v>2019-2020</c:v>
                </c:pt>
              </c:strCache>
            </c:strRef>
          </c:tx>
          <c:invertIfNegative val="0"/>
          <c:dLbls>
            <c:delete val="1"/>
          </c:dLbls>
          <c:cat>
            <c:strRef>
              <c:f>Sheet1!$A$2:$A$7</c:f>
              <c:strCache>
                <c:ptCount val="6"/>
                <c:pt idx="0">
                  <c:v>专任教师</c:v>
                </c:pt>
                <c:pt idx="1">
                  <c:v>专业课教师</c:v>
                </c:pt>
                <c:pt idx="2">
                  <c:v>“双师型”教师</c:v>
                </c:pt>
                <c:pt idx="3">
                  <c:v>本科以上学历教师</c:v>
                </c:pt>
                <c:pt idx="4">
                  <c:v>硕士以上学历教师</c:v>
                </c:pt>
                <c:pt idx="5">
                  <c:v>高级职称</c:v>
                </c:pt>
              </c:strCache>
            </c:strRef>
          </c:cat>
          <c:val>
            <c:numRef>
              <c:f>Sheet1!$C$2:$C$7</c:f>
              <c:numCache>
                <c:formatCode>General</c:formatCode>
                <c:ptCount val="6"/>
                <c:pt idx="0">
                  <c:v>206</c:v>
                </c:pt>
                <c:pt idx="1">
                  <c:v>123</c:v>
                </c:pt>
                <c:pt idx="2">
                  <c:v>103</c:v>
                </c:pt>
                <c:pt idx="3">
                  <c:v>192</c:v>
                </c:pt>
                <c:pt idx="4">
                  <c:v>8</c:v>
                </c:pt>
                <c:pt idx="5">
                  <c:v>63</c:v>
                </c:pt>
              </c:numCache>
            </c:numRef>
          </c:val>
        </c:ser>
        <c:dLbls>
          <c:showLegendKey val="0"/>
          <c:showVal val="0"/>
          <c:showCatName val="0"/>
          <c:showSerName val="0"/>
          <c:showPercent val="0"/>
          <c:showBubbleSize val="0"/>
        </c:dLbls>
        <c:gapWidth val="150"/>
        <c:axId val="213144704"/>
        <c:axId val="213146240"/>
      </c:barChart>
      <c:catAx>
        <c:axId val="2131447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3146240"/>
        <c:crosses val="autoZero"/>
        <c:auto val="1"/>
        <c:lblAlgn val="ctr"/>
        <c:lblOffset val="100"/>
        <c:noMultiLvlLbl val="0"/>
      </c:catAx>
      <c:valAx>
        <c:axId val="2131462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31447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2021-01-19T11:06:00Z</dcterms:created>
  <dc:creator>LG11</dc:creator>
  <cp:lastModifiedBy>LG11</cp:lastModifiedBy>
  <dcterms:modified xsi:type="dcterms:W3CDTF">2021-01-21T07:31:45Z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