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pacing w:beforeAutospacing="0" w:afterAutospacing="0" w:line="360" w:lineRule="auto"/>
        <w:ind w:left="0" w:leftChars="0" w:right="0" w:rightChars="0" w:firstLine="0" w:firstLineChars="0"/>
        <w:jc w:val="both"/>
        <w:textAlignment w:val="auto"/>
        <w:outlineLvl w:val="9"/>
        <w:rPr>
          <w:rFonts w:hint="eastAsia"/>
          <w:b/>
          <w:bCs/>
          <w:sz w:val="44"/>
          <w:szCs w:val="44"/>
          <w:lang w:val="en-US" w:eastAsia="zh-CN"/>
        </w:rPr>
      </w:pPr>
    </w:p>
    <w:p>
      <w:pPr>
        <w:keepNext w:val="0"/>
        <w:keepLines w:val="0"/>
        <w:pageBreakBefore w:val="0"/>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hint="eastAsia"/>
          <w:b/>
          <w:bCs/>
          <w:sz w:val="44"/>
          <w:szCs w:val="44"/>
          <w:lang w:val="en-US" w:eastAsia="zh-CN"/>
        </w:rPr>
      </w:pPr>
    </w:p>
    <w:p>
      <w:pPr>
        <w:keepNext w:val="0"/>
        <w:keepLines w:val="0"/>
        <w:pageBreakBefore w:val="0"/>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hint="eastAsia"/>
          <w:b/>
          <w:bCs/>
          <w:sz w:val="52"/>
          <w:szCs w:val="52"/>
          <w:lang w:val="en-US" w:eastAsia="zh-CN"/>
        </w:rPr>
      </w:pPr>
      <w:r>
        <w:rPr>
          <w:rFonts w:hint="eastAsia"/>
          <w:b/>
          <w:bCs/>
          <w:sz w:val="52"/>
          <w:szCs w:val="52"/>
          <w:lang w:val="en-US" w:eastAsia="zh-CN"/>
        </w:rPr>
        <w:t>浦江职业技术学校</w:t>
      </w:r>
    </w:p>
    <w:p>
      <w:pPr>
        <w:keepNext w:val="0"/>
        <w:keepLines w:val="0"/>
        <w:pageBreakBefore w:val="0"/>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hint="eastAsia"/>
          <w:b/>
          <w:bCs/>
          <w:sz w:val="52"/>
          <w:szCs w:val="52"/>
          <w:lang w:val="en-US" w:eastAsia="zh-CN"/>
        </w:rPr>
      </w:pPr>
      <w:r>
        <w:rPr>
          <w:rFonts w:hint="eastAsia"/>
          <w:b/>
          <w:bCs/>
          <w:sz w:val="52"/>
          <w:szCs w:val="52"/>
          <w:lang w:val="en-US" w:eastAsia="zh-CN"/>
        </w:rPr>
        <w:t>质量年度报告</w:t>
      </w:r>
    </w:p>
    <w:p>
      <w:pPr>
        <w:keepNext w:val="0"/>
        <w:keepLines w:val="0"/>
        <w:pageBreakBefore w:val="0"/>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hint="eastAsia"/>
          <w:b/>
          <w:bCs/>
          <w:sz w:val="44"/>
          <w:szCs w:val="44"/>
          <w:lang w:val="en-US" w:eastAsia="zh-CN"/>
        </w:rPr>
      </w:pPr>
      <w:r>
        <w:rPr>
          <w:rFonts w:hint="eastAsia"/>
          <w:b/>
          <w:bCs/>
          <w:sz w:val="52"/>
          <w:szCs w:val="52"/>
          <w:lang w:val="en-US" w:eastAsia="zh-CN"/>
        </w:rPr>
        <w:t>（2020年度）</w:t>
      </w:r>
    </w:p>
    <w:p>
      <w:pPr>
        <w:keepNext w:val="0"/>
        <w:keepLines w:val="0"/>
        <w:pageBreakBefore w:val="0"/>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hint="eastAsia"/>
          <w:b/>
          <w:bCs/>
          <w:sz w:val="44"/>
          <w:szCs w:val="44"/>
          <w:lang w:val="en-US" w:eastAsia="zh-CN"/>
        </w:rPr>
      </w:pPr>
    </w:p>
    <w:p>
      <w:pPr>
        <w:keepNext w:val="0"/>
        <w:keepLines w:val="0"/>
        <w:pageBreakBefore w:val="0"/>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hint="eastAsia"/>
          <w:b/>
          <w:bCs/>
          <w:sz w:val="44"/>
          <w:szCs w:val="44"/>
          <w:lang w:val="en-US" w:eastAsia="zh-CN"/>
        </w:rPr>
      </w:pPr>
    </w:p>
    <w:p>
      <w:pPr>
        <w:keepNext w:val="0"/>
        <w:keepLines w:val="0"/>
        <w:pageBreakBefore w:val="0"/>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hint="eastAsia"/>
          <w:b/>
          <w:bCs/>
          <w:sz w:val="44"/>
          <w:szCs w:val="44"/>
          <w:lang w:val="en-US" w:eastAsia="zh-CN"/>
        </w:rPr>
      </w:pPr>
    </w:p>
    <w:p>
      <w:pPr>
        <w:keepNext w:val="0"/>
        <w:keepLines w:val="0"/>
        <w:pageBreakBefore w:val="0"/>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hint="eastAsia"/>
          <w:b/>
          <w:bCs/>
          <w:sz w:val="44"/>
          <w:szCs w:val="44"/>
          <w:lang w:val="en-US" w:eastAsia="zh-CN"/>
        </w:rPr>
      </w:pPr>
    </w:p>
    <w:p>
      <w:pPr>
        <w:keepNext w:val="0"/>
        <w:keepLines w:val="0"/>
        <w:pageBreakBefore w:val="0"/>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hint="eastAsia"/>
          <w:b/>
          <w:bCs/>
          <w:sz w:val="44"/>
          <w:szCs w:val="44"/>
          <w:lang w:val="en-US" w:eastAsia="zh-CN"/>
        </w:rPr>
      </w:pPr>
    </w:p>
    <w:p>
      <w:pPr>
        <w:keepNext w:val="0"/>
        <w:keepLines w:val="0"/>
        <w:pageBreakBefore w:val="0"/>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hint="eastAsia"/>
          <w:b/>
          <w:bCs/>
          <w:sz w:val="44"/>
          <w:szCs w:val="44"/>
          <w:lang w:val="en-US" w:eastAsia="zh-CN"/>
        </w:rPr>
      </w:pPr>
    </w:p>
    <w:p>
      <w:pPr>
        <w:keepNext w:val="0"/>
        <w:keepLines w:val="0"/>
        <w:pageBreakBefore w:val="0"/>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hint="eastAsia"/>
          <w:b/>
          <w:bCs/>
          <w:sz w:val="44"/>
          <w:szCs w:val="44"/>
          <w:lang w:val="en-US" w:eastAsia="zh-CN"/>
        </w:rPr>
      </w:pPr>
    </w:p>
    <w:p>
      <w:pPr>
        <w:keepNext w:val="0"/>
        <w:keepLines w:val="0"/>
        <w:pageBreakBefore w:val="0"/>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hint="eastAsia"/>
          <w:b/>
          <w:bCs/>
          <w:sz w:val="44"/>
          <w:szCs w:val="44"/>
          <w:lang w:val="en-US" w:eastAsia="zh-CN"/>
        </w:rPr>
      </w:pPr>
    </w:p>
    <w:p>
      <w:pPr>
        <w:keepNext w:val="0"/>
        <w:keepLines w:val="0"/>
        <w:pageBreakBefore w:val="0"/>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hint="eastAsia"/>
          <w:b/>
          <w:bCs/>
          <w:sz w:val="44"/>
          <w:szCs w:val="44"/>
          <w:lang w:val="en-US" w:eastAsia="zh-CN"/>
        </w:rPr>
      </w:pPr>
    </w:p>
    <w:p>
      <w:pPr>
        <w:keepNext w:val="0"/>
        <w:keepLines w:val="0"/>
        <w:pageBreakBefore w:val="0"/>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hint="eastAsia"/>
          <w:b/>
          <w:bCs/>
          <w:sz w:val="44"/>
          <w:szCs w:val="44"/>
          <w:lang w:val="en-US" w:eastAsia="zh-CN"/>
        </w:rPr>
      </w:pPr>
    </w:p>
    <w:p>
      <w:pPr>
        <w:keepNext w:val="0"/>
        <w:keepLines w:val="0"/>
        <w:pageBreakBefore w:val="0"/>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hint="eastAsia"/>
          <w:b/>
          <w:bCs/>
          <w:sz w:val="44"/>
          <w:szCs w:val="44"/>
          <w:lang w:val="en-US" w:eastAsia="zh-CN"/>
        </w:rPr>
      </w:pPr>
    </w:p>
    <w:p>
      <w:pPr>
        <w:keepNext w:val="0"/>
        <w:keepLines w:val="0"/>
        <w:pageBreakBefore w:val="0"/>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hint="eastAsia"/>
          <w:b/>
          <w:bCs/>
          <w:sz w:val="44"/>
          <w:szCs w:val="44"/>
          <w:lang w:val="en-US" w:eastAsia="zh-CN"/>
        </w:rPr>
      </w:pPr>
    </w:p>
    <w:p>
      <w:pPr>
        <w:keepNext w:val="0"/>
        <w:keepLines w:val="0"/>
        <w:pageBreakBefore w:val="0"/>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hint="eastAsia"/>
          <w:b/>
          <w:bCs/>
          <w:sz w:val="44"/>
          <w:szCs w:val="44"/>
          <w:lang w:val="en-US" w:eastAsia="zh-CN"/>
        </w:rPr>
      </w:pPr>
    </w:p>
    <w:p>
      <w:pPr>
        <w:keepNext w:val="0"/>
        <w:keepLines w:val="0"/>
        <w:pageBreakBefore w:val="0"/>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hint="eastAsia"/>
          <w:b/>
          <w:bCs/>
          <w:sz w:val="44"/>
          <w:szCs w:val="44"/>
          <w:lang w:val="en-US" w:eastAsia="zh-CN"/>
        </w:rPr>
      </w:pPr>
    </w:p>
    <w:p>
      <w:pPr>
        <w:keepNext w:val="0"/>
        <w:keepLines w:val="0"/>
        <w:pageBreakBefore w:val="0"/>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hint="eastAsia"/>
          <w:b/>
          <w:bCs/>
          <w:sz w:val="32"/>
          <w:szCs w:val="32"/>
          <w:lang w:val="en-US" w:eastAsia="zh-CN"/>
        </w:rPr>
      </w:pPr>
      <w:r>
        <w:rPr>
          <w:rFonts w:hint="eastAsia"/>
          <w:b/>
          <w:bCs/>
          <w:sz w:val="32"/>
          <w:szCs w:val="32"/>
          <w:lang w:val="en-US" w:eastAsia="zh-CN"/>
        </w:rPr>
        <w:t>2021年1月</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textAlignment w:val="auto"/>
        <w:outlineLvl w:val="9"/>
        <w:rPr>
          <w:rFonts w:hint="eastAsia"/>
          <w:b/>
          <w:bCs/>
          <w:sz w:val="32"/>
          <w:szCs w:val="32"/>
          <w:lang w:val="en-US" w:eastAsia="zh-CN"/>
        </w:rPr>
      </w:pPr>
    </w:p>
    <w:sdt>
      <w:sdtPr>
        <w:rPr>
          <w:rFonts w:ascii="宋体" w:hAnsi="宋体" w:eastAsia="宋体" w:cs="Times New Roman"/>
          <w:kern w:val="2"/>
          <w:sz w:val="21"/>
          <w:szCs w:val="24"/>
          <w:lang w:val="en-US" w:eastAsia="zh-CN" w:bidi="ar-SA"/>
        </w:rPr>
        <w:id w:val="147466478"/>
        <w15:color w:val="DBDBDB"/>
        <w:docPartObj>
          <w:docPartGallery w:val="Table of Contents"/>
          <w:docPartUnique/>
        </w:docPartObj>
      </w:sdtPr>
      <w:sdtEndPr>
        <w:rPr>
          <w:rFonts w:hint="eastAsia" w:ascii="Calibri" w:hAnsi="Calibri" w:eastAsia="宋体" w:cs="Times New Roman"/>
          <w:b/>
          <w:bCs/>
          <w:kern w:val="2"/>
          <w:sz w:val="21"/>
          <w:szCs w:val="32"/>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15"/>
            <w:tabs>
              <w:tab w:val="right" w:leader="dot" w:pos="8306"/>
            </w:tabs>
            <w:rPr>
              <w:b/>
            </w:rPr>
          </w:pPr>
          <w:r>
            <w:rPr>
              <w:rFonts w:hint="eastAsia"/>
              <w:b/>
              <w:bCs/>
              <w:sz w:val="32"/>
              <w:szCs w:val="32"/>
              <w:lang w:val="en-US" w:eastAsia="zh-CN"/>
            </w:rPr>
            <w:fldChar w:fldCharType="begin"/>
          </w:r>
          <w:r>
            <w:rPr>
              <w:rFonts w:hint="eastAsia"/>
              <w:b/>
              <w:bCs/>
              <w:sz w:val="32"/>
              <w:szCs w:val="32"/>
              <w:lang w:val="en-US" w:eastAsia="zh-CN"/>
            </w:rPr>
            <w:instrText xml:space="preserve">TOC \o "1-2" \h \u </w:instrText>
          </w:r>
          <w:r>
            <w:rPr>
              <w:rFonts w:hint="eastAsia"/>
              <w:b/>
              <w:bCs/>
              <w:sz w:val="32"/>
              <w:szCs w:val="32"/>
              <w:lang w:val="en-US" w:eastAsia="zh-CN"/>
            </w:rPr>
            <w:fldChar w:fldCharType="separate"/>
          </w:r>
          <w:r>
            <w:rPr>
              <w:rFonts w:hint="eastAsia"/>
              <w:b/>
              <w:bCs/>
              <w:szCs w:val="32"/>
              <w:lang w:val="en-US" w:eastAsia="zh-CN"/>
            </w:rPr>
            <w:fldChar w:fldCharType="begin"/>
          </w:r>
          <w:r>
            <w:rPr>
              <w:rFonts w:hint="eastAsia"/>
              <w:b/>
              <w:bCs/>
              <w:szCs w:val="32"/>
              <w:lang w:val="en-US" w:eastAsia="zh-CN"/>
            </w:rPr>
            <w:instrText xml:space="preserve"> HYPERLINK \l _Toc12747 </w:instrText>
          </w:r>
          <w:r>
            <w:rPr>
              <w:rFonts w:hint="eastAsia"/>
              <w:b/>
              <w:bCs/>
              <w:szCs w:val="32"/>
              <w:lang w:val="en-US" w:eastAsia="zh-CN"/>
            </w:rPr>
            <w:fldChar w:fldCharType="separate"/>
          </w:r>
          <w:r>
            <w:rPr>
              <w:rFonts w:hint="eastAsia"/>
              <w:b/>
              <w:bCs/>
              <w:szCs w:val="32"/>
              <w:lang w:val="en-US" w:eastAsia="zh-CN"/>
            </w:rPr>
            <w:t>一、基本情况</w:t>
          </w:r>
          <w:r>
            <w:rPr>
              <w:b/>
            </w:rPr>
            <w:tab/>
          </w:r>
          <w:r>
            <w:rPr>
              <w:b/>
            </w:rPr>
            <w:fldChar w:fldCharType="begin"/>
          </w:r>
          <w:r>
            <w:rPr>
              <w:b/>
            </w:rPr>
            <w:instrText xml:space="preserve"> PAGEREF _Toc12747 </w:instrText>
          </w:r>
          <w:r>
            <w:rPr>
              <w:b/>
            </w:rPr>
            <w:fldChar w:fldCharType="separate"/>
          </w:r>
          <w:r>
            <w:rPr>
              <w:b/>
            </w:rPr>
            <w:t>3</w:t>
          </w:r>
          <w:r>
            <w:rPr>
              <w:b/>
            </w:rPr>
            <w:fldChar w:fldCharType="end"/>
          </w:r>
          <w:r>
            <w:rPr>
              <w:rFonts w:hint="eastAsia"/>
              <w:b/>
              <w:bCs/>
              <w:szCs w:val="32"/>
              <w:lang w:val="en-US" w:eastAsia="zh-CN"/>
            </w:rPr>
            <w:fldChar w:fldCharType="end"/>
          </w:r>
        </w:p>
        <w:p>
          <w:pPr>
            <w:pStyle w:val="16"/>
            <w:tabs>
              <w:tab w:val="right" w:leader="dot" w:pos="8306"/>
            </w:tabs>
          </w:pPr>
          <w:r>
            <w:rPr>
              <w:rFonts w:hint="eastAsia"/>
              <w:bCs/>
              <w:szCs w:val="32"/>
              <w:lang w:val="en-US" w:eastAsia="zh-CN"/>
            </w:rPr>
            <w:fldChar w:fldCharType="begin"/>
          </w:r>
          <w:r>
            <w:rPr>
              <w:rFonts w:hint="eastAsia"/>
              <w:bCs/>
              <w:szCs w:val="32"/>
              <w:lang w:val="en-US" w:eastAsia="zh-CN"/>
            </w:rPr>
            <w:instrText xml:space="preserve"> HYPERLINK \l _Toc11303 </w:instrText>
          </w:r>
          <w:r>
            <w:rPr>
              <w:rFonts w:hint="eastAsia"/>
              <w:bCs/>
              <w:szCs w:val="32"/>
              <w:lang w:val="en-US" w:eastAsia="zh-CN"/>
            </w:rPr>
            <w:fldChar w:fldCharType="separate"/>
          </w:r>
          <w:r>
            <w:rPr>
              <w:rFonts w:hint="eastAsia"/>
              <w:bCs/>
              <w:szCs w:val="28"/>
              <w:lang w:val="en-US" w:eastAsia="zh-CN"/>
            </w:rPr>
            <w:t>1、 学校概况</w:t>
          </w:r>
          <w:r>
            <w:tab/>
          </w:r>
          <w:r>
            <w:fldChar w:fldCharType="begin"/>
          </w:r>
          <w:r>
            <w:instrText xml:space="preserve"> PAGEREF _Toc11303 </w:instrText>
          </w:r>
          <w:r>
            <w:fldChar w:fldCharType="separate"/>
          </w:r>
          <w:r>
            <w:t>3</w:t>
          </w:r>
          <w:r>
            <w:fldChar w:fldCharType="end"/>
          </w:r>
          <w:r>
            <w:rPr>
              <w:rFonts w:hint="eastAsia"/>
              <w:bCs/>
              <w:szCs w:val="32"/>
              <w:lang w:val="en-US" w:eastAsia="zh-CN"/>
            </w:rPr>
            <w:fldChar w:fldCharType="end"/>
          </w:r>
        </w:p>
        <w:p>
          <w:pPr>
            <w:pStyle w:val="16"/>
            <w:tabs>
              <w:tab w:val="right" w:leader="dot" w:pos="8306"/>
            </w:tabs>
          </w:pPr>
          <w:r>
            <w:rPr>
              <w:rFonts w:hint="eastAsia"/>
              <w:bCs/>
              <w:szCs w:val="32"/>
              <w:lang w:val="en-US" w:eastAsia="zh-CN"/>
            </w:rPr>
            <w:fldChar w:fldCharType="begin"/>
          </w:r>
          <w:r>
            <w:rPr>
              <w:rFonts w:hint="eastAsia"/>
              <w:bCs/>
              <w:szCs w:val="32"/>
              <w:lang w:val="en-US" w:eastAsia="zh-CN"/>
            </w:rPr>
            <w:instrText xml:space="preserve"> HYPERLINK \l _Toc31462 </w:instrText>
          </w:r>
          <w:r>
            <w:rPr>
              <w:rFonts w:hint="eastAsia"/>
              <w:bCs/>
              <w:szCs w:val="32"/>
              <w:lang w:val="en-US" w:eastAsia="zh-CN"/>
            </w:rPr>
            <w:fldChar w:fldCharType="separate"/>
          </w:r>
          <w:r>
            <w:rPr>
              <w:rFonts w:hint="eastAsia"/>
              <w:bCs/>
              <w:szCs w:val="28"/>
              <w:lang w:val="en-US" w:eastAsia="zh-CN"/>
            </w:rPr>
            <w:t>2、学生情况</w:t>
          </w:r>
          <w:r>
            <w:tab/>
          </w:r>
          <w:r>
            <w:fldChar w:fldCharType="begin"/>
          </w:r>
          <w:r>
            <w:instrText xml:space="preserve"> PAGEREF _Toc31462 </w:instrText>
          </w:r>
          <w:r>
            <w:fldChar w:fldCharType="separate"/>
          </w:r>
          <w:r>
            <w:t>4</w:t>
          </w:r>
          <w:r>
            <w:fldChar w:fldCharType="end"/>
          </w:r>
          <w:r>
            <w:rPr>
              <w:rFonts w:hint="eastAsia"/>
              <w:bCs/>
              <w:szCs w:val="32"/>
              <w:lang w:val="en-US" w:eastAsia="zh-CN"/>
            </w:rPr>
            <w:fldChar w:fldCharType="end"/>
          </w:r>
        </w:p>
        <w:p>
          <w:pPr>
            <w:pStyle w:val="16"/>
            <w:tabs>
              <w:tab w:val="right" w:leader="dot" w:pos="8306"/>
            </w:tabs>
          </w:pPr>
          <w:r>
            <w:rPr>
              <w:rFonts w:hint="eastAsia"/>
              <w:bCs/>
              <w:szCs w:val="32"/>
              <w:lang w:val="en-US" w:eastAsia="zh-CN"/>
            </w:rPr>
            <w:fldChar w:fldCharType="begin"/>
          </w:r>
          <w:r>
            <w:rPr>
              <w:rFonts w:hint="eastAsia"/>
              <w:bCs/>
              <w:szCs w:val="32"/>
              <w:lang w:val="en-US" w:eastAsia="zh-CN"/>
            </w:rPr>
            <w:instrText xml:space="preserve"> HYPERLINK \l _Toc27555 </w:instrText>
          </w:r>
          <w:r>
            <w:rPr>
              <w:rFonts w:hint="eastAsia"/>
              <w:bCs/>
              <w:szCs w:val="32"/>
              <w:lang w:val="en-US" w:eastAsia="zh-CN"/>
            </w:rPr>
            <w:fldChar w:fldCharType="separate"/>
          </w:r>
          <w:r>
            <w:rPr>
              <w:rFonts w:hint="eastAsia"/>
              <w:bCs/>
              <w:szCs w:val="28"/>
              <w:lang w:val="en-US" w:eastAsia="zh-CN"/>
            </w:rPr>
            <w:t>3、教师队伍</w:t>
          </w:r>
          <w:r>
            <w:tab/>
          </w:r>
          <w:r>
            <w:fldChar w:fldCharType="begin"/>
          </w:r>
          <w:r>
            <w:instrText xml:space="preserve"> PAGEREF _Toc27555 </w:instrText>
          </w:r>
          <w:r>
            <w:fldChar w:fldCharType="separate"/>
          </w:r>
          <w:r>
            <w:t>5</w:t>
          </w:r>
          <w:r>
            <w:fldChar w:fldCharType="end"/>
          </w:r>
          <w:r>
            <w:rPr>
              <w:rFonts w:hint="eastAsia"/>
              <w:bCs/>
              <w:szCs w:val="32"/>
              <w:lang w:val="en-US" w:eastAsia="zh-CN"/>
            </w:rPr>
            <w:fldChar w:fldCharType="end"/>
          </w:r>
        </w:p>
        <w:p>
          <w:pPr>
            <w:pStyle w:val="16"/>
            <w:tabs>
              <w:tab w:val="right" w:leader="dot" w:pos="8306"/>
            </w:tabs>
          </w:pPr>
          <w:r>
            <w:rPr>
              <w:rFonts w:hint="eastAsia"/>
              <w:bCs/>
              <w:szCs w:val="32"/>
              <w:lang w:val="en-US" w:eastAsia="zh-CN"/>
            </w:rPr>
            <w:fldChar w:fldCharType="begin"/>
          </w:r>
          <w:r>
            <w:rPr>
              <w:rFonts w:hint="eastAsia"/>
              <w:bCs/>
              <w:szCs w:val="32"/>
              <w:lang w:val="en-US" w:eastAsia="zh-CN"/>
            </w:rPr>
            <w:instrText xml:space="preserve"> HYPERLINK \l _Toc32565 </w:instrText>
          </w:r>
          <w:r>
            <w:rPr>
              <w:rFonts w:hint="eastAsia"/>
              <w:bCs/>
              <w:szCs w:val="32"/>
              <w:lang w:val="en-US" w:eastAsia="zh-CN"/>
            </w:rPr>
            <w:fldChar w:fldCharType="separate"/>
          </w:r>
          <w:r>
            <w:rPr>
              <w:rFonts w:hint="eastAsia"/>
              <w:bCs/>
              <w:szCs w:val="28"/>
              <w:lang w:val="en-US" w:eastAsia="zh-CN"/>
            </w:rPr>
            <w:t>4、设施设备</w:t>
          </w:r>
          <w:r>
            <w:tab/>
          </w:r>
          <w:r>
            <w:fldChar w:fldCharType="begin"/>
          </w:r>
          <w:r>
            <w:instrText xml:space="preserve"> PAGEREF _Toc32565 </w:instrText>
          </w:r>
          <w:r>
            <w:fldChar w:fldCharType="separate"/>
          </w:r>
          <w:r>
            <w:t>7</w:t>
          </w:r>
          <w:r>
            <w:fldChar w:fldCharType="end"/>
          </w:r>
          <w:r>
            <w:rPr>
              <w:rFonts w:hint="eastAsia"/>
              <w:bCs/>
              <w:szCs w:val="32"/>
              <w:lang w:val="en-US" w:eastAsia="zh-CN"/>
            </w:rPr>
            <w:fldChar w:fldCharType="end"/>
          </w:r>
        </w:p>
        <w:p>
          <w:pPr>
            <w:pStyle w:val="15"/>
            <w:tabs>
              <w:tab w:val="right" w:leader="dot" w:pos="8306"/>
            </w:tabs>
            <w:rPr>
              <w:b/>
            </w:rPr>
          </w:pPr>
          <w:r>
            <w:rPr>
              <w:rFonts w:hint="eastAsia"/>
              <w:b/>
              <w:bCs/>
              <w:szCs w:val="32"/>
              <w:lang w:val="en-US" w:eastAsia="zh-CN"/>
            </w:rPr>
            <w:fldChar w:fldCharType="begin"/>
          </w:r>
          <w:r>
            <w:rPr>
              <w:rFonts w:hint="eastAsia"/>
              <w:b/>
              <w:bCs/>
              <w:szCs w:val="32"/>
              <w:lang w:val="en-US" w:eastAsia="zh-CN"/>
            </w:rPr>
            <w:instrText xml:space="preserve"> HYPERLINK \l _Toc23824 </w:instrText>
          </w:r>
          <w:r>
            <w:rPr>
              <w:rFonts w:hint="eastAsia"/>
              <w:b/>
              <w:bCs/>
              <w:szCs w:val="32"/>
              <w:lang w:val="en-US" w:eastAsia="zh-CN"/>
            </w:rPr>
            <w:fldChar w:fldCharType="separate"/>
          </w:r>
          <w:r>
            <w:rPr>
              <w:rFonts w:hint="eastAsia"/>
              <w:b/>
              <w:bCs/>
              <w:szCs w:val="32"/>
              <w:lang w:val="en-US" w:eastAsia="zh-CN"/>
            </w:rPr>
            <w:t>二、 学生发展</w:t>
          </w:r>
          <w:r>
            <w:rPr>
              <w:b/>
            </w:rPr>
            <w:tab/>
          </w:r>
          <w:r>
            <w:rPr>
              <w:b/>
            </w:rPr>
            <w:fldChar w:fldCharType="begin"/>
          </w:r>
          <w:r>
            <w:rPr>
              <w:b/>
            </w:rPr>
            <w:instrText xml:space="preserve"> PAGEREF _Toc23824 </w:instrText>
          </w:r>
          <w:r>
            <w:rPr>
              <w:b/>
            </w:rPr>
            <w:fldChar w:fldCharType="separate"/>
          </w:r>
          <w:r>
            <w:rPr>
              <w:b/>
            </w:rPr>
            <w:t>8</w:t>
          </w:r>
          <w:r>
            <w:rPr>
              <w:b/>
            </w:rPr>
            <w:fldChar w:fldCharType="end"/>
          </w:r>
          <w:r>
            <w:rPr>
              <w:rFonts w:hint="eastAsia"/>
              <w:b/>
              <w:bCs/>
              <w:szCs w:val="32"/>
              <w:lang w:val="en-US" w:eastAsia="zh-CN"/>
            </w:rPr>
            <w:fldChar w:fldCharType="end"/>
          </w:r>
        </w:p>
        <w:p>
          <w:pPr>
            <w:pStyle w:val="16"/>
            <w:tabs>
              <w:tab w:val="right" w:leader="dot" w:pos="8306"/>
            </w:tabs>
          </w:pPr>
          <w:r>
            <w:rPr>
              <w:rFonts w:hint="eastAsia"/>
              <w:bCs/>
              <w:szCs w:val="32"/>
              <w:lang w:val="en-US" w:eastAsia="zh-CN"/>
            </w:rPr>
            <w:fldChar w:fldCharType="begin"/>
          </w:r>
          <w:r>
            <w:rPr>
              <w:rFonts w:hint="eastAsia"/>
              <w:bCs/>
              <w:szCs w:val="32"/>
              <w:lang w:val="en-US" w:eastAsia="zh-CN"/>
            </w:rPr>
            <w:instrText xml:space="preserve"> HYPERLINK \l _Toc23543 </w:instrText>
          </w:r>
          <w:r>
            <w:rPr>
              <w:rFonts w:hint="eastAsia"/>
              <w:bCs/>
              <w:szCs w:val="32"/>
              <w:lang w:val="en-US" w:eastAsia="zh-CN"/>
            </w:rPr>
            <w:fldChar w:fldCharType="separate"/>
          </w:r>
          <w:r>
            <w:rPr>
              <w:rFonts w:hint="eastAsia"/>
              <w:bCs/>
              <w:szCs w:val="28"/>
              <w:lang w:val="en-US" w:eastAsia="zh-CN"/>
            </w:rPr>
            <w:t>1、 学生素质</w:t>
          </w:r>
          <w:r>
            <w:tab/>
          </w:r>
          <w:r>
            <w:fldChar w:fldCharType="begin"/>
          </w:r>
          <w:r>
            <w:instrText xml:space="preserve"> PAGEREF _Toc23543 </w:instrText>
          </w:r>
          <w:r>
            <w:fldChar w:fldCharType="separate"/>
          </w:r>
          <w:r>
            <w:t>8</w:t>
          </w:r>
          <w:r>
            <w:fldChar w:fldCharType="end"/>
          </w:r>
          <w:r>
            <w:rPr>
              <w:rFonts w:hint="eastAsia"/>
              <w:bCs/>
              <w:szCs w:val="32"/>
              <w:lang w:val="en-US" w:eastAsia="zh-CN"/>
            </w:rPr>
            <w:fldChar w:fldCharType="end"/>
          </w:r>
        </w:p>
        <w:p>
          <w:pPr>
            <w:pStyle w:val="16"/>
            <w:tabs>
              <w:tab w:val="right" w:leader="dot" w:pos="8306"/>
            </w:tabs>
          </w:pPr>
          <w:r>
            <w:rPr>
              <w:rFonts w:hint="eastAsia"/>
              <w:bCs/>
              <w:szCs w:val="32"/>
              <w:lang w:val="en-US" w:eastAsia="zh-CN"/>
            </w:rPr>
            <w:fldChar w:fldCharType="begin"/>
          </w:r>
          <w:r>
            <w:rPr>
              <w:rFonts w:hint="eastAsia"/>
              <w:bCs/>
              <w:szCs w:val="32"/>
              <w:lang w:val="en-US" w:eastAsia="zh-CN"/>
            </w:rPr>
            <w:instrText xml:space="preserve"> HYPERLINK \l _Toc12109 </w:instrText>
          </w:r>
          <w:r>
            <w:rPr>
              <w:rFonts w:hint="eastAsia"/>
              <w:bCs/>
              <w:szCs w:val="32"/>
              <w:lang w:val="en-US" w:eastAsia="zh-CN"/>
            </w:rPr>
            <w:fldChar w:fldCharType="separate"/>
          </w:r>
          <w:r>
            <w:rPr>
              <w:rFonts w:hint="eastAsia"/>
              <w:bCs/>
              <w:szCs w:val="28"/>
              <w:lang w:val="en-US" w:eastAsia="zh-CN"/>
            </w:rPr>
            <w:t>2、 在校体验</w:t>
          </w:r>
          <w:r>
            <w:tab/>
          </w:r>
          <w:r>
            <w:fldChar w:fldCharType="begin"/>
          </w:r>
          <w:r>
            <w:instrText xml:space="preserve"> PAGEREF _Toc12109 </w:instrText>
          </w:r>
          <w:r>
            <w:fldChar w:fldCharType="separate"/>
          </w:r>
          <w:r>
            <w:t>8</w:t>
          </w:r>
          <w:r>
            <w:fldChar w:fldCharType="end"/>
          </w:r>
          <w:r>
            <w:rPr>
              <w:rFonts w:hint="eastAsia"/>
              <w:bCs/>
              <w:szCs w:val="32"/>
              <w:lang w:val="en-US" w:eastAsia="zh-CN"/>
            </w:rPr>
            <w:fldChar w:fldCharType="end"/>
          </w:r>
        </w:p>
        <w:p>
          <w:pPr>
            <w:pStyle w:val="16"/>
            <w:tabs>
              <w:tab w:val="right" w:leader="dot" w:pos="8306"/>
            </w:tabs>
          </w:pPr>
          <w:r>
            <w:rPr>
              <w:rFonts w:hint="eastAsia"/>
              <w:bCs/>
              <w:szCs w:val="32"/>
              <w:lang w:val="en-US" w:eastAsia="zh-CN"/>
            </w:rPr>
            <w:fldChar w:fldCharType="begin"/>
          </w:r>
          <w:r>
            <w:rPr>
              <w:rFonts w:hint="eastAsia"/>
              <w:bCs/>
              <w:szCs w:val="32"/>
              <w:lang w:val="en-US" w:eastAsia="zh-CN"/>
            </w:rPr>
            <w:instrText xml:space="preserve"> HYPERLINK \l _Toc14558 </w:instrText>
          </w:r>
          <w:r>
            <w:rPr>
              <w:rFonts w:hint="eastAsia"/>
              <w:bCs/>
              <w:szCs w:val="32"/>
              <w:lang w:val="en-US" w:eastAsia="zh-CN"/>
            </w:rPr>
            <w:fldChar w:fldCharType="separate"/>
          </w:r>
          <w:r>
            <w:rPr>
              <w:rFonts w:hint="eastAsia"/>
              <w:bCs/>
              <w:szCs w:val="28"/>
              <w:lang w:val="en-US" w:eastAsia="zh-CN"/>
            </w:rPr>
            <w:t>3、资助情况</w:t>
          </w:r>
          <w:r>
            <w:tab/>
          </w:r>
          <w:r>
            <w:fldChar w:fldCharType="begin"/>
          </w:r>
          <w:r>
            <w:instrText xml:space="preserve"> PAGEREF _Toc14558 </w:instrText>
          </w:r>
          <w:r>
            <w:fldChar w:fldCharType="separate"/>
          </w:r>
          <w:r>
            <w:t>9</w:t>
          </w:r>
          <w:r>
            <w:fldChar w:fldCharType="end"/>
          </w:r>
          <w:r>
            <w:rPr>
              <w:rFonts w:hint="eastAsia"/>
              <w:bCs/>
              <w:szCs w:val="32"/>
              <w:lang w:val="en-US" w:eastAsia="zh-CN"/>
            </w:rPr>
            <w:fldChar w:fldCharType="end"/>
          </w:r>
        </w:p>
        <w:p>
          <w:pPr>
            <w:pStyle w:val="16"/>
            <w:tabs>
              <w:tab w:val="right" w:leader="dot" w:pos="8306"/>
            </w:tabs>
          </w:pPr>
          <w:r>
            <w:rPr>
              <w:rFonts w:hint="eastAsia"/>
              <w:bCs/>
              <w:szCs w:val="32"/>
              <w:lang w:val="en-US" w:eastAsia="zh-CN"/>
            </w:rPr>
            <w:fldChar w:fldCharType="begin"/>
          </w:r>
          <w:r>
            <w:rPr>
              <w:rFonts w:hint="eastAsia"/>
              <w:bCs/>
              <w:szCs w:val="32"/>
              <w:lang w:val="en-US" w:eastAsia="zh-CN"/>
            </w:rPr>
            <w:instrText xml:space="preserve"> HYPERLINK \l _Toc30302 </w:instrText>
          </w:r>
          <w:r>
            <w:rPr>
              <w:rFonts w:hint="eastAsia"/>
              <w:bCs/>
              <w:szCs w:val="32"/>
              <w:lang w:val="en-US" w:eastAsia="zh-CN"/>
            </w:rPr>
            <w:fldChar w:fldCharType="separate"/>
          </w:r>
          <w:r>
            <w:rPr>
              <w:rFonts w:hint="eastAsia"/>
              <w:bCs/>
              <w:szCs w:val="28"/>
              <w:lang w:val="en-US" w:eastAsia="zh-CN"/>
            </w:rPr>
            <w:t>4、就业质量</w:t>
          </w:r>
          <w:r>
            <w:tab/>
          </w:r>
          <w:r>
            <w:fldChar w:fldCharType="begin"/>
          </w:r>
          <w:r>
            <w:instrText xml:space="preserve"> PAGEREF _Toc30302 </w:instrText>
          </w:r>
          <w:r>
            <w:fldChar w:fldCharType="separate"/>
          </w:r>
          <w:r>
            <w:t>9</w:t>
          </w:r>
          <w:r>
            <w:fldChar w:fldCharType="end"/>
          </w:r>
          <w:r>
            <w:rPr>
              <w:rFonts w:hint="eastAsia"/>
              <w:bCs/>
              <w:szCs w:val="32"/>
              <w:lang w:val="en-US" w:eastAsia="zh-CN"/>
            </w:rPr>
            <w:fldChar w:fldCharType="end"/>
          </w:r>
        </w:p>
        <w:p>
          <w:pPr>
            <w:pStyle w:val="16"/>
            <w:tabs>
              <w:tab w:val="right" w:leader="dot" w:pos="8306"/>
            </w:tabs>
          </w:pPr>
          <w:r>
            <w:rPr>
              <w:rFonts w:hint="eastAsia"/>
              <w:bCs/>
              <w:szCs w:val="32"/>
              <w:lang w:val="en-US" w:eastAsia="zh-CN"/>
            </w:rPr>
            <w:fldChar w:fldCharType="begin"/>
          </w:r>
          <w:r>
            <w:rPr>
              <w:rFonts w:hint="eastAsia"/>
              <w:bCs/>
              <w:szCs w:val="32"/>
              <w:lang w:val="en-US" w:eastAsia="zh-CN"/>
            </w:rPr>
            <w:instrText xml:space="preserve"> HYPERLINK \l _Toc16503 </w:instrText>
          </w:r>
          <w:r>
            <w:rPr>
              <w:rFonts w:hint="eastAsia"/>
              <w:bCs/>
              <w:szCs w:val="32"/>
              <w:lang w:val="en-US" w:eastAsia="zh-CN"/>
            </w:rPr>
            <w:fldChar w:fldCharType="separate"/>
          </w:r>
          <w:r>
            <w:rPr>
              <w:rFonts w:hint="eastAsia"/>
              <w:bCs/>
              <w:szCs w:val="28"/>
              <w:lang w:val="en-US" w:eastAsia="zh-CN"/>
            </w:rPr>
            <w:t>5.职业发展</w:t>
          </w:r>
          <w:r>
            <w:tab/>
          </w:r>
          <w:r>
            <w:fldChar w:fldCharType="begin"/>
          </w:r>
          <w:r>
            <w:instrText xml:space="preserve"> PAGEREF _Toc16503 </w:instrText>
          </w:r>
          <w:r>
            <w:fldChar w:fldCharType="separate"/>
          </w:r>
          <w:r>
            <w:t>10</w:t>
          </w:r>
          <w:r>
            <w:fldChar w:fldCharType="end"/>
          </w:r>
          <w:r>
            <w:rPr>
              <w:rFonts w:hint="eastAsia"/>
              <w:bCs/>
              <w:szCs w:val="32"/>
              <w:lang w:val="en-US" w:eastAsia="zh-CN"/>
            </w:rPr>
            <w:fldChar w:fldCharType="end"/>
          </w:r>
        </w:p>
        <w:p>
          <w:pPr>
            <w:pStyle w:val="15"/>
            <w:tabs>
              <w:tab w:val="right" w:leader="dot" w:pos="8306"/>
            </w:tabs>
            <w:rPr>
              <w:b/>
            </w:rPr>
          </w:pPr>
          <w:r>
            <w:rPr>
              <w:rFonts w:hint="eastAsia"/>
              <w:b/>
              <w:bCs/>
              <w:szCs w:val="32"/>
              <w:lang w:val="en-US" w:eastAsia="zh-CN"/>
            </w:rPr>
            <w:fldChar w:fldCharType="begin"/>
          </w:r>
          <w:r>
            <w:rPr>
              <w:rFonts w:hint="eastAsia"/>
              <w:b/>
              <w:bCs/>
              <w:szCs w:val="32"/>
              <w:lang w:val="en-US" w:eastAsia="zh-CN"/>
            </w:rPr>
            <w:instrText xml:space="preserve"> HYPERLINK \l _Toc26322 </w:instrText>
          </w:r>
          <w:r>
            <w:rPr>
              <w:rFonts w:hint="eastAsia"/>
              <w:b/>
              <w:bCs/>
              <w:szCs w:val="32"/>
              <w:lang w:val="en-US" w:eastAsia="zh-CN"/>
            </w:rPr>
            <w:fldChar w:fldCharType="separate"/>
          </w:r>
          <w:r>
            <w:rPr>
              <w:rFonts w:hint="eastAsia"/>
              <w:b/>
              <w:bCs/>
              <w:szCs w:val="32"/>
              <w:lang w:val="en-US" w:eastAsia="zh-CN"/>
            </w:rPr>
            <w:t>三、 质量保障措施</w:t>
          </w:r>
          <w:r>
            <w:rPr>
              <w:b/>
            </w:rPr>
            <w:tab/>
          </w:r>
          <w:r>
            <w:rPr>
              <w:b/>
            </w:rPr>
            <w:fldChar w:fldCharType="begin"/>
          </w:r>
          <w:r>
            <w:rPr>
              <w:b/>
            </w:rPr>
            <w:instrText xml:space="preserve"> PAGEREF _Toc26322 </w:instrText>
          </w:r>
          <w:r>
            <w:rPr>
              <w:b/>
            </w:rPr>
            <w:fldChar w:fldCharType="separate"/>
          </w:r>
          <w:r>
            <w:rPr>
              <w:b/>
            </w:rPr>
            <w:t>11</w:t>
          </w:r>
          <w:r>
            <w:rPr>
              <w:b/>
            </w:rPr>
            <w:fldChar w:fldCharType="end"/>
          </w:r>
          <w:r>
            <w:rPr>
              <w:rFonts w:hint="eastAsia"/>
              <w:b/>
              <w:bCs/>
              <w:szCs w:val="32"/>
              <w:lang w:val="en-US" w:eastAsia="zh-CN"/>
            </w:rPr>
            <w:fldChar w:fldCharType="end"/>
          </w:r>
        </w:p>
        <w:p>
          <w:pPr>
            <w:pStyle w:val="15"/>
            <w:tabs>
              <w:tab w:val="right" w:leader="dot" w:pos="8306"/>
            </w:tabs>
            <w:rPr>
              <w:b/>
            </w:rPr>
          </w:pPr>
          <w:r>
            <w:rPr>
              <w:rFonts w:hint="eastAsia"/>
              <w:b/>
              <w:bCs/>
              <w:szCs w:val="32"/>
              <w:lang w:val="en-US" w:eastAsia="zh-CN"/>
            </w:rPr>
            <w:fldChar w:fldCharType="begin"/>
          </w:r>
          <w:r>
            <w:rPr>
              <w:rFonts w:hint="eastAsia"/>
              <w:b/>
              <w:bCs/>
              <w:szCs w:val="32"/>
              <w:lang w:val="en-US" w:eastAsia="zh-CN"/>
            </w:rPr>
            <w:instrText xml:space="preserve"> HYPERLINK \l _Toc124 </w:instrText>
          </w:r>
          <w:r>
            <w:rPr>
              <w:rFonts w:hint="eastAsia"/>
              <w:b/>
              <w:bCs/>
              <w:szCs w:val="32"/>
              <w:lang w:val="en-US" w:eastAsia="zh-CN"/>
            </w:rPr>
            <w:fldChar w:fldCharType="separate"/>
          </w:r>
          <w:r>
            <w:rPr>
              <w:rFonts w:hint="eastAsia"/>
              <w:b/>
              <w:bCs/>
              <w:szCs w:val="32"/>
              <w:lang w:val="en-US" w:eastAsia="zh-CN"/>
            </w:rPr>
            <w:t>四、 校企合作</w:t>
          </w:r>
          <w:r>
            <w:rPr>
              <w:b/>
            </w:rPr>
            <w:tab/>
          </w:r>
          <w:r>
            <w:rPr>
              <w:b/>
            </w:rPr>
            <w:fldChar w:fldCharType="begin"/>
          </w:r>
          <w:r>
            <w:rPr>
              <w:b/>
            </w:rPr>
            <w:instrText xml:space="preserve"> PAGEREF _Toc124 </w:instrText>
          </w:r>
          <w:r>
            <w:rPr>
              <w:b/>
            </w:rPr>
            <w:fldChar w:fldCharType="separate"/>
          </w:r>
          <w:r>
            <w:rPr>
              <w:b/>
            </w:rPr>
            <w:t>23</w:t>
          </w:r>
          <w:r>
            <w:rPr>
              <w:b/>
            </w:rPr>
            <w:fldChar w:fldCharType="end"/>
          </w:r>
          <w:r>
            <w:rPr>
              <w:rFonts w:hint="eastAsia"/>
              <w:b/>
              <w:bCs/>
              <w:szCs w:val="32"/>
              <w:lang w:val="en-US" w:eastAsia="zh-CN"/>
            </w:rPr>
            <w:fldChar w:fldCharType="end"/>
          </w:r>
        </w:p>
        <w:p>
          <w:pPr>
            <w:pStyle w:val="15"/>
            <w:tabs>
              <w:tab w:val="right" w:leader="dot" w:pos="8306"/>
            </w:tabs>
            <w:rPr>
              <w:b/>
            </w:rPr>
          </w:pPr>
          <w:r>
            <w:rPr>
              <w:rFonts w:hint="eastAsia"/>
              <w:b/>
              <w:bCs/>
              <w:szCs w:val="32"/>
              <w:lang w:val="en-US" w:eastAsia="zh-CN"/>
            </w:rPr>
            <w:fldChar w:fldCharType="begin"/>
          </w:r>
          <w:r>
            <w:rPr>
              <w:rFonts w:hint="eastAsia"/>
              <w:b/>
              <w:bCs/>
              <w:szCs w:val="32"/>
              <w:lang w:val="en-US" w:eastAsia="zh-CN"/>
            </w:rPr>
            <w:instrText xml:space="preserve"> HYPERLINK \l _Toc8747 </w:instrText>
          </w:r>
          <w:r>
            <w:rPr>
              <w:rFonts w:hint="eastAsia"/>
              <w:b/>
              <w:bCs/>
              <w:szCs w:val="32"/>
              <w:lang w:val="en-US" w:eastAsia="zh-CN"/>
            </w:rPr>
            <w:fldChar w:fldCharType="separate"/>
          </w:r>
          <w:r>
            <w:rPr>
              <w:rFonts w:hint="eastAsia"/>
              <w:b/>
              <w:bCs/>
              <w:szCs w:val="32"/>
              <w:lang w:val="en-US" w:eastAsia="zh-CN"/>
            </w:rPr>
            <w:t>五、 社会贡献</w:t>
          </w:r>
          <w:r>
            <w:rPr>
              <w:b/>
            </w:rPr>
            <w:tab/>
          </w:r>
          <w:r>
            <w:rPr>
              <w:b/>
            </w:rPr>
            <w:fldChar w:fldCharType="begin"/>
          </w:r>
          <w:r>
            <w:rPr>
              <w:b/>
            </w:rPr>
            <w:instrText xml:space="preserve"> PAGEREF _Toc8747 </w:instrText>
          </w:r>
          <w:r>
            <w:rPr>
              <w:b/>
            </w:rPr>
            <w:fldChar w:fldCharType="separate"/>
          </w:r>
          <w:r>
            <w:rPr>
              <w:b/>
            </w:rPr>
            <w:t>31</w:t>
          </w:r>
          <w:r>
            <w:rPr>
              <w:b/>
            </w:rPr>
            <w:fldChar w:fldCharType="end"/>
          </w:r>
          <w:r>
            <w:rPr>
              <w:rFonts w:hint="eastAsia"/>
              <w:b/>
              <w:bCs/>
              <w:szCs w:val="32"/>
              <w:lang w:val="en-US" w:eastAsia="zh-CN"/>
            </w:rPr>
            <w:fldChar w:fldCharType="end"/>
          </w:r>
        </w:p>
        <w:p>
          <w:pPr>
            <w:pStyle w:val="16"/>
            <w:tabs>
              <w:tab w:val="right" w:leader="dot" w:pos="8306"/>
            </w:tabs>
          </w:pPr>
          <w:r>
            <w:rPr>
              <w:rFonts w:hint="eastAsia"/>
              <w:bCs/>
              <w:szCs w:val="32"/>
              <w:lang w:val="en-US" w:eastAsia="zh-CN"/>
            </w:rPr>
            <w:fldChar w:fldCharType="begin"/>
          </w:r>
          <w:r>
            <w:rPr>
              <w:rFonts w:hint="eastAsia"/>
              <w:bCs/>
              <w:szCs w:val="32"/>
              <w:lang w:val="en-US" w:eastAsia="zh-CN"/>
            </w:rPr>
            <w:instrText xml:space="preserve"> HYPERLINK \l _Toc11510 </w:instrText>
          </w:r>
          <w:r>
            <w:rPr>
              <w:rFonts w:hint="eastAsia"/>
              <w:bCs/>
              <w:szCs w:val="32"/>
              <w:lang w:val="en-US" w:eastAsia="zh-CN"/>
            </w:rPr>
            <w:fldChar w:fldCharType="separate"/>
          </w:r>
          <w:r>
            <w:rPr>
              <w:rFonts w:hint="eastAsia"/>
              <w:bCs w:val="0"/>
              <w:szCs w:val="24"/>
              <w:lang w:val="en-US" w:eastAsia="zh-CN"/>
            </w:rPr>
            <w:t>1.技术技能人才培养（整合培训基地资源，增强职业技能培训能力，提高企业效益）</w:t>
          </w:r>
          <w:r>
            <w:tab/>
          </w:r>
          <w:r>
            <w:fldChar w:fldCharType="begin"/>
          </w:r>
          <w:r>
            <w:instrText xml:space="preserve"> PAGEREF _Toc11510 </w:instrText>
          </w:r>
          <w:r>
            <w:fldChar w:fldCharType="separate"/>
          </w:r>
          <w:r>
            <w:t>31</w:t>
          </w:r>
          <w:r>
            <w:fldChar w:fldCharType="end"/>
          </w:r>
          <w:r>
            <w:rPr>
              <w:rFonts w:hint="eastAsia"/>
              <w:bCs/>
              <w:szCs w:val="32"/>
              <w:lang w:val="en-US" w:eastAsia="zh-CN"/>
            </w:rPr>
            <w:fldChar w:fldCharType="end"/>
          </w:r>
        </w:p>
        <w:p>
          <w:pPr>
            <w:pStyle w:val="16"/>
            <w:tabs>
              <w:tab w:val="right" w:leader="dot" w:pos="8306"/>
            </w:tabs>
          </w:pPr>
          <w:r>
            <w:rPr>
              <w:rFonts w:hint="eastAsia"/>
              <w:bCs/>
              <w:szCs w:val="32"/>
              <w:lang w:val="en-US" w:eastAsia="zh-CN"/>
            </w:rPr>
            <w:fldChar w:fldCharType="begin"/>
          </w:r>
          <w:r>
            <w:rPr>
              <w:rFonts w:hint="eastAsia"/>
              <w:bCs/>
              <w:szCs w:val="32"/>
              <w:lang w:val="en-US" w:eastAsia="zh-CN"/>
            </w:rPr>
            <w:instrText xml:space="preserve"> HYPERLINK \l _Toc23068 </w:instrText>
          </w:r>
          <w:r>
            <w:rPr>
              <w:rFonts w:hint="eastAsia"/>
              <w:bCs/>
              <w:szCs w:val="32"/>
              <w:lang w:val="en-US" w:eastAsia="zh-CN"/>
            </w:rPr>
            <w:fldChar w:fldCharType="separate"/>
          </w:r>
          <w:r>
            <w:rPr>
              <w:rFonts w:hint="eastAsia"/>
              <w:bCs w:val="0"/>
              <w:szCs w:val="24"/>
              <w:lang w:val="en-US" w:eastAsia="zh-CN"/>
            </w:rPr>
            <w:t>2.社会服务（创建培训平台，开展多层次培训服务）</w:t>
          </w:r>
          <w:r>
            <w:tab/>
          </w:r>
          <w:r>
            <w:fldChar w:fldCharType="begin"/>
          </w:r>
          <w:r>
            <w:instrText xml:space="preserve"> PAGEREF _Toc23068 </w:instrText>
          </w:r>
          <w:r>
            <w:fldChar w:fldCharType="separate"/>
          </w:r>
          <w:r>
            <w:t>32</w:t>
          </w:r>
          <w:r>
            <w:fldChar w:fldCharType="end"/>
          </w:r>
          <w:r>
            <w:rPr>
              <w:rFonts w:hint="eastAsia"/>
              <w:bCs/>
              <w:szCs w:val="32"/>
              <w:lang w:val="en-US" w:eastAsia="zh-CN"/>
            </w:rPr>
            <w:fldChar w:fldCharType="end"/>
          </w:r>
        </w:p>
        <w:p>
          <w:pPr>
            <w:pStyle w:val="16"/>
            <w:tabs>
              <w:tab w:val="right" w:leader="dot" w:pos="8306"/>
            </w:tabs>
          </w:pPr>
          <w:r>
            <w:rPr>
              <w:rFonts w:hint="eastAsia"/>
              <w:bCs/>
              <w:szCs w:val="32"/>
              <w:lang w:val="en-US" w:eastAsia="zh-CN"/>
            </w:rPr>
            <w:fldChar w:fldCharType="begin"/>
          </w:r>
          <w:r>
            <w:rPr>
              <w:rFonts w:hint="eastAsia"/>
              <w:bCs/>
              <w:szCs w:val="32"/>
              <w:lang w:val="en-US" w:eastAsia="zh-CN"/>
            </w:rPr>
            <w:instrText xml:space="preserve"> HYPERLINK \l _Toc25288 </w:instrText>
          </w:r>
          <w:r>
            <w:rPr>
              <w:rFonts w:hint="eastAsia"/>
              <w:bCs/>
              <w:szCs w:val="32"/>
              <w:lang w:val="en-US" w:eastAsia="zh-CN"/>
            </w:rPr>
            <w:fldChar w:fldCharType="separate"/>
          </w:r>
          <w:r>
            <w:rPr>
              <w:rFonts w:hint="eastAsia"/>
              <w:bCs w:val="0"/>
              <w:szCs w:val="24"/>
              <w:lang w:val="en-US" w:eastAsia="zh-CN"/>
            </w:rPr>
            <w:t>3. 对口支援</w:t>
          </w:r>
          <w:r>
            <w:tab/>
          </w:r>
          <w:r>
            <w:fldChar w:fldCharType="begin"/>
          </w:r>
          <w:r>
            <w:instrText xml:space="preserve"> PAGEREF _Toc25288 </w:instrText>
          </w:r>
          <w:r>
            <w:fldChar w:fldCharType="separate"/>
          </w:r>
          <w:r>
            <w:t>33</w:t>
          </w:r>
          <w:r>
            <w:fldChar w:fldCharType="end"/>
          </w:r>
          <w:r>
            <w:rPr>
              <w:rFonts w:hint="eastAsia"/>
              <w:bCs/>
              <w:szCs w:val="32"/>
              <w:lang w:val="en-US" w:eastAsia="zh-CN"/>
            </w:rPr>
            <w:fldChar w:fldCharType="end"/>
          </w:r>
        </w:p>
        <w:p>
          <w:pPr>
            <w:pStyle w:val="15"/>
            <w:tabs>
              <w:tab w:val="right" w:leader="dot" w:pos="8306"/>
            </w:tabs>
            <w:rPr>
              <w:b/>
            </w:rPr>
          </w:pPr>
          <w:r>
            <w:rPr>
              <w:rFonts w:hint="eastAsia"/>
              <w:b/>
              <w:bCs/>
              <w:szCs w:val="32"/>
              <w:lang w:val="en-US" w:eastAsia="zh-CN"/>
            </w:rPr>
            <w:fldChar w:fldCharType="begin"/>
          </w:r>
          <w:r>
            <w:rPr>
              <w:rFonts w:hint="eastAsia"/>
              <w:b/>
              <w:bCs/>
              <w:szCs w:val="32"/>
              <w:lang w:val="en-US" w:eastAsia="zh-CN"/>
            </w:rPr>
            <w:instrText xml:space="preserve"> HYPERLINK \l _Toc28253 </w:instrText>
          </w:r>
          <w:r>
            <w:rPr>
              <w:rFonts w:hint="eastAsia"/>
              <w:b/>
              <w:bCs/>
              <w:szCs w:val="32"/>
              <w:lang w:val="en-US" w:eastAsia="zh-CN"/>
            </w:rPr>
            <w:fldChar w:fldCharType="separate"/>
          </w:r>
          <w:r>
            <w:rPr>
              <w:rFonts w:hint="eastAsia"/>
              <w:b/>
              <w:bCs/>
              <w:szCs w:val="32"/>
              <w:lang w:val="en-US" w:eastAsia="zh-CN"/>
            </w:rPr>
            <w:t>六、 举办者履责</w:t>
          </w:r>
          <w:r>
            <w:rPr>
              <w:b/>
            </w:rPr>
            <w:tab/>
          </w:r>
          <w:r>
            <w:rPr>
              <w:b/>
            </w:rPr>
            <w:fldChar w:fldCharType="begin"/>
          </w:r>
          <w:r>
            <w:rPr>
              <w:b/>
            </w:rPr>
            <w:instrText xml:space="preserve"> PAGEREF _Toc28253 </w:instrText>
          </w:r>
          <w:r>
            <w:rPr>
              <w:b/>
            </w:rPr>
            <w:fldChar w:fldCharType="separate"/>
          </w:r>
          <w:r>
            <w:rPr>
              <w:b/>
            </w:rPr>
            <w:t>33</w:t>
          </w:r>
          <w:r>
            <w:rPr>
              <w:b/>
            </w:rPr>
            <w:fldChar w:fldCharType="end"/>
          </w:r>
          <w:r>
            <w:rPr>
              <w:rFonts w:hint="eastAsia"/>
              <w:b/>
              <w:bCs/>
              <w:szCs w:val="32"/>
              <w:lang w:val="en-US" w:eastAsia="zh-CN"/>
            </w:rPr>
            <w:fldChar w:fldCharType="end"/>
          </w:r>
        </w:p>
        <w:p>
          <w:pPr>
            <w:pStyle w:val="16"/>
            <w:tabs>
              <w:tab w:val="right" w:leader="dot" w:pos="8306"/>
            </w:tabs>
          </w:pPr>
          <w:r>
            <w:rPr>
              <w:rFonts w:hint="eastAsia"/>
              <w:bCs/>
              <w:szCs w:val="32"/>
              <w:lang w:val="en-US" w:eastAsia="zh-CN"/>
            </w:rPr>
            <w:fldChar w:fldCharType="begin"/>
          </w:r>
          <w:r>
            <w:rPr>
              <w:rFonts w:hint="eastAsia"/>
              <w:bCs/>
              <w:szCs w:val="32"/>
              <w:lang w:val="en-US" w:eastAsia="zh-CN"/>
            </w:rPr>
            <w:instrText xml:space="preserve"> HYPERLINK \l _Toc6400 </w:instrText>
          </w:r>
          <w:r>
            <w:rPr>
              <w:rFonts w:hint="eastAsia"/>
              <w:bCs/>
              <w:szCs w:val="32"/>
              <w:lang w:val="en-US" w:eastAsia="zh-CN"/>
            </w:rPr>
            <w:fldChar w:fldCharType="separate"/>
          </w:r>
          <w:r>
            <w:rPr>
              <w:rFonts w:hint="eastAsia"/>
              <w:bCs/>
              <w:szCs w:val="28"/>
              <w:lang w:val="en-US" w:eastAsia="zh-CN"/>
            </w:rPr>
            <w:t>1、 经费</w:t>
          </w:r>
          <w:r>
            <w:tab/>
          </w:r>
          <w:r>
            <w:fldChar w:fldCharType="begin"/>
          </w:r>
          <w:r>
            <w:instrText xml:space="preserve"> PAGEREF _Toc6400 </w:instrText>
          </w:r>
          <w:r>
            <w:fldChar w:fldCharType="separate"/>
          </w:r>
          <w:r>
            <w:t>33</w:t>
          </w:r>
          <w:r>
            <w:fldChar w:fldCharType="end"/>
          </w:r>
          <w:r>
            <w:rPr>
              <w:rFonts w:hint="eastAsia"/>
              <w:bCs/>
              <w:szCs w:val="32"/>
              <w:lang w:val="en-US" w:eastAsia="zh-CN"/>
            </w:rPr>
            <w:fldChar w:fldCharType="end"/>
          </w:r>
        </w:p>
        <w:p>
          <w:pPr>
            <w:pStyle w:val="16"/>
            <w:tabs>
              <w:tab w:val="right" w:leader="dot" w:pos="8306"/>
            </w:tabs>
          </w:pPr>
          <w:r>
            <w:rPr>
              <w:rFonts w:hint="eastAsia"/>
              <w:bCs/>
              <w:szCs w:val="32"/>
              <w:lang w:val="en-US" w:eastAsia="zh-CN"/>
            </w:rPr>
            <w:fldChar w:fldCharType="begin"/>
          </w:r>
          <w:r>
            <w:rPr>
              <w:rFonts w:hint="eastAsia"/>
              <w:bCs/>
              <w:szCs w:val="32"/>
              <w:lang w:val="en-US" w:eastAsia="zh-CN"/>
            </w:rPr>
            <w:instrText xml:space="preserve"> HYPERLINK \l _Toc13921 </w:instrText>
          </w:r>
          <w:r>
            <w:rPr>
              <w:rFonts w:hint="eastAsia"/>
              <w:bCs/>
              <w:szCs w:val="32"/>
              <w:lang w:val="en-US" w:eastAsia="zh-CN"/>
            </w:rPr>
            <w:fldChar w:fldCharType="separate"/>
          </w:r>
          <w:r>
            <w:rPr>
              <w:rFonts w:hint="eastAsia"/>
              <w:bCs/>
              <w:szCs w:val="28"/>
              <w:lang w:val="en-US" w:eastAsia="zh-CN"/>
            </w:rPr>
            <w:t>2、 政策措施</w:t>
          </w:r>
          <w:r>
            <w:tab/>
          </w:r>
          <w:r>
            <w:fldChar w:fldCharType="begin"/>
          </w:r>
          <w:r>
            <w:instrText xml:space="preserve"> PAGEREF _Toc13921 </w:instrText>
          </w:r>
          <w:r>
            <w:fldChar w:fldCharType="separate"/>
          </w:r>
          <w:r>
            <w:t>33</w:t>
          </w:r>
          <w:r>
            <w:fldChar w:fldCharType="end"/>
          </w:r>
          <w:r>
            <w:rPr>
              <w:rFonts w:hint="eastAsia"/>
              <w:bCs/>
              <w:szCs w:val="32"/>
              <w:lang w:val="en-US" w:eastAsia="zh-CN"/>
            </w:rPr>
            <w:fldChar w:fldCharType="end"/>
          </w:r>
        </w:p>
        <w:p>
          <w:pPr>
            <w:pStyle w:val="15"/>
            <w:tabs>
              <w:tab w:val="right" w:leader="dot" w:pos="8306"/>
            </w:tabs>
            <w:rPr>
              <w:b/>
            </w:rPr>
          </w:pPr>
          <w:r>
            <w:rPr>
              <w:rFonts w:hint="eastAsia"/>
              <w:b/>
              <w:bCs/>
              <w:szCs w:val="32"/>
              <w:lang w:val="en-US" w:eastAsia="zh-CN"/>
            </w:rPr>
            <w:fldChar w:fldCharType="begin"/>
          </w:r>
          <w:r>
            <w:rPr>
              <w:rFonts w:hint="eastAsia"/>
              <w:b/>
              <w:bCs/>
              <w:szCs w:val="32"/>
              <w:lang w:val="en-US" w:eastAsia="zh-CN"/>
            </w:rPr>
            <w:instrText xml:space="preserve"> HYPERLINK \l _Toc13846 </w:instrText>
          </w:r>
          <w:r>
            <w:rPr>
              <w:rFonts w:hint="eastAsia"/>
              <w:b/>
              <w:bCs/>
              <w:szCs w:val="32"/>
              <w:lang w:val="en-US" w:eastAsia="zh-CN"/>
            </w:rPr>
            <w:fldChar w:fldCharType="separate"/>
          </w:r>
          <w:r>
            <w:rPr>
              <w:rFonts w:hint="eastAsia"/>
              <w:b/>
              <w:bCs/>
              <w:szCs w:val="32"/>
              <w:lang w:val="en-US" w:eastAsia="zh-CN"/>
            </w:rPr>
            <w:t>七、特色创新</w:t>
          </w:r>
          <w:r>
            <w:rPr>
              <w:b/>
            </w:rPr>
            <w:tab/>
          </w:r>
          <w:r>
            <w:rPr>
              <w:b/>
            </w:rPr>
            <w:fldChar w:fldCharType="begin"/>
          </w:r>
          <w:r>
            <w:rPr>
              <w:b/>
            </w:rPr>
            <w:instrText xml:space="preserve"> PAGEREF _Toc13846 </w:instrText>
          </w:r>
          <w:r>
            <w:rPr>
              <w:b/>
            </w:rPr>
            <w:fldChar w:fldCharType="separate"/>
          </w:r>
          <w:r>
            <w:rPr>
              <w:b/>
            </w:rPr>
            <w:t>37</w:t>
          </w:r>
          <w:r>
            <w:rPr>
              <w:b/>
            </w:rPr>
            <w:fldChar w:fldCharType="end"/>
          </w:r>
          <w:r>
            <w:rPr>
              <w:rFonts w:hint="eastAsia"/>
              <w:b/>
              <w:bCs/>
              <w:szCs w:val="32"/>
              <w:lang w:val="en-US" w:eastAsia="zh-CN"/>
            </w:rPr>
            <w:fldChar w:fldCharType="end"/>
          </w:r>
        </w:p>
        <w:p>
          <w:pPr>
            <w:pStyle w:val="15"/>
            <w:tabs>
              <w:tab w:val="right" w:leader="dot" w:pos="8306"/>
            </w:tabs>
            <w:rPr>
              <w:b/>
            </w:rPr>
          </w:pPr>
          <w:r>
            <w:rPr>
              <w:rFonts w:hint="eastAsia"/>
              <w:b/>
              <w:bCs/>
              <w:szCs w:val="32"/>
              <w:lang w:val="en-US" w:eastAsia="zh-CN"/>
            </w:rPr>
            <w:fldChar w:fldCharType="begin"/>
          </w:r>
          <w:r>
            <w:rPr>
              <w:rFonts w:hint="eastAsia"/>
              <w:b/>
              <w:bCs/>
              <w:szCs w:val="32"/>
              <w:lang w:val="en-US" w:eastAsia="zh-CN"/>
            </w:rPr>
            <w:instrText xml:space="preserve"> HYPERLINK \l _Toc1138 </w:instrText>
          </w:r>
          <w:r>
            <w:rPr>
              <w:rFonts w:hint="eastAsia"/>
              <w:b/>
              <w:bCs/>
              <w:szCs w:val="32"/>
              <w:lang w:val="en-US" w:eastAsia="zh-CN"/>
            </w:rPr>
            <w:fldChar w:fldCharType="separate"/>
          </w:r>
          <w:r>
            <w:rPr>
              <w:rFonts w:hint="eastAsia"/>
              <w:b/>
              <w:bCs/>
              <w:szCs w:val="32"/>
              <w:lang w:val="en-US" w:eastAsia="zh-CN"/>
            </w:rPr>
            <w:t>八、主要问题和改进措施</w:t>
          </w:r>
          <w:r>
            <w:rPr>
              <w:b/>
            </w:rPr>
            <w:tab/>
          </w:r>
          <w:r>
            <w:rPr>
              <w:b/>
            </w:rPr>
            <w:fldChar w:fldCharType="begin"/>
          </w:r>
          <w:r>
            <w:rPr>
              <w:b/>
            </w:rPr>
            <w:instrText xml:space="preserve"> PAGEREF _Toc1138 </w:instrText>
          </w:r>
          <w:r>
            <w:rPr>
              <w:b/>
            </w:rPr>
            <w:fldChar w:fldCharType="separate"/>
          </w:r>
          <w:r>
            <w:rPr>
              <w:b/>
            </w:rPr>
            <w:t>47</w:t>
          </w:r>
          <w:r>
            <w:rPr>
              <w:b/>
            </w:rPr>
            <w:fldChar w:fldCharType="end"/>
          </w:r>
          <w:r>
            <w:rPr>
              <w:rFonts w:hint="eastAsia"/>
              <w:b/>
              <w:bCs/>
              <w:szCs w:val="32"/>
              <w:lang w:val="en-US" w:eastAsia="zh-CN"/>
            </w:rPr>
            <w:fldChar w:fldCharType="end"/>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textAlignment w:val="auto"/>
            <w:outlineLvl w:val="9"/>
            <w:rPr>
              <w:rFonts w:hint="eastAsia"/>
              <w:b/>
              <w:bCs/>
              <w:sz w:val="32"/>
              <w:szCs w:val="32"/>
              <w:lang w:val="en-US" w:eastAsia="zh-CN"/>
            </w:rPr>
          </w:pPr>
          <w:r>
            <w:rPr>
              <w:rFonts w:hint="eastAsia"/>
              <w:b/>
              <w:bCs/>
              <w:szCs w:val="32"/>
              <w:lang w:val="en-US" w:eastAsia="zh-CN"/>
            </w:rPr>
            <w:fldChar w:fldCharType="end"/>
          </w:r>
        </w:p>
      </w:sdtContent>
    </w:sdt>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textAlignment w:val="auto"/>
        <w:outlineLvl w:val="0"/>
        <w:rPr>
          <w:rFonts w:hint="eastAsia"/>
          <w:b/>
          <w:bCs/>
          <w:sz w:val="32"/>
          <w:szCs w:val="32"/>
          <w:lang w:val="en-US" w:eastAsia="zh-CN"/>
        </w:rPr>
        <w:sectPr>
          <w:footerReference r:id="rId3" w:type="default"/>
          <w:pgSz w:w="11906" w:h="16838"/>
          <w:pgMar w:top="1440" w:right="1800" w:bottom="1440" w:left="1800" w:header="851" w:footer="992" w:gutter="0"/>
          <w:cols w:space="720" w:num="1"/>
          <w:docGrid w:type="lines" w:linePitch="312" w:charSpace="0"/>
        </w:sectPr>
      </w:pPr>
      <w:bookmarkStart w:id="37" w:name="_GoBack"/>
      <w:bookmarkEnd w:id="37"/>
      <w:bookmarkStart w:id="0" w:name="_Toc12747"/>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textAlignment w:val="auto"/>
        <w:outlineLvl w:val="0"/>
        <w:rPr>
          <w:rFonts w:hint="eastAsia"/>
          <w:b/>
          <w:bCs/>
          <w:sz w:val="32"/>
          <w:szCs w:val="32"/>
          <w:lang w:val="en-US" w:eastAsia="zh-CN"/>
        </w:rPr>
      </w:pPr>
      <w:r>
        <w:rPr>
          <w:rFonts w:hint="eastAsia"/>
          <w:b/>
          <w:bCs/>
          <w:sz w:val="32"/>
          <w:szCs w:val="32"/>
          <w:lang w:val="en-US" w:eastAsia="zh-CN"/>
        </w:rPr>
        <w:t>一、基本情况</w:t>
      </w:r>
      <w:bookmarkEnd w:id="0"/>
    </w:p>
    <w:p>
      <w:pPr>
        <w:keepNext w:val="0"/>
        <w:keepLines w:val="0"/>
        <w:pageBreakBefore w:val="0"/>
        <w:numPr>
          <w:ilvl w:val="0"/>
          <w:numId w:val="1"/>
        </w:numPr>
        <w:kinsoku/>
        <w:wordWrap/>
        <w:overflowPunct/>
        <w:topLinePunct w:val="0"/>
        <w:autoSpaceDE/>
        <w:autoSpaceDN/>
        <w:bidi w:val="0"/>
        <w:adjustRightInd/>
        <w:spacing w:beforeAutospacing="0" w:afterAutospacing="0" w:line="360" w:lineRule="auto"/>
        <w:ind w:left="0" w:leftChars="0" w:right="0" w:rightChars="0" w:firstLine="0" w:firstLineChars="0"/>
        <w:textAlignment w:val="auto"/>
        <w:outlineLvl w:val="1"/>
        <w:rPr>
          <w:rFonts w:hint="eastAsia"/>
          <w:b/>
          <w:bCs/>
          <w:sz w:val="28"/>
          <w:szCs w:val="28"/>
          <w:lang w:val="en-US" w:eastAsia="zh-CN"/>
        </w:rPr>
      </w:pPr>
      <w:bookmarkStart w:id="1" w:name="_Toc11303"/>
      <w:r>
        <w:rPr>
          <w:rFonts w:hint="eastAsia"/>
          <w:b/>
          <w:bCs/>
          <w:sz w:val="28"/>
          <w:szCs w:val="28"/>
          <w:lang w:val="en-US" w:eastAsia="zh-CN"/>
        </w:rPr>
        <w:t>学校概况</w:t>
      </w:r>
      <w:bookmarkEnd w:id="1"/>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firstLine="0" w:firstLineChars="0"/>
        <w:textAlignment w:val="auto"/>
        <w:outlineLvl w:val="9"/>
        <w:rPr>
          <w:rFonts w:hint="eastAsia"/>
          <w:sz w:val="24"/>
          <w:szCs w:val="24"/>
          <w:lang w:val="en-US" w:eastAsia="zh-CN"/>
        </w:rPr>
      </w:pPr>
      <w:r>
        <w:rPr>
          <w:rFonts w:hint="eastAsia"/>
          <w:sz w:val="24"/>
          <w:szCs w:val="24"/>
          <w:lang w:val="en-US" w:eastAsia="zh-CN"/>
        </w:rPr>
        <w:t xml:space="preserve">    浦江职技校创办于1985年，2009年2月完成整体搬迁。校园占地面积243亩，投资2亿元，建筑面积10万平方米。学校现有全日制在校生3600余人，正式在编教职工221人，班级数86个。特级教师1人，高级教师38人，中级教师101人，双师型教师</w:t>
      </w:r>
      <w:r>
        <w:rPr>
          <w:rFonts w:hint="eastAsia"/>
          <w:color w:val="000000" w:themeColor="text1"/>
          <w:sz w:val="24"/>
          <w:szCs w:val="24"/>
          <w:lang w:val="en-US" w:eastAsia="zh-CN"/>
          <w14:textFill>
            <w14:solidFill>
              <w14:schemeClr w14:val="tx1"/>
            </w14:solidFill>
          </w14:textFill>
        </w:rPr>
        <w:t>82</w:t>
      </w:r>
      <w:r>
        <w:rPr>
          <w:rFonts w:hint="eastAsia"/>
          <w:sz w:val="24"/>
          <w:szCs w:val="24"/>
          <w:lang w:val="en-US" w:eastAsia="zh-CN"/>
        </w:rPr>
        <w:t>人，外聘教师36人，研究生11人。</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firstLine="480" w:firstLineChars="0"/>
        <w:textAlignment w:val="auto"/>
        <w:outlineLvl w:val="9"/>
        <w:rPr>
          <w:rFonts w:hint="default"/>
          <w:sz w:val="24"/>
          <w:szCs w:val="24"/>
          <w:lang w:val="en-US" w:eastAsia="zh-CN"/>
        </w:rPr>
      </w:pPr>
      <w:r>
        <w:rPr>
          <w:rFonts w:hint="eastAsia"/>
          <w:sz w:val="24"/>
          <w:szCs w:val="24"/>
          <w:lang w:val="en-US" w:eastAsia="zh-CN"/>
        </w:rPr>
        <w:t>我校现为国家级重点中等职业学校、浙江省第二批中职改革示范学校、浙江省工艺美术专业副理事长学校、浙江省消防安全先进单位、金华市艺术教育特色学校、金华市卫生先进单位、县技能人才培养基地等。2019年5月，浦江技工学校在浦江工匠学院的基础上批准成立，为技能培训、社会服务打开了更广阔的的空间和舞台。</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right="0" w:rightChars="0"/>
        <w:textAlignment w:val="auto"/>
        <w:outlineLvl w:val="9"/>
        <w:rPr>
          <w:rFonts w:hint="eastAsia"/>
          <w:sz w:val="24"/>
          <w:szCs w:val="24"/>
          <w:lang w:val="en-US" w:eastAsia="zh-CN"/>
        </w:rPr>
      </w:pPr>
      <w:r>
        <w:rPr>
          <w:rFonts w:hint="eastAsia"/>
          <w:sz w:val="24"/>
          <w:szCs w:val="24"/>
          <w:lang w:val="en-US" w:eastAsia="zh-CN"/>
        </w:rPr>
        <w:t xml:space="preserve">    学校依山而建，环境优雅，人文气息浓厚。开设有工艺美术、水晶工艺设计、机械制造、电子电工、数控加工技术、汽车维修与装潢、计算机应用与维护、财会、学前教育、电子商务、建筑基础、健康养生等十多个专业。其中，工艺美术专业和电子电工专业为浙江省双高建设专业；电子电工专业和水晶工艺与设计专业为浙江省示范性专业，机电实训基地和水晶工艺实训基地为浙江省级实训基地。学校教学设施先进，体育馆、400米标准塑胶田径场、图书馆、电子阅览室、学生公寓等一应俱全。具有配备先进的水晶工艺实训车间、数控实训车间、电子电工实训室、汽修实训车间、11个电脑实训室、30个工艺美术画室、艺术创作室、钢琴房、舞蹈室等各类实验实训场所，共计投入实训设备3688万元。</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firstLine="0" w:firstLineChars="0"/>
        <w:textAlignment w:val="auto"/>
        <w:outlineLvl w:val="9"/>
        <w:rPr>
          <w:rFonts w:hint="eastAsia"/>
          <w:b/>
          <w:bCs/>
          <w:sz w:val="28"/>
          <w:szCs w:val="28"/>
          <w:lang w:val="en-US" w:eastAsia="zh-CN"/>
        </w:rPr>
      </w:pPr>
      <w:r>
        <w:rPr>
          <w:rFonts w:hint="eastAsia"/>
          <w:sz w:val="24"/>
          <w:szCs w:val="24"/>
          <w:lang w:val="en-US" w:eastAsia="zh-CN"/>
        </w:rPr>
        <w:t xml:space="preserve">    我校倡导“相信人人有才、帮助人人成才”的办学理念，以服务地方产业，传承区域文化，铸造品牌专业，培育特色人才为办学宗旨。依托浦江书画、水晶、制锁、绗缝等支柱产业，深化校企合作，积极推行顶岗实习人才培养模式，加大力度开展农民工培训和各类企事业单位岗位技能培训，积极为区域经济建设培养实用型技术人才。</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textAlignment w:val="auto"/>
        <w:outlineLvl w:val="9"/>
        <w:rPr>
          <w:rFonts w:hint="eastAsia"/>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textAlignment w:val="auto"/>
        <w:outlineLvl w:val="9"/>
        <w:rPr>
          <w:rFonts w:hint="eastAsia"/>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textAlignment w:val="auto"/>
        <w:outlineLvl w:val="9"/>
        <w:rPr>
          <w:rFonts w:hint="eastAsia"/>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textAlignment w:val="auto"/>
        <w:outlineLvl w:val="9"/>
        <w:rPr>
          <w:rFonts w:hint="eastAsia"/>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textAlignment w:val="auto"/>
        <w:outlineLvl w:val="1"/>
        <w:rPr>
          <w:rFonts w:hint="eastAsia"/>
          <w:b/>
          <w:bCs/>
          <w:color w:val="auto"/>
          <w:sz w:val="28"/>
          <w:szCs w:val="28"/>
          <w:lang w:val="en-US" w:eastAsia="zh-CN"/>
        </w:rPr>
      </w:pPr>
      <w:bookmarkStart w:id="2" w:name="_Toc31462"/>
      <w:r>
        <w:rPr>
          <w:rFonts w:hint="eastAsia"/>
          <w:b/>
          <w:bCs/>
          <w:color w:val="auto"/>
          <w:sz w:val="28"/>
          <w:szCs w:val="28"/>
          <w:lang w:val="en-US" w:eastAsia="zh-CN"/>
        </w:rPr>
        <w:t>2、学生情况</w:t>
      </w:r>
      <w:bookmarkEnd w:id="2"/>
    </w:p>
    <w:tbl>
      <w:tblPr>
        <w:tblStyle w:val="10"/>
        <w:tblpPr w:leftFromText="180" w:rightFromText="180" w:vertAnchor="text" w:horzAnchor="page" w:tblpX="1897" w:tblpY="85"/>
        <w:tblOverlap w:val="never"/>
        <w:tblW w:w="6536" w:type="dxa"/>
        <w:tblInd w:w="0" w:type="dxa"/>
        <w:tblLayout w:type="fixed"/>
        <w:tblCellMar>
          <w:top w:w="0" w:type="dxa"/>
          <w:left w:w="108" w:type="dxa"/>
          <w:bottom w:w="0" w:type="dxa"/>
          <w:right w:w="108" w:type="dxa"/>
        </w:tblCellMar>
      </w:tblPr>
      <w:tblGrid>
        <w:gridCol w:w="1560"/>
        <w:gridCol w:w="1360"/>
        <w:gridCol w:w="1773"/>
        <w:gridCol w:w="1843"/>
      </w:tblGrid>
      <w:tr>
        <w:tblPrEx>
          <w:tblCellMar>
            <w:top w:w="0" w:type="dxa"/>
            <w:left w:w="108" w:type="dxa"/>
            <w:bottom w:w="0" w:type="dxa"/>
            <w:right w:w="108" w:type="dxa"/>
          </w:tblCellMar>
        </w:tblPrEx>
        <w:trPr>
          <w:trHeight w:val="270" w:hRule="atLeast"/>
        </w:trPr>
        <w:tc>
          <w:tcPr>
            <w:tcW w:w="1560" w:type="dxa"/>
            <w:vMerge w:val="restart"/>
            <w:tcBorders>
              <w:top w:val="single" w:color="auto" w:sz="4" w:space="0"/>
              <w:left w:val="single" w:color="auto" w:sz="4" w:space="0"/>
              <w:right w:val="nil"/>
            </w:tcBorders>
            <w:noWrap w:val="0"/>
            <w:vAlign w:val="center"/>
          </w:tcPr>
          <w:p>
            <w:pPr>
              <w:keepNext w:val="0"/>
              <w:keepLines w:val="0"/>
              <w:pageBreakBefore w:val="0"/>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ascii="宋体" w:hAnsi="宋体" w:cs="宋体"/>
                <w:color w:val="auto"/>
                <w:kern w:val="0"/>
                <w:sz w:val="24"/>
                <w:szCs w:val="24"/>
              </w:rPr>
            </w:pPr>
            <w:r>
              <w:rPr>
                <w:rFonts w:hint="eastAsia" w:ascii="宋体" w:hAnsi="宋体" w:cs="宋体"/>
                <w:color w:val="auto"/>
                <w:kern w:val="0"/>
                <w:sz w:val="24"/>
                <w:szCs w:val="24"/>
              </w:rPr>
              <w:t>年份</w:t>
            </w:r>
          </w:p>
        </w:tc>
        <w:tc>
          <w:tcPr>
            <w:tcW w:w="13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ascii="宋体" w:hAnsi="宋体" w:cs="宋体"/>
                <w:color w:val="auto"/>
                <w:kern w:val="0"/>
                <w:sz w:val="24"/>
                <w:szCs w:val="24"/>
              </w:rPr>
            </w:pPr>
            <w:r>
              <w:rPr>
                <w:rFonts w:hint="eastAsia" w:ascii="宋体" w:hAnsi="宋体" w:cs="宋体"/>
                <w:color w:val="auto"/>
                <w:kern w:val="0"/>
                <w:sz w:val="24"/>
                <w:szCs w:val="24"/>
              </w:rPr>
              <w:t>招生规模</w:t>
            </w:r>
          </w:p>
        </w:tc>
        <w:tc>
          <w:tcPr>
            <w:tcW w:w="177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ascii="宋体" w:hAnsi="宋体" w:cs="宋体"/>
                <w:color w:val="auto"/>
                <w:kern w:val="0"/>
                <w:sz w:val="24"/>
                <w:szCs w:val="24"/>
              </w:rPr>
            </w:pPr>
            <w:r>
              <w:rPr>
                <w:rFonts w:hint="eastAsia" w:ascii="宋体" w:hAnsi="宋体" w:cs="宋体"/>
                <w:color w:val="auto"/>
                <w:kern w:val="0"/>
                <w:sz w:val="24"/>
                <w:szCs w:val="24"/>
              </w:rPr>
              <w:t>在校生规模</w:t>
            </w:r>
          </w:p>
        </w:tc>
        <w:tc>
          <w:tcPr>
            <w:tcW w:w="184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ascii="宋体" w:hAnsi="宋体" w:cs="宋体"/>
                <w:color w:val="auto"/>
                <w:kern w:val="0"/>
                <w:sz w:val="24"/>
                <w:szCs w:val="24"/>
              </w:rPr>
            </w:pPr>
            <w:r>
              <w:rPr>
                <w:rFonts w:hint="eastAsia" w:ascii="宋体" w:hAnsi="宋体" w:cs="宋体"/>
                <w:color w:val="auto"/>
                <w:kern w:val="0"/>
                <w:sz w:val="24"/>
                <w:szCs w:val="24"/>
              </w:rPr>
              <w:t>毕业生规模</w:t>
            </w:r>
          </w:p>
        </w:tc>
      </w:tr>
      <w:tr>
        <w:tblPrEx>
          <w:tblCellMar>
            <w:top w:w="0" w:type="dxa"/>
            <w:left w:w="108" w:type="dxa"/>
            <w:bottom w:w="0" w:type="dxa"/>
            <w:right w:w="108" w:type="dxa"/>
          </w:tblCellMar>
        </w:tblPrEx>
        <w:trPr>
          <w:trHeight w:val="285" w:hRule="atLeast"/>
        </w:trPr>
        <w:tc>
          <w:tcPr>
            <w:tcW w:w="1560"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ascii="宋体" w:hAnsi="宋体" w:cs="宋体"/>
                <w:color w:val="auto"/>
                <w:kern w:val="0"/>
                <w:sz w:val="24"/>
                <w:szCs w:val="24"/>
              </w:rPr>
            </w:pPr>
          </w:p>
        </w:tc>
        <w:tc>
          <w:tcPr>
            <w:tcW w:w="136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ascii="宋体" w:hAnsi="宋体" w:cs="宋体"/>
                <w:color w:val="auto"/>
                <w:kern w:val="0"/>
                <w:sz w:val="24"/>
                <w:szCs w:val="24"/>
              </w:rPr>
            </w:pPr>
            <w:r>
              <w:rPr>
                <w:rFonts w:hint="eastAsia" w:ascii="宋体" w:hAnsi="宋体" w:cs="宋体"/>
                <w:color w:val="auto"/>
                <w:kern w:val="0"/>
                <w:sz w:val="24"/>
                <w:szCs w:val="24"/>
              </w:rPr>
              <w:t>招生人数</w:t>
            </w:r>
          </w:p>
        </w:tc>
        <w:tc>
          <w:tcPr>
            <w:tcW w:w="1773"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ascii="宋体" w:hAnsi="宋体" w:cs="宋体"/>
                <w:color w:val="auto"/>
                <w:kern w:val="0"/>
                <w:sz w:val="24"/>
                <w:szCs w:val="24"/>
              </w:rPr>
            </w:pPr>
            <w:r>
              <w:rPr>
                <w:rFonts w:hint="eastAsia" w:ascii="宋体" w:hAnsi="宋体" w:cs="宋体"/>
                <w:color w:val="auto"/>
                <w:kern w:val="0"/>
                <w:sz w:val="24"/>
                <w:szCs w:val="24"/>
              </w:rPr>
              <w:t>在校生人数</w:t>
            </w:r>
          </w:p>
        </w:tc>
        <w:tc>
          <w:tcPr>
            <w:tcW w:w="1843"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ascii="宋体" w:hAnsi="宋体" w:cs="宋体"/>
                <w:color w:val="auto"/>
                <w:kern w:val="0"/>
                <w:sz w:val="24"/>
                <w:szCs w:val="24"/>
              </w:rPr>
            </w:pPr>
            <w:r>
              <w:rPr>
                <w:rFonts w:hint="eastAsia" w:ascii="宋体" w:hAnsi="宋体" w:cs="宋体"/>
                <w:color w:val="auto"/>
                <w:kern w:val="0"/>
                <w:sz w:val="24"/>
                <w:szCs w:val="24"/>
              </w:rPr>
              <w:t>毕业生人数</w:t>
            </w:r>
          </w:p>
        </w:tc>
      </w:tr>
      <w:tr>
        <w:tblPrEx>
          <w:tblCellMar>
            <w:top w:w="0" w:type="dxa"/>
            <w:left w:w="108" w:type="dxa"/>
            <w:bottom w:w="0" w:type="dxa"/>
            <w:right w:w="108" w:type="dxa"/>
          </w:tblCellMar>
        </w:tblPrEx>
        <w:trPr>
          <w:trHeight w:val="487" w:hRule="atLeast"/>
        </w:trPr>
        <w:tc>
          <w:tcPr>
            <w:tcW w:w="15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lang w:val="en-US" w:eastAsia="zh-CN"/>
              </w:rPr>
              <w:t>2019年</w:t>
            </w:r>
          </w:p>
        </w:tc>
        <w:tc>
          <w:tcPr>
            <w:tcW w:w="13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hint="default"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1304</w:t>
            </w:r>
          </w:p>
        </w:tc>
        <w:tc>
          <w:tcPr>
            <w:tcW w:w="17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hint="default"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3643</w:t>
            </w:r>
          </w:p>
        </w:tc>
        <w:tc>
          <w:tcPr>
            <w:tcW w:w="184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hint="default"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1105</w:t>
            </w:r>
          </w:p>
        </w:tc>
      </w:tr>
      <w:tr>
        <w:tblPrEx>
          <w:tblCellMar>
            <w:top w:w="0" w:type="dxa"/>
            <w:left w:w="108" w:type="dxa"/>
            <w:bottom w:w="0" w:type="dxa"/>
            <w:right w:w="108" w:type="dxa"/>
          </w:tblCellMar>
        </w:tblPrEx>
        <w:trPr>
          <w:trHeight w:val="487" w:hRule="atLeast"/>
        </w:trPr>
        <w:tc>
          <w:tcPr>
            <w:tcW w:w="15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hint="default"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2020年</w:t>
            </w:r>
          </w:p>
        </w:tc>
        <w:tc>
          <w:tcPr>
            <w:tcW w:w="13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1609</w:t>
            </w:r>
          </w:p>
        </w:tc>
        <w:tc>
          <w:tcPr>
            <w:tcW w:w="17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hint="default"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3631</w:t>
            </w:r>
          </w:p>
        </w:tc>
        <w:tc>
          <w:tcPr>
            <w:tcW w:w="184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hint="default"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1098</w:t>
            </w:r>
          </w:p>
        </w:tc>
      </w:tr>
    </w:tbl>
    <w:p>
      <w:pPr>
        <w:keepNext w:val="0"/>
        <w:keepLines w:val="0"/>
        <w:pageBreakBefore w:val="0"/>
        <w:widowControl/>
        <w:kinsoku/>
        <w:wordWrap/>
        <w:overflowPunct/>
        <w:topLinePunct w:val="0"/>
        <w:autoSpaceDE/>
        <w:autoSpaceDN/>
        <w:bidi w:val="0"/>
        <w:adjustRightInd/>
        <w:snapToGrid w:val="0"/>
        <w:spacing w:beforeAutospacing="0" w:afterAutospacing="0" w:line="360" w:lineRule="auto"/>
        <w:ind w:left="0" w:leftChars="0" w:right="0" w:rightChars="0" w:firstLine="0" w:firstLineChars="0"/>
        <w:jc w:val="left"/>
        <w:textAlignment w:val="auto"/>
        <w:outlineLvl w:val="9"/>
        <w:rPr>
          <w:rFonts w:ascii="宋体" w:hAnsi="宋体"/>
          <w:b/>
          <w:color w:val="auto"/>
          <w:sz w:val="24"/>
          <w:szCs w:val="24"/>
        </w:rPr>
      </w:pPr>
    </w:p>
    <w:p>
      <w:pPr>
        <w:keepNext w:val="0"/>
        <w:keepLines w:val="0"/>
        <w:pageBreakBefore w:val="0"/>
        <w:widowControl/>
        <w:kinsoku/>
        <w:wordWrap/>
        <w:overflowPunct/>
        <w:topLinePunct w:val="0"/>
        <w:autoSpaceDE/>
        <w:autoSpaceDN/>
        <w:bidi w:val="0"/>
        <w:adjustRightInd/>
        <w:snapToGrid w:val="0"/>
        <w:spacing w:beforeAutospacing="0" w:afterAutospacing="0" w:line="360" w:lineRule="auto"/>
        <w:ind w:left="0" w:leftChars="0" w:right="0" w:rightChars="0" w:firstLine="0" w:firstLineChars="0"/>
        <w:jc w:val="left"/>
        <w:textAlignment w:val="auto"/>
        <w:outlineLvl w:val="9"/>
        <w:rPr>
          <w:rFonts w:ascii="宋体" w:hAnsi="宋体"/>
          <w:b/>
          <w:color w:val="auto"/>
          <w:sz w:val="24"/>
          <w:szCs w:val="24"/>
        </w:rPr>
      </w:pPr>
      <w:r>
        <w:rPr>
          <w:rFonts w:hint="eastAsia" w:ascii="宋体" w:hAnsi="宋体"/>
          <w:b/>
          <w:color w:val="auto"/>
          <w:sz w:val="24"/>
          <w:szCs w:val="24"/>
        </w:rPr>
        <w:t xml:space="preserve">                      </w:t>
      </w:r>
    </w:p>
    <w:p>
      <w:pPr>
        <w:keepNext w:val="0"/>
        <w:keepLines w:val="0"/>
        <w:pageBreakBefore w:val="0"/>
        <w:widowControl/>
        <w:kinsoku/>
        <w:wordWrap/>
        <w:overflowPunct/>
        <w:topLinePunct w:val="0"/>
        <w:autoSpaceDE/>
        <w:autoSpaceDN/>
        <w:bidi w:val="0"/>
        <w:adjustRightInd/>
        <w:snapToGrid w:val="0"/>
        <w:spacing w:beforeAutospacing="0" w:afterAutospacing="0" w:line="360" w:lineRule="auto"/>
        <w:ind w:left="0" w:leftChars="0" w:right="0" w:rightChars="0" w:firstLine="0" w:firstLineChars="0"/>
        <w:jc w:val="left"/>
        <w:textAlignment w:val="auto"/>
        <w:outlineLvl w:val="9"/>
        <w:rPr>
          <w:rFonts w:ascii="宋体" w:hAnsi="宋体"/>
          <w:b/>
          <w:color w:val="auto"/>
          <w:sz w:val="24"/>
          <w:szCs w:val="24"/>
        </w:rPr>
      </w:pP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textAlignment w:val="auto"/>
        <w:outlineLvl w:val="9"/>
        <w:rPr>
          <w:rFonts w:hint="eastAsia"/>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textAlignment w:val="auto"/>
        <w:outlineLvl w:val="9"/>
        <w:rPr>
          <w:rFonts w:hint="eastAsia"/>
          <w:b/>
          <w:bCs/>
          <w:color w:val="auto"/>
          <w:sz w:val="28"/>
          <w:szCs w:val="28"/>
          <w:lang w:val="en-US" w:eastAsia="zh-CN"/>
        </w:rPr>
      </w:pPr>
    </w:p>
    <w:tbl>
      <w:tblPr>
        <w:tblStyle w:val="10"/>
        <w:tblW w:w="9135"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1360"/>
        <w:gridCol w:w="1420"/>
        <w:gridCol w:w="1240"/>
        <w:gridCol w:w="1080"/>
        <w:gridCol w:w="1440"/>
        <w:gridCol w:w="1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135" w:type="dxa"/>
            <w:gridSpan w:val="7"/>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ascii="宋体" w:hAnsi="宋体" w:cs="宋体"/>
                <w:color w:val="auto"/>
                <w:kern w:val="0"/>
                <w:sz w:val="24"/>
                <w:szCs w:val="24"/>
              </w:rPr>
            </w:pPr>
            <w:r>
              <w:rPr>
                <w:rFonts w:hint="eastAsia" w:ascii="宋体" w:hAnsi="宋体" w:cs="宋体"/>
                <w:color w:val="auto"/>
                <w:kern w:val="0"/>
                <w:sz w:val="24"/>
                <w:szCs w:val="24"/>
              </w:rPr>
              <w:t>学生结构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60" w:type="dxa"/>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ascii="宋体" w:hAnsi="宋体" w:cs="宋体"/>
                <w:color w:val="auto"/>
                <w:kern w:val="0"/>
                <w:sz w:val="24"/>
                <w:szCs w:val="24"/>
              </w:rPr>
            </w:pPr>
            <w:r>
              <w:rPr>
                <w:rFonts w:hint="eastAsia" w:ascii="宋体" w:hAnsi="宋体" w:cs="宋体"/>
                <w:color w:val="auto"/>
                <w:kern w:val="0"/>
                <w:sz w:val="24"/>
                <w:szCs w:val="24"/>
              </w:rPr>
              <w:t>年份</w:t>
            </w:r>
          </w:p>
        </w:tc>
        <w:tc>
          <w:tcPr>
            <w:tcW w:w="1360" w:type="dxa"/>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ascii="宋体" w:hAnsi="宋体" w:cs="宋体"/>
                <w:color w:val="auto"/>
                <w:kern w:val="0"/>
                <w:sz w:val="24"/>
                <w:szCs w:val="24"/>
              </w:rPr>
            </w:pPr>
            <w:r>
              <w:rPr>
                <w:rFonts w:hint="eastAsia" w:ascii="宋体" w:hAnsi="宋体" w:cs="宋体"/>
                <w:color w:val="auto"/>
                <w:kern w:val="0"/>
                <w:sz w:val="24"/>
                <w:szCs w:val="24"/>
              </w:rPr>
              <w:t>总人数</w:t>
            </w:r>
          </w:p>
        </w:tc>
        <w:tc>
          <w:tcPr>
            <w:tcW w:w="1420" w:type="dxa"/>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ascii="宋体" w:hAnsi="宋体" w:cs="宋体"/>
                <w:color w:val="auto"/>
                <w:kern w:val="0"/>
                <w:sz w:val="24"/>
                <w:szCs w:val="24"/>
              </w:rPr>
            </w:pPr>
            <w:r>
              <w:rPr>
                <w:rFonts w:hint="eastAsia" w:ascii="宋体" w:hAnsi="宋体" w:cs="宋体"/>
                <w:color w:val="auto"/>
                <w:kern w:val="0"/>
                <w:sz w:val="24"/>
                <w:szCs w:val="24"/>
              </w:rPr>
              <w:t>工美</w:t>
            </w:r>
          </w:p>
        </w:tc>
        <w:tc>
          <w:tcPr>
            <w:tcW w:w="1240" w:type="dxa"/>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ascii="宋体" w:hAnsi="宋体" w:cs="宋体"/>
                <w:color w:val="auto"/>
                <w:kern w:val="0"/>
                <w:sz w:val="24"/>
                <w:szCs w:val="24"/>
              </w:rPr>
            </w:pPr>
            <w:r>
              <w:rPr>
                <w:rFonts w:hint="eastAsia" w:ascii="宋体" w:hAnsi="宋体" w:cs="宋体"/>
                <w:color w:val="auto"/>
                <w:kern w:val="0"/>
                <w:sz w:val="24"/>
                <w:szCs w:val="24"/>
              </w:rPr>
              <w:t>计算机</w:t>
            </w:r>
          </w:p>
        </w:tc>
        <w:tc>
          <w:tcPr>
            <w:tcW w:w="1080" w:type="dxa"/>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ascii="宋体" w:hAnsi="宋体" w:cs="宋体"/>
                <w:color w:val="auto"/>
                <w:kern w:val="0"/>
                <w:sz w:val="24"/>
                <w:szCs w:val="24"/>
              </w:rPr>
            </w:pPr>
            <w:r>
              <w:rPr>
                <w:rFonts w:hint="eastAsia" w:ascii="宋体" w:hAnsi="宋体" w:cs="宋体"/>
                <w:color w:val="auto"/>
                <w:kern w:val="0"/>
                <w:sz w:val="24"/>
                <w:szCs w:val="24"/>
              </w:rPr>
              <w:t>电商</w:t>
            </w:r>
          </w:p>
        </w:tc>
        <w:tc>
          <w:tcPr>
            <w:tcW w:w="1440" w:type="dxa"/>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lang w:val="en-US" w:eastAsia="zh-CN"/>
              </w:rPr>
              <w:t>健康养生</w:t>
            </w:r>
          </w:p>
        </w:tc>
        <w:tc>
          <w:tcPr>
            <w:tcW w:w="1035" w:type="dxa"/>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ascii="宋体" w:hAnsi="宋体" w:cs="宋体"/>
                <w:color w:val="auto"/>
                <w:kern w:val="0"/>
                <w:sz w:val="24"/>
                <w:szCs w:val="24"/>
              </w:rPr>
            </w:pPr>
            <w:r>
              <w:rPr>
                <w:rFonts w:hint="eastAsia" w:ascii="宋体" w:hAnsi="宋体" w:cs="宋体"/>
                <w:color w:val="auto"/>
                <w:kern w:val="0"/>
                <w:sz w:val="24"/>
                <w:szCs w:val="24"/>
              </w:rPr>
              <w:t>汽修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560" w:type="dxa"/>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ascii="宋体" w:hAnsi="宋体" w:cs="宋体"/>
                <w:color w:val="auto"/>
                <w:kern w:val="0"/>
                <w:sz w:val="24"/>
                <w:szCs w:val="24"/>
              </w:rPr>
            </w:pPr>
            <w:r>
              <w:rPr>
                <w:rFonts w:hint="eastAsia" w:ascii="宋体" w:hAnsi="宋体" w:cs="宋体"/>
                <w:color w:val="auto"/>
                <w:kern w:val="0"/>
                <w:sz w:val="24"/>
                <w:szCs w:val="24"/>
              </w:rPr>
              <w:t>201</w:t>
            </w:r>
            <w:r>
              <w:rPr>
                <w:rFonts w:hint="eastAsia" w:ascii="宋体" w:hAnsi="宋体" w:cs="宋体"/>
                <w:color w:val="auto"/>
                <w:kern w:val="0"/>
                <w:sz w:val="24"/>
                <w:szCs w:val="24"/>
                <w:lang w:val="en-US" w:eastAsia="zh-CN"/>
              </w:rPr>
              <w:t>9</w:t>
            </w:r>
            <w:r>
              <w:rPr>
                <w:rFonts w:hint="eastAsia" w:ascii="宋体" w:hAnsi="宋体" w:cs="宋体"/>
                <w:color w:val="auto"/>
                <w:kern w:val="0"/>
                <w:sz w:val="24"/>
                <w:szCs w:val="24"/>
              </w:rPr>
              <w:t>年</w:t>
            </w:r>
          </w:p>
        </w:tc>
        <w:tc>
          <w:tcPr>
            <w:tcW w:w="1360" w:type="dxa"/>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hint="default" w:ascii="宋体" w:hAnsi="宋体" w:eastAsia="宋体" w:cs="宋体"/>
                <w:color w:val="auto"/>
                <w:kern w:val="0"/>
                <w:sz w:val="24"/>
                <w:szCs w:val="24"/>
                <w:lang w:val="en-US" w:eastAsia="zh-CN" w:bidi="ar-SA"/>
              </w:rPr>
            </w:pPr>
            <w:r>
              <w:rPr>
                <w:rFonts w:hint="eastAsia" w:ascii="宋体" w:hAnsi="宋体" w:cs="宋体"/>
                <w:color w:val="auto"/>
                <w:kern w:val="0"/>
                <w:sz w:val="24"/>
                <w:szCs w:val="24"/>
                <w:lang w:val="en-US" w:eastAsia="zh-CN"/>
              </w:rPr>
              <w:t>3643</w:t>
            </w:r>
          </w:p>
        </w:tc>
        <w:tc>
          <w:tcPr>
            <w:tcW w:w="1420" w:type="dxa"/>
            <w:noWrap w:val="0"/>
            <w:vAlign w:val="center"/>
          </w:tcPr>
          <w:p>
            <w:pPr>
              <w:keepNext w:val="0"/>
              <w:keepLines w:val="0"/>
              <w:widowControl/>
              <w:suppressLineNumbers w:val="0"/>
              <w:jc w:val="center"/>
              <w:textAlignment w:val="center"/>
              <w:rPr>
                <w:rFonts w:hint="default" w:ascii="宋体" w:hAnsi="宋体" w:eastAsia="宋体" w:cs="宋体"/>
                <w:color w:val="auto"/>
                <w:kern w:val="0"/>
                <w:sz w:val="24"/>
                <w:szCs w:val="24"/>
                <w:lang w:val="en-US" w:eastAsia="zh-CN" w:bidi="ar-SA"/>
              </w:rPr>
            </w:pPr>
            <w:r>
              <w:rPr>
                <w:rFonts w:hint="eastAsia" w:ascii="宋体" w:hAnsi="宋体" w:cs="宋体"/>
                <w:color w:val="auto"/>
                <w:kern w:val="0"/>
                <w:sz w:val="24"/>
                <w:szCs w:val="24"/>
                <w:lang w:val="en-US" w:eastAsia="zh-CN"/>
              </w:rPr>
              <w:t>1026</w:t>
            </w:r>
          </w:p>
        </w:tc>
        <w:tc>
          <w:tcPr>
            <w:tcW w:w="1240" w:type="dxa"/>
            <w:noWrap w:val="0"/>
            <w:vAlign w:val="center"/>
          </w:tcPr>
          <w:p>
            <w:pPr>
              <w:keepNext w:val="0"/>
              <w:keepLines w:val="0"/>
              <w:widowControl/>
              <w:suppressLineNumbers w:val="0"/>
              <w:jc w:val="center"/>
              <w:textAlignment w:val="center"/>
              <w:rPr>
                <w:rFonts w:hint="default" w:ascii="宋体" w:hAnsi="宋体" w:eastAsia="宋体" w:cs="宋体"/>
                <w:color w:val="auto"/>
                <w:kern w:val="0"/>
                <w:sz w:val="24"/>
                <w:szCs w:val="24"/>
                <w:lang w:val="en-US" w:eastAsia="zh-CN" w:bidi="ar-SA"/>
              </w:rPr>
            </w:pPr>
            <w:r>
              <w:rPr>
                <w:rFonts w:hint="eastAsia" w:ascii="宋体" w:hAnsi="宋体" w:cs="宋体"/>
                <w:color w:val="auto"/>
                <w:kern w:val="0"/>
                <w:sz w:val="24"/>
                <w:szCs w:val="24"/>
                <w:lang w:val="en-US" w:eastAsia="zh-CN"/>
              </w:rPr>
              <w:t>274</w:t>
            </w:r>
          </w:p>
        </w:tc>
        <w:tc>
          <w:tcPr>
            <w:tcW w:w="1080" w:type="dxa"/>
            <w:noWrap w:val="0"/>
            <w:vAlign w:val="center"/>
          </w:tcPr>
          <w:p>
            <w:pPr>
              <w:keepNext w:val="0"/>
              <w:keepLines w:val="0"/>
              <w:widowControl/>
              <w:suppressLineNumbers w:val="0"/>
              <w:jc w:val="center"/>
              <w:textAlignment w:val="center"/>
              <w:rPr>
                <w:rFonts w:hint="default" w:ascii="宋体" w:hAnsi="宋体" w:eastAsia="宋体" w:cs="宋体"/>
                <w:color w:val="auto"/>
                <w:kern w:val="0"/>
                <w:sz w:val="24"/>
                <w:szCs w:val="24"/>
                <w:lang w:val="en-US" w:eastAsia="zh-CN" w:bidi="ar-SA"/>
              </w:rPr>
            </w:pPr>
            <w:r>
              <w:rPr>
                <w:rFonts w:hint="eastAsia" w:ascii="宋体" w:hAnsi="宋体" w:cs="宋体"/>
                <w:color w:val="auto"/>
                <w:kern w:val="0"/>
                <w:sz w:val="24"/>
                <w:szCs w:val="24"/>
                <w:lang w:val="en-US" w:eastAsia="zh-CN"/>
              </w:rPr>
              <w:t>519</w:t>
            </w:r>
          </w:p>
        </w:tc>
        <w:tc>
          <w:tcPr>
            <w:tcW w:w="1440" w:type="dxa"/>
            <w:noWrap w:val="0"/>
            <w:vAlign w:val="center"/>
          </w:tcPr>
          <w:p>
            <w:pPr>
              <w:jc w:val="center"/>
              <w:rPr>
                <w:rFonts w:hint="default"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rPr>
              <w:t>84</w:t>
            </w:r>
          </w:p>
        </w:tc>
        <w:tc>
          <w:tcPr>
            <w:tcW w:w="1035" w:type="dxa"/>
            <w:noWrap w:val="0"/>
            <w:vAlign w:val="center"/>
          </w:tcPr>
          <w:p>
            <w:pPr>
              <w:keepNext w:val="0"/>
              <w:keepLines w:val="0"/>
              <w:widowControl/>
              <w:suppressLineNumbers w:val="0"/>
              <w:jc w:val="center"/>
              <w:textAlignment w:val="center"/>
              <w:rPr>
                <w:rFonts w:hint="default" w:ascii="宋体" w:hAnsi="宋体" w:eastAsia="宋体" w:cs="宋体"/>
                <w:color w:val="auto"/>
                <w:kern w:val="0"/>
                <w:sz w:val="24"/>
                <w:szCs w:val="24"/>
                <w:lang w:val="en-US" w:eastAsia="zh-CN" w:bidi="ar-SA"/>
              </w:rPr>
            </w:pPr>
            <w:r>
              <w:rPr>
                <w:rFonts w:hint="eastAsia" w:ascii="宋体" w:hAnsi="宋体" w:cs="宋体"/>
                <w:color w:val="auto"/>
                <w:kern w:val="0"/>
                <w:sz w:val="24"/>
                <w:szCs w:val="24"/>
                <w:lang w:val="en-US" w:eastAsia="zh-CN"/>
              </w:rPr>
              <w:t>281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60" w:type="dxa"/>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ascii="宋体" w:hAnsi="宋体" w:cs="宋体"/>
                <w:color w:val="auto"/>
                <w:kern w:val="0"/>
                <w:sz w:val="24"/>
                <w:szCs w:val="24"/>
              </w:rPr>
            </w:pPr>
            <w:r>
              <w:rPr>
                <w:rFonts w:hint="eastAsia" w:ascii="宋体" w:hAnsi="宋体" w:cs="宋体"/>
                <w:color w:val="auto"/>
                <w:kern w:val="0"/>
                <w:sz w:val="24"/>
                <w:szCs w:val="24"/>
              </w:rPr>
              <w:t>年份</w:t>
            </w:r>
          </w:p>
        </w:tc>
        <w:tc>
          <w:tcPr>
            <w:tcW w:w="1360" w:type="dxa"/>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ascii="宋体" w:hAnsi="宋体" w:cs="宋体"/>
                <w:color w:val="auto"/>
                <w:kern w:val="0"/>
                <w:sz w:val="24"/>
                <w:szCs w:val="24"/>
              </w:rPr>
            </w:pPr>
            <w:r>
              <w:rPr>
                <w:rFonts w:hint="eastAsia" w:ascii="宋体" w:hAnsi="宋体" w:cs="宋体"/>
                <w:color w:val="auto"/>
                <w:kern w:val="0"/>
                <w:sz w:val="24"/>
                <w:szCs w:val="24"/>
              </w:rPr>
              <w:t>总人数</w:t>
            </w:r>
          </w:p>
        </w:tc>
        <w:tc>
          <w:tcPr>
            <w:tcW w:w="1420" w:type="dxa"/>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ascii="宋体" w:hAnsi="宋体" w:cs="宋体"/>
                <w:color w:val="auto"/>
                <w:kern w:val="0"/>
                <w:sz w:val="24"/>
                <w:szCs w:val="24"/>
              </w:rPr>
            </w:pPr>
            <w:r>
              <w:rPr>
                <w:rFonts w:hint="eastAsia" w:ascii="宋体" w:hAnsi="宋体" w:cs="宋体"/>
                <w:color w:val="auto"/>
                <w:kern w:val="0"/>
                <w:sz w:val="24"/>
                <w:szCs w:val="24"/>
              </w:rPr>
              <w:t>工美</w:t>
            </w:r>
          </w:p>
        </w:tc>
        <w:tc>
          <w:tcPr>
            <w:tcW w:w="1240" w:type="dxa"/>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ascii="宋体" w:hAnsi="宋体" w:cs="宋体"/>
                <w:color w:val="auto"/>
                <w:kern w:val="0"/>
                <w:sz w:val="24"/>
                <w:szCs w:val="24"/>
              </w:rPr>
            </w:pPr>
            <w:r>
              <w:rPr>
                <w:rFonts w:hint="eastAsia" w:ascii="宋体" w:hAnsi="宋体" w:cs="宋体"/>
                <w:color w:val="auto"/>
                <w:kern w:val="0"/>
                <w:sz w:val="24"/>
                <w:szCs w:val="24"/>
              </w:rPr>
              <w:t>计算机</w:t>
            </w:r>
          </w:p>
        </w:tc>
        <w:tc>
          <w:tcPr>
            <w:tcW w:w="1080" w:type="dxa"/>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ascii="宋体" w:hAnsi="宋体" w:cs="宋体"/>
                <w:color w:val="auto"/>
                <w:kern w:val="0"/>
                <w:sz w:val="24"/>
                <w:szCs w:val="24"/>
              </w:rPr>
            </w:pPr>
            <w:r>
              <w:rPr>
                <w:rFonts w:hint="eastAsia" w:ascii="宋体" w:hAnsi="宋体" w:cs="宋体"/>
                <w:color w:val="auto"/>
                <w:kern w:val="0"/>
                <w:sz w:val="24"/>
                <w:szCs w:val="24"/>
              </w:rPr>
              <w:t>电商</w:t>
            </w:r>
          </w:p>
        </w:tc>
        <w:tc>
          <w:tcPr>
            <w:tcW w:w="1440" w:type="dxa"/>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ascii="宋体" w:hAnsi="宋体" w:cs="宋体"/>
                <w:color w:val="auto"/>
                <w:kern w:val="0"/>
                <w:sz w:val="24"/>
                <w:szCs w:val="24"/>
              </w:rPr>
            </w:pPr>
            <w:r>
              <w:rPr>
                <w:rFonts w:hint="eastAsia" w:ascii="宋体" w:hAnsi="宋体" w:cs="宋体"/>
                <w:color w:val="auto"/>
                <w:kern w:val="0"/>
                <w:sz w:val="24"/>
                <w:szCs w:val="24"/>
                <w:lang w:val="en-US" w:eastAsia="zh-CN"/>
              </w:rPr>
              <w:t>健康养生</w:t>
            </w:r>
          </w:p>
        </w:tc>
        <w:tc>
          <w:tcPr>
            <w:tcW w:w="1035" w:type="dxa"/>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ascii="宋体" w:hAnsi="宋体" w:cs="宋体"/>
                <w:color w:val="auto"/>
                <w:kern w:val="0"/>
                <w:sz w:val="24"/>
                <w:szCs w:val="24"/>
              </w:rPr>
            </w:pPr>
            <w:r>
              <w:rPr>
                <w:rFonts w:hint="eastAsia" w:ascii="宋体" w:hAnsi="宋体" w:cs="宋体"/>
                <w:color w:val="auto"/>
                <w:kern w:val="0"/>
                <w:sz w:val="24"/>
                <w:szCs w:val="24"/>
              </w:rPr>
              <w:t>汽修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60" w:type="dxa"/>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ascii="宋体" w:hAnsi="宋体" w:cs="宋体"/>
                <w:color w:val="auto"/>
                <w:kern w:val="0"/>
                <w:sz w:val="24"/>
                <w:szCs w:val="24"/>
              </w:rPr>
            </w:pPr>
            <w:r>
              <w:rPr>
                <w:rFonts w:hint="eastAsia" w:ascii="宋体" w:hAnsi="宋体" w:cs="宋体"/>
                <w:color w:val="auto"/>
                <w:kern w:val="0"/>
                <w:sz w:val="24"/>
                <w:szCs w:val="24"/>
              </w:rPr>
              <w:t>20</w:t>
            </w:r>
            <w:r>
              <w:rPr>
                <w:rFonts w:hint="eastAsia" w:ascii="宋体" w:hAnsi="宋体" w:cs="宋体"/>
                <w:color w:val="auto"/>
                <w:kern w:val="0"/>
                <w:sz w:val="24"/>
                <w:szCs w:val="24"/>
                <w:lang w:val="en-US" w:eastAsia="zh-CN"/>
              </w:rPr>
              <w:t>20</w:t>
            </w:r>
            <w:r>
              <w:rPr>
                <w:rFonts w:hint="eastAsia" w:ascii="宋体" w:hAnsi="宋体" w:cs="宋体"/>
                <w:color w:val="auto"/>
                <w:kern w:val="0"/>
                <w:sz w:val="24"/>
                <w:szCs w:val="24"/>
              </w:rPr>
              <w:t>年</w:t>
            </w:r>
          </w:p>
        </w:tc>
        <w:tc>
          <w:tcPr>
            <w:tcW w:w="1360" w:type="dxa"/>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hint="default" w:ascii="宋体" w:hAnsi="宋体" w:eastAsia="宋体" w:cs="宋体"/>
                <w:color w:val="auto"/>
                <w:kern w:val="0"/>
                <w:sz w:val="24"/>
                <w:szCs w:val="24"/>
                <w:lang w:val="en-US" w:eastAsia="zh-CN"/>
              </w:rPr>
            </w:pPr>
            <w:r>
              <w:rPr>
                <w:rFonts w:hint="eastAsia" w:ascii="宋体" w:hAnsi="宋体" w:cs="宋体"/>
                <w:color w:val="auto"/>
                <w:kern w:val="0"/>
                <w:sz w:val="24"/>
                <w:szCs w:val="24"/>
                <w:lang w:val="en-US" w:eastAsia="zh-CN"/>
              </w:rPr>
              <w:t>3631</w:t>
            </w:r>
          </w:p>
        </w:tc>
        <w:tc>
          <w:tcPr>
            <w:tcW w:w="1420" w:type="dxa"/>
            <w:noWrap w:val="0"/>
            <w:vAlign w:val="center"/>
          </w:tcPr>
          <w:p>
            <w:pPr>
              <w:keepNext w:val="0"/>
              <w:keepLines w:val="0"/>
              <w:widowControl/>
              <w:suppressLineNumbers w:val="0"/>
              <w:jc w:val="center"/>
              <w:textAlignment w:val="center"/>
              <w:rPr>
                <w:rFonts w:hint="default" w:ascii="宋体" w:hAnsi="宋体" w:eastAsia="宋体" w:cs="宋体"/>
                <w:color w:val="auto"/>
                <w:kern w:val="0"/>
                <w:sz w:val="24"/>
                <w:szCs w:val="24"/>
                <w:lang w:val="en-US" w:eastAsia="zh-CN"/>
              </w:rPr>
            </w:pPr>
            <w:r>
              <w:rPr>
                <w:rFonts w:hint="eastAsia" w:ascii="宋体" w:hAnsi="宋体" w:cs="宋体"/>
                <w:color w:val="auto"/>
                <w:kern w:val="0"/>
                <w:sz w:val="24"/>
                <w:szCs w:val="24"/>
                <w:lang w:val="en-US" w:eastAsia="zh-CN"/>
              </w:rPr>
              <w:t>1156</w:t>
            </w:r>
          </w:p>
        </w:tc>
        <w:tc>
          <w:tcPr>
            <w:tcW w:w="1240" w:type="dxa"/>
            <w:noWrap w:val="0"/>
            <w:vAlign w:val="center"/>
          </w:tcPr>
          <w:p>
            <w:pPr>
              <w:keepNext w:val="0"/>
              <w:keepLines w:val="0"/>
              <w:widowControl/>
              <w:suppressLineNumbers w:val="0"/>
              <w:jc w:val="center"/>
              <w:textAlignment w:val="center"/>
              <w:rPr>
                <w:rFonts w:hint="default" w:ascii="宋体" w:hAnsi="宋体" w:eastAsia="宋体" w:cs="宋体"/>
                <w:color w:val="auto"/>
                <w:kern w:val="0"/>
                <w:sz w:val="24"/>
                <w:szCs w:val="24"/>
                <w:lang w:val="en-US" w:eastAsia="zh-CN"/>
              </w:rPr>
            </w:pPr>
            <w:r>
              <w:rPr>
                <w:rFonts w:hint="eastAsia" w:ascii="宋体" w:hAnsi="宋体" w:cs="宋体"/>
                <w:color w:val="auto"/>
                <w:kern w:val="0"/>
                <w:sz w:val="24"/>
                <w:szCs w:val="24"/>
                <w:lang w:val="en-US" w:eastAsia="zh-CN"/>
              </w:rPr>
              <w:t>263</w:t>
            </w:r>
          </w:p>
        </w:tc>
        <w:tc>
          <w:tcPr>
            <w:tcW w:w="1080" w:type="dxa"/>
            <w:noWrap w:val="0"/>
            <w:vAlign w:val="center"/>
          </w:tcPr>
          <w:p>
            <w:pPr>
              <w:keepNext w:val="0"/>
              <w:keepLines w:val="0"/>
              <w:widowControl/>
              <w:suppressLineNumbers w:val="0"/>
              <w:jc w:val="center"/>
              <w:textAlignment w:val="center"/>
              <w:rPr>
                <w:rFonts w:hint="default" w:ascii="宋体" w:hAnsi="宋体" w:eastAsia="宋体" w:cs="宋体"/>
                <w:color w:val="auto"/>
                <w:kern w:val="0"/>
                <w:sz w:val="24"/>
                <w:szCs w:val="24"/>
                <w:lang w:val="en-US" w:eastAsia="zh-CN"/>
              </w:rPr>
            </w:pPr>
            <w:r>
              <w:rPr>
                <w:rFonts w:hint="eastAsia" w:ascii="宋体" w:hAnsi="宋体" w:cs="宋体"/>
                <w:color w:val="auto"/>
                <w:kern w:val="0"/>
                <w:sz w:val="24"/>
                <w:szCs w:val="24"/>
                <w:lang w:val="en-US" w:eastAsia="zh-CN"/>
              </w:rPr>
              <w:t>424</w:t>
            </w:r>
          </w:p>
        </w:tc>
        <w:tc>
          <w:tcPr>
            <w:tcW w:w="1440" w:type="dxa"/>
            <w:noWrap w:val="0"/>
            <w:vAlign w:val="center"/>
          </w:tcPr>
          <w:p>
            <w:pPr>
              <w:jc w:val="center"/>
              <w:rPr>
                <w:rFonts w:hint="default" w:ascii="宋体" w:hAnsi="宋体" w:eastAsia="宋体" w:cs="宋体"/>
                <w:color w:val="auto"/>
                <w:kern w:val="0"/>
                <w:sz w:val="24"/>
                <w:szCs w:val="24"/>
                <w:lang w:val="en-US" w:eastAsia="zh-CN"/>
              </w:rPr>
            </w:pPr>
            <w:r>
              <w:rPr>
                <w:rFonts w:hint="eastAsia" w:ascii="宋体" w:hAnsi="宋体" w:cs="宋体"/>
                <w:color w:val="auto"/>
                <w:kern w:val="0"/>
                <w:sz w:val="24"/>
                <w:szCs w:val="24"/>
                <w:lang w:val="en-US" w:eastAsia="zh-CN"/>
              </w:rPr>
              <w:t>64</w:t>
            </w:r>
          </w:p>
        </w:tc>
        <w:tc>
          <w:tcPr>
            <w:tcW w:w="1035" w:type="dxa"/>
            <w:noWrap w:val="0"/>
            <w:vAlign w:val="center"/>
          </w:tcPr>
          <w:p>
            <w:pPr>
              <w:keepNext w:val="0"/>
              <w:keepLines w:val="0"/>
              <w:widowControl/>
              <w:suppressLineNumbers w:val="0"/>
              <w:jc w:val="center"/>
              <w:textAlignment w:val="center"/>
              <w:rPr>
                <w:rFonts w:hint="default" w:ascii="宋体" w:hAnsi="宋体" w:eastAsia="宋体" w:cs="宋体"/>
                <w:color w:val="auto"/>
                <w:kern w:val="0"/>
                <w:sz w:val="24"/>
                <w:szCs w:val="24"/>
                <w:lang w:val="en-US" w:eastAsia="zh-CN"/>
              </w:rPr>
            </w:pPr>
            <w:r>
              <w:rPr>
                <w:rFonts w:hint="eastAsia" w:ascii="宋体" w:hAnsi="宋体" w:cs="宋体"/>
                <w:color w:val="auto"/>
                <w:kern w:val="0"/>
                <w:sz w:val="24"/>
                <w:szCs w:val="24"/>
                <w:lang w:val="en-US" w:eastAsia="zh-CN"/>
              </w:rPr>
              <w:t>165</w:t>
            </w:r>
          </w:p>
        </w:tc>
      </w:tr>
    </w:tbl>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textAlignment w:val="auto"/>
        <w:outlineLvl w:val="9"/>
        <w:rPr>
          <w:rFonts w:hint="eastAsia"/>
          <w:b/>
          <w:bCs/>
          <w:color w:val="auto"/>
          <w:sz w:val="28"/>
          <w:szCs w:val="28"/>
          <w:lang w:val="en-US" w:eastAsia="zh-CN"/>
        </w:rPr>
      </w:pPr>
    </w:p>
    <w:tbl>
      <w:tblPr>
        <w:tblStyle w:val="10"/>
        <w:tblW w:w="9140" w:type="dxa"/>
        <w:tblInd w:w="93" w:type="dxa"/>
        <w:tblLayout w:type="fixed"/>
        <w:tblCellMar>
          <w:top w:w="0" w:type="dxa"/>
          <w:left w:w="108" w:type="dxa"/>
          <w:bottom w:w="0" w:type="dxa"/>
          <w:right w:w="108" w:type="dxa"/>
        </w:tblCellMar>
      </w:tblPr>
      <w:tblGrid>
        <w:gridCol w:w="1420"/>
        <w:gridCol w:w="1240"/>
        <w:gridCol w:w="1080"/>
        <w:gridCol w:w="1080"/>
        <w:gridCol w:w="1080"/>
        <w:gridCol w:w="1080"/>
        <w:gridCol w:w="1080"/>
        <w:gridCol w:w="1080"/>
      </w:tblGrid>
      <w:tr>
        <w:tblPrEx>
          <w:tblCellMar>
            <w:top w:w="0" w:type="dxa"/>
            <w:left w:w="108" w:type="dxa"/>
            <w:bottom w:w="0" w:type="dxa"/>
            <w:right w:w="108" w:type="dxa"/>
          </w:tblCellMar>
        </w:tblPrEx>
        <w:trPr>
          <w:trHeight w:val="270" w:hRule="atLeast"/>
        </w:trPr>
        <w:tc>
          <w:tcPr>
            <w:tcW w:w="9140" w:type="dxa"/>
            <w:gridSpan w:val="8"/>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hint="eastAsia" w:ascii="宋体" w:hAnsi="宋体" w:cs="宋体"/>
                <w:color w:val="auto"/>
                <w:kern w:val="0"/>
                <w:sz w:val="24"/>
                <w:szCs w:val="24"/>
              </w:rPr>
            </w:pPr>
            <w:r>
              <w:rPr>
                <w:rFonts w:hint="eastAsia" w:ascii="宋体" w:hAnsi="宋体" w:cs="宋体"/>
                <w:color w:val="auto"/>
                <w:kern w:val="0"/>
                <w:sz w:val="24"/>
                <w:szCs w:val="24"/>
              </w:rPr>
              <w:t>学生结构</w:t>
            </w:r>
          </w:p>
        </w:tc>
      </w:tr>
      <w:tr>
        <w:tblPrEx>
          <w:tblCellMar>
            <w:top w:w="0" w:type="dxa"/>
            <w:left w:w="108" w:type="dxa"/>
            <w:bottom w:w="0" w:type="dxa"/>
            <w:right w:w="108" w:type="dxa"/>
          </w:tblCellMar>
        </w:tblPrEx>
        <w:trPr>
          <w:trHeight w:val="270" w:hRule="atLeast"/>
        </w:trPr>
        <w:tc>
          <w:tcPr>
            <w:tcW w:w="14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ascii="宋体" w:hAnsi="宋体" w:cs="宋体"/>
                <w:color w:val="auto"/>
                <w:kern w:val="0"/>
                <w:sz w:val="24"/>
                <w:szCs w:val="24"/>
              </w:rPr>
            </w:pPr>
            <w:r>
              <w:rPr>
                <w:rFonts w:hint="eastAsia" w:ascii="宋体" w:hAnsi="宋体" w:cs="宋体"/>
                <w:color w:val="auto"/>
                <w:kern w:val="0"/>
                <w:sz w:val="24"/>
                <w:szCs w:val="24"/>
              </w:rPr>
              <w:t>年份</w:t>
            </w:r>
          </w:p>
        </w:tc>
        <w:tc>
          <w:tcPr>
            <w:tcW w:w="124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ascii="宋体" w:hAnsi="宋体" w:cs="宋体"/>
                <w:color w:val="auto"/>
                <w:kern w:val="0"/>
                <w:sz w:val="24"/>
                <w:szCs w:val="24"/>
              </w:rPr>
            </w:pPr>
            <w:r>
              <w:rPr>
                <w:rFonts w:hint="eastAsia" w:ascii="宋体" w:hAnsi="宋体" w:cs="宋体"/>
                <w:color w:val="auto"/>
                <w:kern w:val="0"/>
                <w:sz w:val="24"/>
                <w:szCs w:val="24"/>
              </w:rPr>
              <w:t>数控</w:t>
            </w:r>
          </w:p>
        </w:tc>
        <w:tc>
          <w:tcPr>
            <w:tcW w:w="108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ascii="宋体" w:hAnsi="宋体" w:cs="宋体"/>
                <w:color w:val="auto"/>
                <w:kern w:val="0"/>
                <w:sz w:val="24"/>
                <w:szCs w:val="24"/>
              </w:rPr>
            </w:pPr>
            <w:r>
              <w:rPr>
                <w:rFonts w:hint="eastAsia" w:ascii="宋体" w:hAnsi="宋体" w:cs="宋体"/>
                <w:color w:val="auto"/>
                <w:kern w:val="0"/>
                <w:sz w:val="24"/>
                <w:szCs w:val="24"/>
              </w:rPr>
              <w:t>电子</w:t>
            </w:r>
          </w:p>
        </w:tc>
        <w:tc>
          <w:tcPr>
            <w:tcW w:w="108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ascii="宋体" w:hAnsi="宋体" w:cs="宋体"/>
                <w:color w:val="auto"/>
                <w:kern w:val="0"/>
                <w:sz w:val="24"/>
                <w:szCs w:val="24"/>
              </w:rPr>
            </w:pPr>
            <w:r>
              <w:rPr>
                <w:rFonts w:hint="eastAsia" w:ascii="宋体" w:hAnsi="宋体" w:cs="宋体"/>
                <w:color w:val="auto"/>
                <w:kern w:val="0"/>
                <w:sz w:val="24"/>
                <w:szCs w:val="24"/>
              </w:rPr>
              <w:t>财会</w:t>
            </w:r>
          </w:p>
        </w:tc>
        <w:tc>
          <w:tcPr>
            <w:tcW w:w="108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ascii="宋体" w:hAnsi="宋体" w:cs="宋体"/>
                <w:color w:val="auto"/>
                <w:kern w:val="0"/>
                <w:sz w:val="24"/>
                <w:szCs w:val="24"/>
              </w:rPr>
            </w:pPr>
            <w:r>
              <w:rPr>
                <w:rFonts w:hint="eastAsia" w:ascii="宋体" w:hAnsi="宋体" w:cs="宋体"/>
                <w:color w:val="auto"/>
                <w:kern w:val="0"/>
                <w:sz w:val="24"/>
                <w:szCs w:val="24"/>
              </w:rPr>
              <w:t>学前</w:t>
            </w:r>
          </w:p>
        </w:tc>
        <w:tc>
          <w:tcPr>
            <w:tcW w:w="108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ascii="宋体" w:hAnsi="宋体" w:cs="宋体"/>
                <w:color w:val="auto"/>
                <w:kern w:val="0"/>
                <w:sz w:val="24"/>
                <w:szCs w:val="24"/>
              </w:rPr>
            </w:pPr>
            <w:r>
              <w:rPr>
                <w:rFonts w:hint="eastAsia" w:ascii="宋体" w:hAnsi="宋体" w:cs="宋体"/>
                <w:color w:val="auto"/>
                <w:kern w:val="0"/>
                <w:sz w:val="24"/>
                <w:szCs w:val="24"/>
              </w:rPr>
              <w:t>烹饪</w:t>
            </w:r>
          </w:p>
        </w:tc>
        <w:tc>
          <w:tcPr>
            <w:tcW w:w="108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ascii="宋体" w:hAnsi="宋体" w:cs="宋体"/>
                <w:color w:val="auto"/>
                <w:kern w:val="0"/>
                <w:sz w:val="24"/>
                <w:szCs w:val="24"/>
              </w:rPr>
            </w:pPr>
            <w:r>
              <w:rPr>
                <w:rFonts w:hint="eastAsia" w:ascii="宋体" w:hAnsi="宋体" w:cs="宋体"/>
                <w:color w:val="auto"/>
                <w:kern w:val="0"/>
                <w:sz w:val="24"/>
                <w:szCs w:val="24"/>
              </w:rPr>
              <w:t>旅游</w:t>
            </w:r>
          </w:p>
        </w:tc>
        <w:tc>
          <w:tcPr>
            <w:tcW w:w="108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lang w:val="en-US" w:eastAsia="zh-CN"/>
              </w:rPr>
              <w:t>建筑</w:t>
            </w:r>
          </w:p>
        </w:tc>
      </w:tr>
      <w:tr>
        <w:tblPrEx>
          <w:tblCellMar>
            <w:top w:w="0" w:type="dxa"/>
            <w:left w:w="108" w:type="dxa"/>
            <w:bottom w:w="0" w:type="dxa"/>
            <w:right w:w="108" w:type="dxa"/>
          </w:tblCellMar>
        </w:tblPrEx>
        <w:trPr>
          <w:trHeight w:val="285" w:hRule="atLeast"/>
        </w:trPr>
        <w:tc>
          <w:tcPr>
            <w:tcW w:w="142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ascii="宋体" w:hAnsi="宋体" w:cs="宋体"/>
                <w:color w:val="auto"/>
                <w:kern w:val="0"/>
                <w:sz w:val="24"/>
                <w:szCs w:val="24"/>
              </w:rPr>
            </w:pPr>
            <w:r>
              <w:rPr>
                <w:rFonts w:hint="eastAsia" w:ascii="宋体" w:hAnsi="宋体" w:cs="宋体"/>
                <w:color w:val="auto"/>
                <w:kern w:val="0"/>
                <w:sz w:val="24"/>
                <w:szCs w:val="24"/>
              </w:rPr>
              <w:t>201</w:t>
            </w:r>
            <w:r>
              <w:rPr>
                <w:rFonts w:hint="eastAsia" w:ascii="宋体" w:hAnsi="宋体" w:cs="宋体"/>
                <w:color w:val="auto"/>
                <w:kern w:val="0"/>
                <w:sz w:val="24"/>
                <w:szCs w:val="24"/>
                <w:lang w:val="en-US" w:eastAsia="zh-CN"/>
              </w:rPr>
              <w:t>9</w:t>
            </w:r>
            <w:r>
              <w:rPr>
                <w:rFonts w:hint="eastAsia" w:ascii="宋体" w:hAnsi="宋体" w:cs="宋体"/>
                <w:color w:val="auto"/>
                <w:kern w:val="0"/>
                <w:sz w:val="24"/>
                <w:szCs w:val="24"/>
              </w:rPr>
              <w:t>年</w:t>
            </w:r>
          </w:p>
        </w:tc>
        <w:tc>
          <w:tcPr>
            <w:tcW w:w="1240" w:type="dxa"/>
            <w:tcBorders>
              <w:top w:val="nil"/>
              <w:left w:val="nil"/>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color w:val="auto"/>
                <w:kern w:val="0"/>
                <w:sz w:val="24"/>
                <w:szCs w:val="24"/>
                <w:lang w:val="en-US" w:eastAsia="zh-CN" w:bidi="ar-SA"/>
              </w:rPr>
            </w:pPr>
            <w:r>
              <w:rPr>
                <w:rFonts w:hint="eastAsia" w:ascii="宋体" w:hAnsi="宋体" w:cs="宋体"/>
                <w:color w:val="auto"/>
                <w:kern w:val="0"/>
                <w:sz w:val="24"/>
                <w:szCs w:val="24"/>
                <w:lang w:val="en-US" w:eastAsia="zh-CN"/>
              </w:rPr>
              <w:t>217</w:t>
            </w:r>
          </w:p>
        </w:tc>
        <w:tc>
          <w:tcPr>
            <w:tcW w:w="1080" w:type="dxa"/>
            <w:tcBorders>
              <w:top w:val="nil"/>
              <w:left w:val="nil"/>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color w:val="auto"/>
                <w:kern w:val="0"/>
                <w:sz w:val="24"/>
                <w:szCs w:val="24"/>
                <w:lang w:val="en-US" w:eastAsia="zh-CN" w:bidi="ar-SA"/>
              </w:rPr>
            </w:pPr>
            <w:r>
              <w:rPr>
                <w:rFonts w:hint="eastAsia" w:ascii="宋体" w:hAnsi="宋体" w:cs="宋体"/>
                <w:color w:val="auto"/>
                <w:kern w:val="0"/>
                <w:sz w:val="24"/>
                <w:szCs w:val="24"/>
                <w:lang w:val="en-US" w:eastAsia="zh-CN"/>
              </w:rPr>
              <w:t>193</w:t>
            </w:r>
          </w:p>
        </w:tc>
        <w:tc>
          <w:tcPr>
            <w:tcW w:w="1080" w:type="dxa"/>
            <w:tcBorders>
              <w:top w:val="nil"/>
              <w:left w:val="nil"/>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color w:val="auto"/>
                <w:kern w:val="0"/>
                <w:sz w:val="24"/>
                <w:szCs w:val="24"/>
                <w:lang w:val="en-US" w:eastAsia="zh-CN" w:bidi="ar-SA"/>
              </w:rPr>
            </w:pPr>
            <w:r>
              <w:rPr>
                <w:rFonts w:hint="eastAsia" w:ascii="宋体" w:hAnsi="宋体" w:cs="宋体"/>
                <w:color w:val="auto"/>
                <w:kern w:val="0"/>
                <w:sz w:val="24"/>
                <w:szCs w:val="24"/>
                <w:lang w:val="en-US" w:eastAsia="zh-CN"/>
              </w:rPr>
              <w:t>181</w:t>
            </w:r>
          </w:p>
        </w:tc>
        <w:tc>
          <w:tcPr>
            <w:tcW w:w="1080" w:type="dxa"/>
            <w:tcBorders>
              <w:top w:val="nil"/>
              <w:left w:val="nil"/>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color w:val="auto"/>
                <w:kern w:val="0"/>
                <w:sz w:val="24"/>
                <w:szCs w:val="24"/>
                <w:lang w:val="en-US" w:eastAsia="zh-CN" w:bidi="ar-SA"/>
              </w:rPr>
            </w:pPr>
            <w:r>
              <w:rPr>
                <w:rFonts w:hint="eastAsia" w:ascii="宋体" w:hAnsi="宋体" w:cs="宋体"/>
                <w:color w:val="auto"/>
                <w:kern w:val="0"/>
                <w:sz w:val="24"/>
                <w:szCs w:val="24"/>
                <w:lang w:val="en-US" w:eastAsia="zh-CN"/>
              </w:rPr>
              <w:t>359</w:t>
            </w:r>
          </w:p>
        </w:tc>
        <w:tc>
          <w:tcPr>
            <w:tcW w:w="1080" w:type="dxa"/>
            <w:tcBorders>
              <w:top w:val="nil"/>
              <w:left w:val="nil"/>
              <w:bottom w:val="single" w:color="auto" w:sz="4" w:space="0"/>
              <w:right w:val="single" w:color="auto" w:sz="4" w:space="0"/>
            </w:tcBorders>
            <w:noWrap w:val="0"/>
            <w:vAlign w:val="center"/>
          </w:tcPr>
          <w:p>
            <w:pPr>
              <w:jc w:val="center"/>
              <w:rPr>
                <w:rFonts w:hint="default"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rPr>
              <w:t>239</w:t>
            </w:r>
          </w:p>
        </w:tc>
        <w:tc>
          <w:tcPr>
            <w:tcW w:w="1080" w:type="dxa"/>
            <w:tcBorders>
              <w:top w:val="nil"/>
              <w:left w:val="nil"/>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color w:val="auto"/>
                <w:kern w:val="0"/>
                <w:sz w:val="24"/>
                <w:szCs w:val="24"/>
                <w:lang w:val="en-US" w:eastAsia="zh-CN" w:bidi="ar-SA"/>
              </w:rPr>
            </w:pPr>
            <w:r>
              <w:rPr>
                <w:rFonts w:hint="eastAsia" w:ascii="宋体" w:hAnsi="宋体" w:cs="宋体"/>
                <w:color w:val="auto"/>
                <w:kern w:val="0"/>
                <w:sz w:val="24"/>
                <w:szCs w:val="24"/>
                <w:lang w:val="en-US" w:eastAsia="zh-CN"/>
              </w:rPr>
              <w:t>192</w:t>
            </w:r>
          </w:p>
        </w:tc>
        <w:tc>
          <w:tcPr>
            <w:tcW w:w="1080" w:type="dxa"/>
            <w:tcBorders>
              <w:top w:val="nil"/>
              <w:left w:val="nil"/>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color w:val="auto"/>
                <w:kern w:val="0"/>
                <w:sz w:val="24"/>
                <w:szCs w:val="24"/>
                <w:lang w:val="en-US" w:eastAsia="zh-CN" w:bidi="ar-SA"/>
              </w:rPr>
            </w:pPr>
            <w:r>
              <w:rPr>
                <w:rFonts w:hint="eastAsia" w:ascii="宋体" w:hAnsi="宋体" w:cs="宋体"/>
                <w:color w:val="auto"/>
                <w:kern w:val="0"/>
                <w:sz w:val="24"/>
                <w:szCs w:val="24"/>
                <w:lang w:val="en-US" w:eastAsia="zh-CN"/>
              </w:rPr>
              <w:t>78</w:t>
            </w:r>
          </w:p>
        </w:tc>
      </w:tr>
      <w:tr>
        <w:tblPrEx>
          <w:tblCellMar>
            <w:top w:w="0" w:type="dxa"/>
            <w:left w:w="108" w:type="dxa"/>
            <w:bottom w:w="0" w:type="dxa"/>
            <w:right w:w="108" w:type="dxa"/>
          </w:tblCellMar>
        </w:tblPrEx>
        <w:trPr>
          <w:trHeight w:val="270" w:hRule="atLeast"/>
        </w:trPr>
        <w:tc>
          <w:tcPr>
            <w:tcW w:w="142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ascii="宋体" w:hAnsi="宋体" w:cs="宋体"/>
                <w:color w:val="auto"/>
                <w:kern w:val="0"/>
                <w:sz w:val="24"/>
                <w:szCs w:val="24"/>
              </w:rPr>
            </w:pPr>
            <w:r>
              <w:rPr>
                <w:rFonts w:hint="eastAsia" w:ascii="宋体" w:hAnsi="宋体" w:cs="宋体"/>
                <w:color w:val="auto"/>
                <w:kern w:val="0"/>
                <w:sz w:val="24"/>
                <w:szCs w:val="24"/>
              </w:rPr>
              <w:t>年份</w:t>
            </w:r>
          </w:p>
        </w:tc>
        <w:tc>
          <w:tcPr>
            <w:tcW w:w="124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ascii="宋体" w:hAnsi="宋体" w:cs="宋体"/>
                <w:color w:val="auto"/>
                <w:kern w:val="0"/>
                <w:sz w:val="24"/>
                <w:szCs w:val="24"/>
              </w:rPr>
            </w:pPr>
            <w:r>
              <w:rPr>
                <w:rFonts w:hint="eastAsia" w:ascii="宋体" w:hAnsi="宋体" w:cs="宋体"/>
                <w:color w:val="auto"/>
                <w:kern w:val="0"/>
                <w:sz w:val="24"/>
                <w:szCs w:val="24"/>
              </w:rPr>
              <w:t>数控</w:t>
            </w:r>
          </w:p>
        </w:tc>
        <w:tc>
          <w:tcPr>
            <w:tcW w:w="108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ascii="宋体" w:hAnsi="宋体" w:cs="宋体"/>
                <w:color w:val="auto"/>
                <w:kern w:val="0"/>
                <w:sz w:val="24"/>
                <w:szCs w:val="24"/>
              </w:rPr>
            </w:pPr>
            <w:r>
              <w:rPr>
                <w:rFonts w:hint="eastAsia" w:ascii="宋体" w:hAnsi="宋体" w:cs="宋体"/>
                <w:color w:val="auto"/>
                <w:kern w:val="0"/>
                <w:sz w:val="24"/>
                <w:szCs w:val="24"/>
              </w:rPr>
              <w:t>电子</w:t>
            </w:r>
          </w:p>
        </w:tc>
        <w:tc>
          <w:tcPr>
            <w:tcW w:w="108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ascii="宋体" w:hAnsi="宋体" w:cs="宋体"/>
                <w:color w:val="auto"/>
                <w:kern w:val="0"/>
                <w:sz w:val="24"/>
                <w:szCs w:val="24"/>
              </w:rPr>
            </w:pPr>
            <w:r>
              <w:rPr>
                <w:rFonts w:hint="eastAsia" w:ascii="宋体" w:hAnsi="宋体" w:cs="宋体"/>
                <w:color w:val="auto"/>
                <w:kern w:val="0"/>
                <w:sz w:val="24"/>
                <w:szCs w:val="24"/>
              </w:rPr>
              <w:t>财会</w:t>
            </w:r>
          </w:p>
        </w:tc>
        <w:tc>
          <w:tcPr>
            <w:tcW w:w="108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ascii="宋体" w:hAnsi="宋体" w:cs="宋体"/>
                <w:color w:val="auto"/>
                <w:kern w:val="0"/>
                <w:sz w:val="24"/>
                <w:szCs w:val="24"/>
              </w:rPr>
            </w:pPr>
            <w:r>
              <w:rPr>
                <w:rFonts w:hint="eastAsia" w:ascii="宋体" w:hAnsi="宋体" w:cs="宋体"/>
                <w:color w:val="auto"/>
                <w:kern w:val="0"/>
                <w:sz w:val="24"/>
                <w:szCs w:val="24"/>
              </w:rPr>
              <w:t>学前</w:t>
            </w:r>
          </w:p>
        </w:tc>
        <w:tc>
          <w:tcPr>
            <w:tcW w:w="108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ascii="宋体" w:hAnsi="宋体" w:cs="宋体"/>
                <w:color w:val="auto"/>
                <w:kern w:val="0"/>
                <w:sz w:val="24"/>
                <w:szCs w:val="24"/>
              </w:rPr>
            </w:pPr>
            <w:r>
              <w:rPr>
                <w:rFonts w:hint="eastAsia" w:ascii="宋体" w:hAnsi="宋体" w:cs="宋体"/>
                <w:color w:val="auto"/>
                <w:kern w:val="0"/>
                <w:sz w:val="24"/>
                <w:szCs w:val="24"/>
              </w:rPr>
              <w:t>烹饪</w:t>
            </w:r>
          </w:p>
        </w:tc>
        <w:tc>
          <w:tcPr>
            <w:tcW w:w="108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ascii="宋体" w:hAnsi="宋体" w:cs="宋体"/>
                <w:color w:val="auto"/>
                <w:kern w:val="0"/>
                <w:sz w:val="24"/>
                <w:szCs w:val="24"/>
              </w:rPr>
            </w:pPr>
            <w:r>
              <w:rPr>
                <w:rFonts w:hint="eastAsia" w:ascii="宋体" w:hAnsi="宋体" w:cs="宋体"/>
                <w:color w:val="auto"/>
                <w:kern w:val="0"/>
                <w:sz w:val="24"/>
                <w:szCs w:val="24"/>
              </w:rPr>
              <w:t>旅游</w:t>
            </w:r>
          </w:p>
        </w:tc>
        <w:tc>
          <w:tcPr>
            <w:tcW w:w="108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hint="eastAsia" w:ascii="宋体" w:hAnsi="宋体" w:cs="宋体"/>
                <w:color w:val="auto"/>
                <w:kern w:val="0"/>
                <w:sz w:val="24"/>
                <w:szCs w:val="24"/>
              </w:rPr>
            </w:pPr>
            <w:r>
              <w:rPr>
                <w:rFonts w:hint="eastAsia" w:ascii="宋体" w:hAnsi="宋体" w:cs="宋体"/>
                <w:color w:val="auto"/>
                <w:kern w:val="0"/>
                <w:sz w:val="24"/>
                <w:szCs w:val="24"/>
                <w:lang w:val="en-US" w:eastAsia="zh-CN"/>
              </w:rPr>
              <w:t>建筑</w:t>
            </w:r>
          </w:p>
        </w:tc>
      </w:tr>
      <w:tr>
        <w:tblPrEx>
          <w:tblCellMar>
            <w:top w:w="0" w:type="dxa"/>
            <w:left w:w="108" w:type="dxa"/>
            <w:bottom w:w="0" w:type="dxa"/>
            <w:right w:w="108" w:type="dxa"/>
          </w:tblCellMar>
        </w:tblPrEx>
        <w:trPr>
          <w:trHeight w:val="270" w:hRule="atLeast"/>
        </w:trPr>
        <w:tc>
          <w:tcPr>
            <w:tcW w:w="142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lang w:val="en-US" w:eastAsia="zh-CN"/>
              </w:rPr>
              <w:t>2020年</w:t>
            </w:r>
          </w:p>
        </w:tc>
        <w:tc>
          <w:tcPr>
            <w:tcW w:w="1240" w:type="dxa"/>
            <w:tcBorders>
              <w:top w:val="nil"/>
              <w:left w:val="nil"/>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color w:val="auto"/>
                <w:kern w:val="0"/>
                <w:sz w:val="24"/>
                <w:szCs w:val="24"/>
                <w:lang w:val="en-US" w:eastAsia="zh-CN"/>
              </w:rPr>
            </w:pPr>
            <w:r>
              <w:rPr>
                <w:rFonts w:hint="eastAsia" w:ascii="宋体" w:hAnsi="宋体" w:cs="宋体"/>
                <w:color w:val="auto"/>
                <w:kern w:val="0"/>
                <w:sz w:val="24"/>
                <w:szCs w:val="24"/>
                <w:lang w:val="en-US" w:eastAsia="zh-CN"/>
              </w:rPr>
              <w:t>234</w:t>
            </w:r>
          </w:p>
        </w:tc>
        <w:tc>
          <w:tcPr>
            <w:tcW w:w="1080" w:type="dxa"/>
            <w:tcBorders>
              <w:top w:val="nil"/>
              <w:left w:val="nil"/>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color w:val="auto"/>
                <w:kern w:val="0"/>
                <w:sz w:val="24"/>
                <w:szCs w:val="24"/>
                <w:lang w:val="en-US" w:eastAsia="zh-CN"/>
              </w:rPr>
            </w:pPr>
            <w:r>
              <w:rPr>
                <w:rFonts w:hint="eastAsia" w:ascii="宋体" w:hAnsi="宋体" w:cs="宋体"/>
                <w:color w:val="auto"/>
                <w:kern w:val="0"/>
                <w:sz w:val="24"/>
                <w:szCs w:val="24"/>
                <w:lang w:val="en-US" w:eastAsia="zh-CN"/>
              </w:rPr>
              <w:t>236</w:t>
            </w:r>
          </w:p>
        </w:tc>
        <w:tc>
          <w:tcPr>
            <w:tcW w:w="1080" w:type="dxa"/>
            <w:tcBorders>
              <w:top w:val="nil"/>
              <w:left w:val="nil"/>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color w:val="auto"/>
                <w:kern w:val="0"/>
                <w:sz w:val="24"/>
                <w:szCs w:val="24"/>
                <w:lang w:val="en-US" w:eastAsia="zh-CN"/>
              </w:rPr>
            </w:pPr>
            <w:r>
              <w:rPr>
                <w:rFonts w:hint="eastAsia" w:ascii="宋体" w:hAnsi="宋体" w:cs="宋体"/>
                <w:color w:val="auto"/>
                <w:kern w:val="0"/>
                <w:sz w:val="24"/>
                <w:szCs w:val="24"/>
                <w:lang w:val="en-US" w:eastAsia="zh-CN"/>
              </w:rPr>
              <w:t>181</w:t>
            </w:r>
          </w:p>
        </w:tc>
        <w:tc>
          <w:tcPr>
            <w:tcW w:w="1080" w:type="dxa"/>
            <w:tcBorders>
              <w:top w:val="nil"/>
              <w:left w:val="nil"/>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color w:val="auto"/>
                <w:kern w:val="0"/>
                <w:sz w:val="24"/>
                <w:szCs w:val="24"/>
                <w:lang w:val="en-US" w:eastAsia="zh-CN"/>
              </w:rPr>
            </w:pPr>
            <w:r>
              <w:rPr>
                <w:rFonts w:hint="eastAsia" w:ascii="宋体" w:hAnsi="宋体" w:cs="宋体"/>
                <w:color w:val="auto"/>
                <w:kern w:val="0"/>
                <w:sz w:val="24"/>
                <w:szCs w:val="24"/>
                <w:lang w:val="en-US" w:eastAsia="zh-CN"/>
              </w:rPr>
              <w:t>440</w:t>
            </w:r>
          </w:p>
        </w:tc>
        <w:tc>
          <w:tcPr>
            <w:tcW w:w="1080" w:type="dxa"/>
            <w:tcBorders>
              <w:top w:val="nil"/>
              <w:left w:val="nil"/>
              <w:bottom w:val="single" w:color="auto" w:sz="4" w:space="0"/>
              <w:right w:val="single" w:color="auto" w:sz="4" w:space="0"/>
            </w:tcBorders>
            <w:noWrap w:val="0"/>
            <w:vAlign w:val="center"/>
          </w:tcPr>
          <w:p>
            <w:pPr>
              <w:jc w:val="center"/>
              <w:rPr>
                <w:rFonts w:hint="default" w:ascii="宋体" w:hAnsi="宋体" w:eastAsia="宋体" w:cs="宋体"/>
                <w:color w:val="auto"/>
                <w:kern w:val="0"/>
                <w:sz w:val="24"/>
                <w:szCs w:val="24"/>
                <w:lang w:val="en-US" w:eastAsia="zh-CN"/>
              </w:rPr>
            </w:pPr>
            <w:r>
              <w:rPr>
                <w:rFonts w:hint="eastAsia" w:ascii="宋体" w:hAnsi="宋体" w:cs="宋体"/>
                <w:color w:val="auto"/>
                <w:kern w:val="0"/>
                <w:sz w:val="24"/>
                <w:szCs w:val="24"/>
                <w:lang w:val="en-US" w:eastAsia="zh-CN"/>
              </w:rPr>
              <w:t>163</w:t>
            </w:r>
          </w:p>
        </w:tc>
        <w:tc>
          <w:tcPr>
            <w:tcW w:w="1080" w:type="dxa"/>
            <w:tcBorders>
              <w:top w:val="nil"/>
              <w:left w:val="nil"/>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color w:val="auto"/>
                <w:kern w:val="0"/>
                <w:sz w:val="24"/>
                <w:szCs w:val="24"/>
                <w:lang w:val="en-US" w:eastAsia="zh-CN"/>
              </w:rPr>
            </w:pPr>
            <w:r>
              <w:rPr>
                <w:rFonts w:hint="eastAsia" w:ascii="宋体" w:hAnsi="宋体" w:cs="宋体"/>
                <w:color w:val="auto"/>
                <w:kern w:val="0"/>
                <w:sz w:val="24"/>
                <w:szCs w:val="24"/>
                <w:lang w:val="en-US" w:eastAsia="zh-CN"/>
              </w:rPr>
              <w:t>198</w:t>
            </w:r>
          </w:p>
        </w:tc>
        <w:tc>
          <w:tcPr>
            <w:tcW w:w="1080" w:type="dxa"/>
            <w:tcBorders>
              <w:top w:val="nil"/>
              <w:left w:val="nil"/>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107</w:t>
            </w:r>
          </w:p>
        </w:tc>
      </w:tr>
    </w:tbl>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textAlignment w:val="auto"/>
        <w:outlineLvl w:val="9"/>
        <w:rPr>
          <w:rFonts w:hint="eastAsia"/>
          <w:b/>
          <w:bCs/>
          <w:color w:val="auto"/>
          <w:sz w:val="28"/>
          <w:szCs w:val="28"/>
          <w:lang w:val="en-US" w:eastAsia="zh-CN"/>
        </w:rPr>
      </w:pPr>
    </w:p>
    <w:tbl>
      <w:tblPr>
        <w:tblStyle w:val="10"/>
        <w:tblW w:w="6111" w:type="dxa"/>
        <w:tblInd w:w="93" w:type="dxa"/>
        <w:tblLayout w:type="fixed"/>
        <w:tblCellMar>
          <w:top w:w="0" w:type="dxa"/>
          <w:left w:w="108" w:type="dxa"/>
          <w:bottom w:w="0" w:type="dxa"/>
          <w:right w:w="108" w:type="dxa"/>
        </w:tblCellMar>
      </w:tblPr>
      <w:tblGrid>
        <w:gridCol w:w="1560"/>
        <w:gridCol w:w="1574"/>
        <w:gridCol w:w="1206"/>
        <w:gridCol w:w="1771"/>
      </w:tblGrid>
      <w:tr>
        <w:tblPrEx>
          <w:tblCellMar>
            <w:top w:w="0" w:type="dxa"/>
            <w:left w:w="108" w:type="dxa"/>
            <w:bottom w:w="0" w:type="dxa"/>
            <w:right w:w="108" w:type="dxa"/>
          </w:tblCellMar>
        </w:tblPrEx>
        <w:trPr>
          <w:trHeight w:val="270" w:hRule="atLeast"/>
        </w:trPr>
        <w:tc>
          <w:tcPr>
            <w:tcW w:w="6111" w:type="dxa"/>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ascii="宋体" w:hAnsi="宋体" w:cs="宋体"/>
                <w:color w:val="auto"/>
                <w:kern w:val="0"/>
                <w:sz w:val="24"/>
                <w:szCs w:val="24"/>
              </w:rPr>
            </w:pPr>
            <w:r>
              <w:rPr>
                <w:rFonts w:hint="eastAsia" w:ascii="宋体" w:hAnsi="宋体" w:cs="宋体"/>
                <w:color w:val="auto"/>
                <w:kern w:val="0"/>
                <w:sz w:val="24"/>
                <w:szCs w:val="24"/>
              </w:rPr>
              <w:t>学生巩固率</w:t>
            </w:r>
          </w:p>
        </w:tc>
      </w:tr>
      <w:tr>
        <w:tblPrEx>
          <w:tblCellMar>
            <w:top w:w="0" w:type="dxa"/>
            <w:left w:w="108" w:type="dxa"/>
            <w:bottom w:w="0" w:type="dxa"/>
            <w:right w:w="108" w:type="dxa"/>
          </w:tblCellMar>
        </w:tblPrEx>
        <w:trPr>
          <w:trHeight w:val="270" w:hRule="atLeast"/>
        </w:trPr>
        <w:tc>
          <w:tcPr>
            <w:tcW w:w="15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ascii="宋体" w:hAnsi="宋体" w:cs="宋体"/>
                <w:color w:val="auto"/>
                <w:kern w:val="0"/>
                <w:sz w:val="24"/>
                <w:szCs w:val="24"/>
              </w:rPr>
            </w:pPr>
            <w:r>
              <w:rPr>
                <w:rFonts w:hint="eastAsia" w:ascii="宋体" w:hAnsi="宋体" w:cs="宋体"/>
                <w:color w:val="auto"/>
                <w:kern w:val="0"/>
                <w:sz w:val="24"/>
                <w:szCs w:val="24"/>
              </w:rPr>
              <w:t>年份</w:t>
            </w:r>
          </w:p>
        </w:tc>
        <w:tc>
          <w:tcPr>
            <w:tcW w:w="1574"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ascii="宋体" w:hAnsi="宋体" w:cs="宋体"/>
                <w:color w:val="auto"/>
                <w:kern w:val="0"/>
                <w:sz w:val="24"/>
                <w:szCs w:val="24"/>
              </w:rPr>
            </w:pPr>
            <w:r>
              <w:rPr>
                <w:rFonts w:hint="eastAsia" w:ascii="宋体" w:hAnsi="宋体" w:cs="宋体"/>
                <w:color w:val="auto"/>
                <w:kern w:val="0"/>
                <w:sz w:val="24"/>
                <w:szCs w:val="24"/>
              </w:rPr>
              <w:t>在校生人数</w:t>
            </w:r>
          </w:p>
        </w:tc>
        <w:tc>
          <w:tcPr>
            <w:tcW w:w="1206"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ascii="宋体" w:hAnsi="宋体" w:cs="宋体"/>
                <w:color w:val="auto"/>
                <w:kern w:val="0"/>
                <w:sz w:val="24"/>
                <w:szCs w:val="24"/>
              </w:rPr>
            </w:pPr>
            <w:r>
              <w:rPr>
                <w:rFonts w:hint="eastAsia" w:ascii="宋体" w:hAnsi="宋体" w:cs="宋体"/>
                <w:color w:val="auto"/>
                <w:kern w:val="0"/>
                <w:sz w:val="24"/>
                <w:szCs w:val="24"/>
                <w:lang w:val="en-US" w:eastAsia="zh-CN"/>
              </w:rPr>
              <w:t>异动</w:t>
            </w:r>
            <w:r>
              <w:rPr>
                <w:rFonts w:hint="eastAsia" w:ascii="宋体" w:hAnsi="宋体" w:cs="宋体"/>
                <w:color w:val="auto"/>
                <w:kern w:val="0"/>
                <w:sz w:val="24"/>
                <w:szCs w:val="24"/>
              </w:rPr>
              <w:t>人数</w:t>
            </w:r>
          </w:p>
        </w:tc>
        <w:tc>
          <w:tcPr>
            <w:tcW w:w="177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ascii="宋体" w:hAnsi="宋体" w:cs="宋体"/>
                <w:color w:val="auto"/>
                <w:kern w:val="0"/>
                <w:sz w:val="24"/>
                <w:szCs w:val="24"/>
              </w:rPr>
            </w:pPr>
            <w:r>
              <w:rPr>
                <w:rFonts w:hint="eastAsia" w:ascii="宋体" w:hAnsi="宋体" w:cs="宋体"/>
                <w:color w:val="auto"/>
                <w:kern w:val="0"/>
                <w:sz w:val="24"/>
                <w:szCs w:val="24"/>
              </w:rPr>
              <w:t>巩固率</w:t>
            </w:r>
          </w:p>
        </w:tc>
      </w:tr>
      <w:tr>
        <w:tblPrEx>
          <w:tblCellMar>
            <w:top w:w="0" w:type="dxa"/>
            <w:left w:w="108" w:type="dxa"/>
            <w:bottom w:w="0" w:type="dxa"/>
            <w:right w:w="108" w:type="dxa"/>
          </w:tblCellMar>
        </w:tblPrEx>
        <w:trPr>
          <w:trHeight w:val="270" w:hRule="atLeast"/>
        </w:trPr>
        <w:tc>
          <w:tcPr>
            <w:tcW w:w="156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ascii="宋体" w:hAnsi="宋体" w:cs="宋体"/>
                <w:color w:val="auto"/>
                <w:kern w:val="0"/>
                <w:sz w:val="24"/>
                <w:szCs w:val="24"/>
              </w:rPr>
            </w:pPr>
            <w:r>
              <w:rPr>
                <w:rFonts w:hint="eastAsia" w:ascii="宋体" w:hAnsi="宋体" w:cs="宋体"/>
                <w:color w:val="auto"/>
                <w:kern w:val="0"/>
                <w:sz w:val="24"/>
                <w:szCs w:val="24"/>
              </w:rPr>
              <w:t>201</w:t>
            </w:r>
            <w:r>
              <w:rPr>
                <w:rFonts w:hint="eastAsia" w:ascii="宋体" w:hAnsi="宋体" w:cs="宋体"/>
                <w:color w:val="auto"/>
                <w:kern w:val="0"/>
                <w:sz w:val="24"/>
                <w:szCs w:val="24"/>
                <w:lang w:val="en-US" w:eastAsia="zh-CN"/>
              </w:rPr>
              <w:t>9</w:t>
            </w:r>
            <w:r>
              <w:rPr>
                <w:rFonts w:hint="eastAsia" w:ascii="宋体" w:hAnsi="宋体" w:cs="宋体"/>
                <w:color w:val="auto"/>
                <w:kern w:val="0"/>
                <w:sz w:val="24"/>
                <w:szCs w:val="24"/>
              </w:rPr>
              <w:t>年</w:t>
            </w:r>
          </w:p>
        </w:tc>
        <w:tc>
          <w:tcPr>
            <w:tcW w:w="157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hint="default" w:ascii="宋体" w:hAnsi="宋体" w:eastAsia="宋体" w:cs="宋体"/>
                <w:color w:val="auto"/>
                <w:kern w:val="0"/>
                <w:sz w:val="24"/>
                <w:szCs w:val="24"/>
                <w:lang w:val="en-US" w:eastAsia="zh-CN" w:bidi="ar-SA"/>
              </w:rPr>
            </w:pPr>
            <w:r>
              <w:rPr>
                <w:rFonts w:hint="eastAsia" w:ascii="宋体" w:hAnsi="宋体" w:cs="宋体"/>
                <w:color w:val="auto"/>
                <w:kern w:val="0"/>
                <w:sz w:val="24"/>
                <w:szCs w:val="24"/>
                <w:lang w:val="en-US" w:eastAsia="zh-CN"/>
              </w:rPr>
              <w:t>3643</w:t>
            </w:r>
          </w:p>
        </w:tc>
        <w:tc>
          <w:tcPr>
            <w:tcW w:w="120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hint="default" w:ascii="宋体" w:hAnsi="宋体" w:eastAsia="宋体" w:cs="宋体"/>
                <w:color w:val="auto"/>
                <w:kern w:val="0"/>
                <w:sz w:val="24"/>
                <w:szCs w:val="24"/>
                <w:lang w:val="en-US" w:eastAsia="zh-CN" w:bidi="ar-SA"/>
              </w:rPr>
            </w:pPr>
            <w:r>
              <w:rPr>
                <w:rFonts w:hint="eastAsia" w:ascii="宋体" w:hAnsi="宋体" w:cs="宋体"/>
                <w:color w:val="auto"/>
                <w:kern w:val="0"/>
                <w:sz w:val="24"/>
                <w:szCs w:val="24"/>
                <w:lang w:val="en-US" w:eastAsia="zh-CN"/>
              </w:rPr>
              <w:t>139</w:t>
            </w:r>
          </w:p>
        </w:tc>
        <w:tc>
          <w:tcPr>
            <w:tcW w:w="1771"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hint="default" w:ascii="宋体" w:hAnsi="宋体" w:eastAsia="宋体" w:cs="宋体"/>
                <w:color w:val="auto"/>
                <w:kern w:val="0"/>
                <w:sz w:val="24"/>
                <w:szCs w:val="24"/>
                <w:lang w:val="en-US" w:eastAsia="zh-CN" w:bidi="ar-SA"/>
              </w:rPr>
            </w:pPr>
            <w:r>
              <w:rPr>
                <w:rFonts w:hint="eastAsia" w:ascii="宋体" w:hAnsi="宋体" w:cs="宋体"/>
                <w:color w:val="auto"/>
                <w:kern w:val="0"/>
                <w:sz w:val="24"/>
                <w:szCs w:val="24"/>
                <w:lang w:val="en-US" w:eastAsia="zh-CN"/>
              </w:rPr>
              <w:t>96.21%</w:t>
            </w:r>
          </w:p>
        </w:tc>
      </w:tr>
      <w:tr>
        <w:tblPrEx>
          <w:tblCellMar>
            <w:top w:w="0" w:type="dxa"/>
            <w:left w:w="108" w:type="dxa"/>
            <w:bottom w:w="0" w:type="dxa"/>
            <w:right w:w="108" w:type="dxa"/>
          </w:tblCellMar>
        </w:tblPrEx>
        <w:trPr>
          <w:trHeight w:val="270" w:hRule="atLeast"/>
        </w:trPr>
        <w:tc>
          <w:tcPr>
            <w:tcW w:w="156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lang w:val="en-US" w:eastAsia="zh-CN"/>
              </w:rPr>
              <w:t>2020年</w:t>
            </w:r>
          </w:p>
        </w:tc>
        <w:tc>
          <w:tcPr>
            <w:tcW w:w="157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hint="default" w:ascii="宋体" w:hAnsi="宋体" w:eastAsia="宋体" w:cs="宋体"/>
                <w:color w:val="auto"/>
                <w:kern w:val="0"/>
                <w:sz w:val="24"/>
                <w:szCs w:val="24"/>
                <w:lang w:val="en-US" w:eastAsia="zh-CN"/>
              </w:rPr>
            </w:pPr>
            <w:r>
              <w:rPr>
                <w:rFonts w:hint="eastAsia" w:ascii="宋体" w:hAnsi="宋体" w:cs="宋体"/>
                <w:color w:val="auto"/>
                <w:kern w:val="0"/>
                <w:sz w:val="24"/>
                <w:szCs w:val="24"/>
                <w:lang w:val="en-US" w:eastAsia="zh-CN"/>
              </w:rPr>
              <w:t>3631</w:t>
            </w:r>
          </w:p>
        </w:tc>
        <w:tc>
          <w:tcPr>
            <w:tcW w:w="120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hint="default" w:ascii="宋体" w:hAnsi="宋体" w:eastAsia="宋体" w:cs="宋体"/>
                <w:color w:val="auto"/>
                <w:kern w:val="0"/>
                <w:sz w:val="24"/>
                <w:szCs w:val="24"/>
                <w:lang w:val="en-US" w:eastAsia="zh-CN"/>
              </w:rPr>
            </w:pPr>
            <w:r>
              <w:rPr>
                <w:rFonts w:hint="eastAsia" w:ascii="宋体" w:hAnsi="宋体" w:cs="宋体"/>
                <w:color w:val="auto"/>
                <w:kern w:val="0"/>
                <w:sz w:val="24"/>
                <w:szCs w:val="24"/>
                <w:lang w:val="en-US" w:eastAsia="zh-CN"/>
              </w:rPr>
              <w:t>53</w:t>
            </w:r>
          </w:p>
        </w:tc>
        <w:tc>
          <w:tcPr>
            <w:tcW w:w="1771"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hint="default" w:ascii="宋体" w:hAnsi="宋体" w:eastAsia="宋体" w:cs="宋体"/>
                <w:color w:val="auto"/>
                <w:kern w:val="0"/>
                <w:sz w:val="24"/>
                <w:szCs w:val="24"/>
                <w:lang w:val="en-US" w:eastAsia="zh-CN"/>
              </w:rPr>
            </w:pPr>
            <w:r>
              <w:rPr>
                <w:rFonts w:hint="eastAsia" w:ascii="宋体" w:hAnsi="宋体" w:cs="宋体"/>
                <w:color w:val="auto"/>
                <w:kern w:val="0"/>
                <w:sz w:val="24"/>
                <w:szCs w:val="24"/>
                <w:lang w:val="en-US" w:eastAsia="zh-CN"/>
              </w:rPr>
              <w:t>98.54%</w:t>
            </w:r>
          </w:p>
        </w:tc>
      </w:tr>
    </w:tbl>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textAlignment w:val="auto"/>
        <w:outlineLvl w:val="9"/>
        <w:rPr>
          <w:rFonts w:hint="eastAsia"/>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textAlignment w:val="auto"/>
        <w:outlineLvl w:val="9"/>
        <w:rPr>
          <w:rFonts w:hint="eastAsia"/>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textAlignment w:val="auto"/>
        <w:outlineLvl w:val="9"/>
        <w:rPr>
          <w:rFonts w:hint="eastAsia"/>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textAlignment w:val="auto"/>
        <w:outlineLvl w:val="9"/>
        <w:rPr>
          <w:rFonts w:hint="eastAsia"/>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textAlignment w:val="auto"/>
        <w:outlineLvl w:val="1"/>
        <w:rPr>
          <w:rFonts w:hint="eastAsia"/>
          <w:b/>
          <w:bCs/>
          <w:color w:val="auto"/>
          <w:sz w:val="28"/>
          <w:szCs w:val="28"/>
          <w:lang w:val="en-US" w:eastAsia="zh-CN"/>
        </w:rPr>
      </w:pPr>
      <w:bookmarkStart w:id="3" w:name="_Toc27555"/>
      <w:r>
        <w:rPr>
          <w:rFonts w:hint="eastAsia"/>
          <w:b/>
          <w:bCs/>
          <w:color w:val="auto"/>
          <w:sz w:val="28"/>
          <w:szCs w:val="28"/>
          <w:lang w:val="en-US" w:eastAsia="zh-CN"/>
        </w:rPr>
        <w:t>3、教师队伍</w:t>
      </w:r>
      <w:bookmarkEnd w:id="3"/>
    </w:p>
    <w:tbl>
      <w:tblPr>
        <w:tblStyle w:val="10"/>
        <w:tblW w:w="9371" w:type="dxa"/>
        <w:tblInd w:w="93" w:type="dxa"/>
        <w:tblLayout w:type="fixed"/>
        <w:tblCellMar>
          <w:top w:w="0" w:type="dxa"/>
          <w:left w:w="108" w:type="dxa"/>
          <w:bottom w:w="0" w:type="dxa"/>
          <w:right w:w="108" w:type="dxa"/>
        </w:tblCellMar>
      </w:tblPr>
      <w:tblGrid>
        <w:gridCol w:w="1080"/>
        <w:gridCol w:w="2479"/>
        <w:gridCol w:w="2410"/>
        <w:gridCol w:w="3402"/>
      </w:tblGrid>
      <w:tr>
        <w:tblPrEx>
          <w:tblCellMar>
            <w:top w:w="0" w:type="dxa"/>
            <w:left w:w="108" w:type="dxa"/>
            <w:bottom w:w="0" w:type="dxa"/>
            <w:right w:w="108" w:type="dxa"/>
          </w:tblCellMar>
        </w:tblPrEx>
        <w:trPr>
          <w:trHeight w:val="270"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ascii="宋体" w:hAnsi="宋体" w:cs="宋体"/>
                <w:color w:val="auto"/>
                <w:kern w:val="0"/>
                <w:sz w:val="24"/>
                <w:szCs w:val="24"/>
              </w:rPr>
            </w:pPr>
            <w:r>
              <w:rPr>
                <w:rFonts w:hint="eastAsia" w:ascii="宋体" w:hAnsi="宋体" w:cs="宋体"/>
                <w:color w:val="auto"/>
                <w:kern w:val="0"/>
                <w:sz w:val="24"/>
                <w:szCs w:val="24"/>
              </w:rPr>
              <w:t>　</w:t>
            </w:r>
          </w:p>
        </w:tc>
        <w:tc>
          <w:tcPr>
            <w:tcW w:w="247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ascii="宋体" w:hAnsi="宋体" w:cs="宋体"/>
                <w:color w:val="auto"/>
                <w:kern w:val="0"/>
                <w:sz w:val="24"/>
                <w:szCs w:val="24"/>
              </w:rPr>
            </w:pPr>
            <w:r>
              <w:rPr>
                <w:rFonts w:hint="eastAsia" w:ascii="宋体" w:hAnsi="宋体" w:cs="宋体"/>
                <w:color w:val="auto"/>
                <w:kern w:val="0"/>
                <w:sz w:val="24"/>
                <w:szCs w:val="24"/>
              </w:rPr>
              <w:t>学生人数</w:t>
            </w:r>
          </w:p>
        </w:tc>
        <w:tc>
          <w:tcPr>
            <w:tcW w:w="241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ascii="宋体" w:hAnsi="宋体" w:cs="宋体"/>
                <w:color w:val="auto"/>
                <w:kern w:val="0"/>
                <w:sz w:val="24"/>
                <w:szCs w:val="24"/>
              </w:rPr>
            </w:pPr>
            <w:r>
              <w:rPr>
                <w:rFonts w:hint="eastAsia" w:ascii="宋体" w:hAnsi="宋体" w:cs="宋体"/>
                <w:color w:val="auto"/>
                <w:kern w:val="0"/>
                <w:sz w:val="24"/>
                <w:szCs w:val="24"/>
              </w:rPr>
              <w:t>教师人数</w:t>
            </w:r>
          </w:p>
        </w:tc>
        <w:tc>
          <w:tcPr>
            <w:tcW w:w="340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ascii="宋体" w:hAnsi="宋体" w:cs="宋体"/>
                <w:color w:val="auto"/>
                <w:kern w:val="0"/>
                <w:sz w:val="24"/>
                <w:szCs w:val="24"/>
              </w:rPr>
            </w:pPr>
            <w:r>
              <w:rPr>
                <w:rFonts w:hint="eastAsia" w:ascii="宋体" w:hAnsi="宋体" w:cs="宋体"/>
                <w:color w:val="auto"/>
                <w:kern w:val="0"/>
                <w:sz w:val="24"/>
                <w:szCs w:val="24"/>
              </w:rPr>
              <w:t>生师比</w:t>
            </w:r>
          </w:p>
        </w:tc>
      </w:tr>
      <w:tr>
        <w:tblPrEx>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ascii="宋体" w:hAnsi="宋体" w:cs="宋体"/>
                <w:color w:val="auto"/>
                <w:kern w:val="0"/>
                <w:sz w:val="24"/>
                <w:szCs w:val="24"/>
              </w:rPr>
            </w:pPr>
            <w:r>
              <w:rPr>
                <w:rFonts w:hint="eastAsia" w:ascii="宋体" w:hAnsi="宋体" w:cs="宋体"/>
                <w:color w:val="auto"/>
                <w:kern w:val="0"/>
                <w:sz w:val="24"/>
                <w:szCs w:val="24"/>
              </w:rPr>
              <w:t>201</w:t>
            </w:r>
            <w:r>
              <w:rPr>
                <w:rFonts w:hint="eastAsia" w:ascii="宋体" w:hAnsi="宋体" w:cs="宋体"/>
                <w:color w:val="auto"/>
                <w:kern w:val="0"/>
                <w:sz w:val="24"/>
                <w:szCs w:val="24"/>
                <w:lang w:val="en-US" w:eastAsia="zh-CN"/>
              </w:rPr>
              <w:t>9</w:t>
            </w:r>
            <w:r>
              <w:rPr>
                <w:rFonts w:hint="eastAsia" w:ascii="宋体" w:hAnsi="宋体" w:cs="宋体"/>
                <w:color w:val="auto"/>
                <w:kern w:val="0"/>
                <w:sz w:val="24"/>
                <w:szCs w:val="24"/>
              </w:rPr>
              <w:t>年</w:t>
            </w:r>
          </w:p>
        </w:tc>
        <w:tc>
          <w:tcPr>
            <w:tcW w:w="2479"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hint="default" w:ascii="宋体" w:hAnsi="宋体" w:cs="宋体"/>
                <w:color w:val="auto"/>
                <w:kern w:val="0"/>
                <w:sz w:val="24"/>
                <w:szCs w:val="24"/>
                <w:lang w:val="en-US"/>
              </w:rPr>
            </w:pPr>
            <w:r>
              <w:rPr>
                <w:rFonts w:hint="eastAsia" w:ascii="宋体" w:hAnsi="宋体" w:cs="宋体"/>
                <w:color w:val="auto"/>
                <w:kern w:val="0"/>
                <w:sz w:val="24"/>
                <w:szCs w:val="24"/>
                <w:lang w:val="en-US" w:eastAsia="zh-CN"/>
              </w:rPr>
              <w:t>3643</w:t>
            </w:r>
          </w:p>
        </w:tc>
        <w:tc>
          <w:tcPr>
            <w:tcW w:w="241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hint="default" w:ascii="宋体" w:hAnsi="宋体" w:cs="宋体"/>
                <w:color w:val="auto"/>
                <w:kern w:val="0"/>
                <w:sz w:val="24"/>
                <w:szCs w:val="24"/>
                <w:lang w:val="en-US"/>
              </w:rPr>
            </w:pPr>
            <w:r>
              <w:rPr>
                <w:rFonts w:hint="eastAsia" w:ascii="宋体" w:hAnsi="宋体" w:cs="宋体"/>
                <w:color w:val="auto"/>
                <w:kern w:val="0"/>
                <w:sz w:val="24"/>
                <w:szCs w:val="24"/>
                <w:lang w:val="en-US" w:eastAsia="zh-CN"/>
              </w:rPr>
              <w:t>221</w:t>
            </w:r>
          </w:p>
        </w:tc>
        <w:tc>
          <w:tcPr>
            <w:tcW w:w="3402"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hint="default" w:ascii="宋体" w:hAnsi="宋体" w:cs="宋体"/>
                <w:color w:val="auto"/>
                <w:kern w:val="0"/>
                <w:sz w:val="24"/>
                <w:szCs w:val="24"/>
                <w:lang w:val="en-US"/>
              </w:rPr>
            </w:pPr>
            <w:r>
              <w:rPr>
                <w:rFonts w:hint="eastAsia" w:ascii="宋体" w:hAnsi="宋体" w:cs="宋体"/>
                <w:color w:val="auto"/>
                <w:kern w:val="0"/>
                <w:sz w:val="24"/>
                <w:szCs w:val="24"/>
                <w:lang w:val="en-US" w:eastAsia="zh-CN"/>
              </w:rPr>
              <w:t>16.48</w:t>
            </w:r>
          </w:p>
        </w:tc>
      </w:tr>
      <w:tr>
        <w:tblPrEx>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lang w:val="en-US" w:eastAsia="zh-CN"/>
              </w:rPr>
              <w:t>2020年</w:t>
            </w:r>
          </w:p>
        </w:tc>
        <w:tc>
          <w:tcPr>
            <w:tcW w:w="2479"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hint="default" w:ascii="宋体" w:hAnsi="宋体" w:eastAsia="宋体" w:cs="宋体"/>
                <w:color w:val="auto"/>
                <w:kern w:val="0"/>
                <w:sz w:val="24"/>
                <w:szCs w:val="24"/>
                <w:lang w:val="en-US" w:eastAsia="zh-CN"/>
              </w:rPr>
            </w:pPr>
            <w:r>
              <w:rPr>
                <w:rFonts w:hint="eastAsia" w:ascii="宋体" w:hAnsi="宋体" w:cs="宋体"/>
                <w:color w:val="auto"/>
                <w:kern w:val="0"/>
                <w:sz w:val="24"/>
                <w:szCs w:val="24"/>
                <w:lang w:val="en-US" w:eastAsia="zh-CN"/>
              </w:rPr>
              <w:t>3631</w:t>
            </w:r>
          </w:p>
        </w:tc>
        <w:tc>
          <w:tcPr>
            <w:tcW w:w="241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hint="default" w:ascii="宋体" w:hAnsi="宋体" w:eastAsia="宋体" w:cs="宋体"/>
                <w:color w:val="auto"/>
                <w:kern w:val="0"/>
                <w:sz w:val="24"/>
                <w:szCs w:val="24"/>
                <w:lang w:val="en-US" w:eastAsia="zh-CN"/>
              </w:rPr>
            </w:pPr>
            <w:r>
              <w:rPr>
                <w:rFonts w:hint="eastAsia" w:ascii="宋体" w:hAnsi="宋体" w:cs="宋体"/>
                <w:color w:val="auto"/>
                <w:kern w:val="0"/>
                <w:sz w:val="24"/>
                <w:szCs w:val="24"/>
                <w:lang w:val="en-US" w:eastAsia="zh-CN"/>
              </w:rPr>
              <w:t>221</w:t>
            </w:r>
          </w:p>
        </w:tc>
        <w:tc>
          <w:tcPr>
            <w:tcW w:w="3402"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hint="default" w:ascii="宋体" w:hAnsi="宋体" w:eastAsia="宋体" w:cs="宋体"/>
                <w:color w:val="auto"/>
                <w:kern w:val="0"/>
                <w:sz w:val="24"/>
                <w:szCs w:val="24"/>
                <w:lang w:val="en-US" w:eastAsia="zh-CN"/>
              </w:rPr>
            </w:pPr>
            <w:r>
              <w:rPr>
                <w:rFonts w:hint="eastAsia" w:ascii="宋体" w:hAnsi="宋体" w:cs="宋体"/>
                <w:color w:val="auto"/>
                <w:kern w:val="0"/>
                <w:sz w:val="24"/>
                <w:szCs w:val="24"/>
                <w:lang w:val="en-US" w:eastAsia="zh-CN"/>
              </w:rPr>
              <w:t>16.42</w:t>
            </w:r>
          </w:p>
        </w:tc>
      </w:tr>
      <w:tr>
        <w:tblPrEx>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ascii="宋体" w:hAnsi="宋体" w:cs="宋体"/>
                <w:color w:val="auto"/>
                <w:kern w:val="0"/>
                <w:sz w:val="24"/>
                <w:szCs w:val="24"/>
              </w:rPr>
            </w:pPr>
            <w:r>
              <w:rPr>
                <w:rFonts w:hint="eastAsia" w:ascii="宋体" w:hAnsi="宋体" w:cs="宋体"/>
                <w:color w:val="auto"/>
                <w:kern w:val="0"/>
                <w:sz w:val="24"/>
                <w:szCs w:val="24"/>
              </w:rPr>
              <w:t>　</w:t>
            </w:r>
          </w:p>
        </w:tc>
        <w:tc>
          <w:tcPr>
            <w:tcW w:w="2479"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ascii="宋体" w:hAnsi="宋体" w:cs="宋体"/>
                <w:color w:val="auto"/>
                <w:kern w:val="0"/>
                <w:sz w:val="24"/>
                <w:szCs w:val="24"/>
              </w:rPr>
            </w:pPr>
            <w:r>
              <w:rPr>
                <w:rFonts w:hint="eastAsia" w:ascii="宋体" w:hAnsi="宋体" w:cs="宋体"/>
                <w:color w:val="auto"/>
                <w:kern w:val="0"/>
                <w:sz w:val="24"/>
                <w:szCs w:val="24"/>
              </w:rPr>
              <w:t>双师型教师人数</w:t>
            </w:r>
          </w:p>
        </w:tc>
        <w:tc>
          <w:tcPr>
            <w:tcW w:w="241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ascii="宋体" w:hAnsi="宋体" w:cs="宋体"/>
                <w:color w:val="auto"/>
                <w:kern w:val="0"/>
                <w:sz w:val="24"/>
                <w:szCs w:val="24"/>
              </w:rPr>
            </w:pPr>
            <w:r>
              <w:rPr>
                <w:rFonts w:hint="eastAsia" w:ascii="宋体" w:hAnsi="宋体" w:cs="宋体"/>
                <w:color w:val="auto"/>
                <w:kern w:val="0"/>
                <w:sz w:val="24"/>
                <w:szCs w:val="24"/>
              </w:rPr>
              <w:t>专业课教师人数</w:t>
            </w:r>
          </w:p>
        </w:tc>
        <w:tc>
          <w:tcPr>
            <w:tcW w:w="3402"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ascii="宋体" w:hAnsi="宋体" w:cs="宋体"/>
                <w:color w:val="auto"/>
                <w:kern w:val="0"/>
                <w:sz w:val="24"/>
                <w:szCs w:val="24"/>
              </w:rPr>
            </w:pPr>
            <w:r>
              <w:rPr>
                <w:rFonts w:hint="eastAsia" w:ascii="宋体" w:hAnsi="宋体" w:cs="宋体"/>
                <w:color w:val="auto"/>
                <w:kern w:val="0"/>
                <w:sz w:val="24"/>
                <w:szCs w:val="24"/>
              </w:rPr>
              <w:t>“双师型”教师比例</w:t>
            </w:r>
          </w:p>
        </w:tc>
      </w:tr>
      <w:tr>
        <w:trPr>
          <w:trHeight w:val="270" w:hRule="atLeast"/>
        </w:trPr>
        <w:tc>
          <w:tcPr>
            <w:tcW w:w="108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ascii="宋体" w:hAnsi="宋体" w:cs="宋体"/>
                <w:color w:val="auto"/>
                <w:kern w:val="0"/>
                <w:sz w:val="24"/>
                <w:szCs w:val="24"/>
              </w:rPr>
            </w:pPr>
            <w:r>
              <w:rPr>
                <w:rFonts w:hint="eastAsia" w:ascii="宋体" w:hAnsi="宋体" w:cs="宋体"/>
                <w:color w:val="auto"/>
                <w:kern w:val="0"/>
                <w:sz w:val="24"/>
                <w:szCs w:val="24"/>
              </w:rPr>
              <w:t>201</w:t>
            </w:r>
            <w:r>
              <w:rPr>
                <w:rFonts w:hint="eastAsia" w:ascii="宋体" w:hAnsi="宋体" w:cs="宋体"/>
                <w:color w:val="auto"/>
                <w:kern w:val="0"/>
                <w:sz w:val="24"/>
                <w:szCs w:val="24"/>
                <w:lang w:val="en-US" w:eastAsia="zh-CN"/>
              </w:rPr>
              <w:t>9</w:t>
            </w:r>
            <w:r>
              <w:rPr>
                <w:rFonts w:hint="eastAsia" w:ascii="宋体" w:hAnsi="宋体" w:cs="宋体"/>
                <w:color w:val="auto"/>
                <w:kern w:val="0"/>
                <w:sz w:val="24"/>
                <w:szCs w:val="24"/>
              </w:rPr>
              <w:t>年</w:t>
            </w:r>
          </w:p>
        </w:tc>
        <w:tc>
          <w:tcPr>
            <w:tcW w:w="2479"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hint="default" w:ascii="宋体" w:hAnsi="宋体" w:eastAsia="宋体" w:cs="宋体"/>
                <w:color w:val="000000" w:themeColor="text1"/>
                <w:kern w:val="0"/>
                <w:sz w:val="24"/>
                <w:szCs w:val="24"/>
                <w:lang w:val="en-US" w:eastAsia="zh-CN" w:bidi="ar-SA"/>
                <w14:textFill>
                  <w14:solidFill>
                    <w14:schemeClr w14:val="tx1"/>
                  </w14:solidFill>
                </w14:textFill>
              </w:rPr>
            </w:pPr>
            <w:r>
              <w:rPr>
                <w:rFonts w:hint="eastAsia" w:ascii="宋体" w:hAnsi="宋体" w:cs="宋体"/>
                <w:color w:val="000000" w:themeColor="text1"/>
                <w:kern w:val="0"/>
                <w:sz w:val="24"/>
                <w:szCs w:val="24"/>
                <w:lang w:val="en-US" w:eastAsia="zh-CN"/>
                <w14:textFill>
                  <w14:solidFill>
                    <w14:schemeClr w14:val="tx1"/>
                  </w14:solidFill>
                </w14:textFill>
              </w:rPr>
              <w:t>87</w:t>
            </w:r>
          </w:p>
        </w:tc>
        <w:tc>
          <w:tcPr>
            <w:tcW w:w="241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hint="default" w:ascii="宋体" w:hAnsi="宋体" w:eastAsia="宋体" w:cs="宋体"/>
                <w:color w:val="000000" w:themeColor="text1"/>
                <w:kern w:val="0"/>
                <w:sz w:val="24"/>
                <w:szCs w:val="24"/>
                <w:lang w:val="en-US" w:eastAsia="zh-CN" w:bidi="ar-SA"/>
                <w14:textFill>
                  <w14:solidFill>
                    <w14:schemeClr w14:val="tx1"/>
                  </w14:solidFill>
                </w14:textFill>
              </w:rPr>
            </w:pPr>
            <w:r>
              <w:rPr>
                <w:rFonts w:hint="eastAsia" w:ascii="宋体" w:hAnsi="宋体" w:cs="宋体"/>
                <w:color w:val="000000" w:themeColor="text1"/>
                <w:kern w:val="0"/>
                <w:sz w:val="24"/>
                <w:szCs w:val="24"/>
                <w:lang w:val="en-US" w:eastAsia="zh-CN"/>
                <w14:textFill>
                  <w14:solidFill>
                    <w14:schemeClr w14:val="tx1"/>
                  </w14:solidFill>
                </w14:textFill>
              </w:rPr>
              <w:t>95</w:t>
            </w:r>
          </w:p>
        </w:tc>
        <w:tc>
          <w:tcPr>
            <w:tcW w:w="3402"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hint="default" w:ascii="宋体" w:hAnsi="宋体" w:eastAsia="宋体" w:cs="宋体"/>
                <w:color w:val="000000" w:themeColor="text1"/>
                <w:kern w:val="0"/>
                <w:sz w:val="24"/>
                <w:szCs w:val="24"/>
                <w:lang w:val="en-US" w:eastAsia="zh-CN" w:bidi="ar-SA"/>
                <w14:textFill>
                  <w14:solidFill>
                    <w14:schemeClr w14:val="tx1"/>
                  </w14:solidFill>
                </w14:textFill>
              </w:rPr>
            </w:pPr>
            <w:r>
              <w:rPr>
                <w:rFonts w:hint="eastAsia" w:ascii="宋体" w:hAnsi="宋体" w:cs="宋体"/>
                <w:color w:val="000000" w:themeColor="text1"/>
                <w:kern w:val="0"/>
                <w:sz w:val="24"/>
                <w:szCs w:val="24"/>
                <w:lang w:val="en-US" w:eastAsia="zh-CN"/>
                <w14:textFill>
                  <w14:solidFill>
                    <w14:schemeClr w14:val="tx1"/>
                  </w14:solidFill>
                </w14:textFill>
              </w:rPr>
              <w:t>91.56%</w:t>
            </w:r>
          </w:p>
        </w:tc>
      </w:tr>
      <w:tr>
        <w:tblPrEx>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lang w:val="en-US" w:eastAsia="zh-CN"/>
              </w:rPr>
              <w:t>2020年</w:t>
            </w:r>
          </w:p>
        </w:tc>
        <w:tc>
          <w:tcPr>
            <w:tcW w:w="2479"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hint="default"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cs="宋体"/>
                <w:color w:val="000000" w:themeColor="text1"/>
                <w:kern w:val="0"/>
                <w:sz w:val="24"/>
                <w:szCs w:val="24"/>
                <w:lang w:val="en-US" w:eastAsia="zh-CN"/>
                <w14:textFill>
                  <w14:solidFill>
                    <w14:schemeClr w14:val="tx1"/>
                  </w14:solidFill>
                </w14:textFill>
              </w:rPr>
              <w:t>82</w:t>
            </w:r>
          </w:p>
        </w:tc>
        <w:tc>
          <w:tcPr>
            <w:tcW w:w="241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hint="default"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cs="宋体"/>
                <w:color w:val="000000" w:themeColor="text1"/>
                <w:kern w:val="0"/>
                <w:sz w:val="24"/>
                <w:szCs w:val="24"/>
                <w:lang w:val="en-US" w:eastAsia="zh-CN"/>
                <w14:textFill>
                  <w14:solidFill>
                    <w14:schemeClr w14:val="tx1"/>
                  </w14:solidFill>
                </w14:textFill>
              </w:rPr>
              <w:t>89</w:t>
            </w:r>
          </w:p>
        </w:tc>
        <w:tc>
          <w:tcPr>
            <w:tcW w:w="3402"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hint="default" w:ascii="宋体" w:hAnsi="宋体" w:eastAsia="宋体" w:cs="宋体"/>
                <w:color w:val="auto"/>
                <w:kern w:val="0"/>
                <w:sz w:val="24"/>
                <w:szCs w:val="24"/>
                <w:lang w:val="en-US" w:eastAsia="zh-CN"/>
              </w:rPr>
            </w:pPr>
            <w:r>
              <w:rPr>
                <w:rFonts w:hint="default" w:ascii="宋体" w:hAnsi="宋体" w:eastAsia="宋体" w:cs="宋体"/>
                <w:color w:val="auto"/>
                <w:kern w:val="0"/>
                <w:sz w:val="24"/>
                <w:szCs w:val="24"/>
                <w:lang w:val="en-US" w:eastAsia="zh-CN"/>
              </w:rPr>
              <w:t>92.13%</w:t>
            </w:r>
          </w:p>
        </w:tc>
      </w:tr>
      <w:tr>
        <w:tblPrEx>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ascii="宋体" w:hAnsi="宋体" w:cs="宋体"/>
                <w:color w:val="auto"/>
                <w:kern w:val="0"/>
                <w:sz w:val="24"/>
                <w:szCs w:val="24"/>
              </w:rPr>
            </w:pPr>
            <w:r>
              <w:rPr>
                <w:rFonts w:hint="eastAsia" w:ascii="宋体" w:hAnsi="宋体" w:cs="宋体"/>
                <w:color w:val="auto"/>
                <w:kern w:val="0"/>
                <w:sz w:val="24"/>
                <w:szCs w:val="24"/>
              </w:rPr>
              <w:t>　</w:t>
            </w:r>
          </w:p>
        </w:tc>
        <w:tc>
          <w:tcPr>
            <w:tcW w:w="2479"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ascii="宋体" w:hAnsi="宋体" w:cs="宋体"/>
                <w:color w:val="auto"/>
                <w:kern w:val="0"/>
                <w:sz w:val="24"/>
                <w:szCs w:val="24"/>
              </w:rPr>
            </w:pPr>
            <w:r>
              <w:rPr>
                <w:rFonts w:hint="eastAsia" w:ascii="宋体" w:hAnsi="宋体" w:cs="宋体"/>
                <w:color w:val="auto"/>
                <w:kern w:val="0"/>
                <w:sz w:val="24"/>
                <w:szCs w:val="24"/>
              </w:rPr>
              <w:t>兼职教师</w:t>
            </w:r>
          </w:p>
        </w:tc>
        <w:tc>
          <w:tcPr>
            <w:tcW w:w="241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ascii="宋体" w:hAnsi="宋体" w:cs="宋体"/>
                <w:color w:val="auto"/>
                <w:kern w:val="0"/>
                <w:sz w:val="24"/>
                <w:szCs w:val="24"/>
              </w:rPr>
            </w:pPr>
            <w:r>
              <w:rPr>
                <w:rFonts w:hint="eastAsia" w:ascii="宋体" w:hAnsi="宋体" w:cs="宋体"/>
                <w:color w:val="auto"/>
                <w:kern w:val="0"/>
                <w:sz w:val="24"/>
                <w:szCs w:val="24"/>
              </w:rPr>
              <w:t>教师人数</w:t>
            </w:r>
          </w:p>
        </w:tc>
        <w:tc>
          <w:tcPr>
            <w:tcW w:w="3402"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ascii="宋体" w:hAnsi="宋体" w:cs="宋体"/>
                <w:color w:val="auto"/>
                <w:kern w:val="0"/>
                <w:sz w:val="24"/>
                <w:szCs w:val="24"/>
              </w:rPr>
            </w:pPr>
            <w:r>
              <w:rPr>
                <w:rFonts w:hint="eastAsia" w:ascii="宋体" w:hAnsi="宋体" w:cs="宋体"/>
                <w:color w:val="auto"/>
                <w:kern w:val="0"/>
                <w:sz w:val="24"/>
                <w:szCs w:val="24"/>
              </w:rPr>
              <w:t>兼职教师比例</w:t>
            </w:r>
          </w:p>
        </w:tc>
      </w:tr>
      <w:tr>
        <w:tblPrEx>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ascii="宋体" w:hAnsi="宋体" w:cs="宋体"/>
                <w:color w:val="auto"/>
                <w:kern w:val="0"/>
                <w:sz w:val="24"/>
                <w:szCs w:val="24"/>
              </w:rPr>
            </w:pPr>
            <w:r>
              <w:rPr>
                <w:rFonts w:hint="eastAsia" w:ascii="宋体" w:hAnsi="宋体" w:cs="宋体"/>
                <w:color w:val="auto"/>
                <w:kern w:val="0"/>
                <w:sz w:val="24"/>
                <w:szCs w:val="24"/>
              </w:rPr>
              <w:t>201</w:t>
            </w:r>
            <w:r>
              <w:rPr>
                <w:rFonts w:hint="eastAsia" w:ascii="宋体" w:hAnsi="宋体" w:cs="宋体"/>
                <w:color w:val="auto"/>
                <w:kern w:val="0"/>
                <w:sz w:val="24"/>
                <w:szCs w:val="24"/>
                <w:lang w:val="en-US" w:eastAsia="zh-CN"/>
              </w:rPr>
              <w:t>9</w:t>
            </w:r>
            <w:r>
              <w:rPr>
                <w:rFonts w:hint="eastAsia" w:ascii="宋体" w:hAnsi="宋体" w:cs="宋体"/>
                <w:color w:val="auto"/>
                <w:kern w:val="0"/>
                <w:sz w:val="24"/>
                <w:szCs w:val="24"/>
              </w:rPr>
              <w:t>年</w:t>
            </w:r>
          </w:p>
        </w:tc>
        <w:tc>
          <w:tcPr>
            <w:tcW w:w="2479"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hint="default" w:ascii="宋体" w:hAnsi="宋体" w:eastAsia="宋体" w:cs="宋体"/>
                <w:color w:val="auto"/>
                <w:kern w:val="0"/>
                <w:sz w:val="24"/>
                <w:szCs w:val="24"/>
                <w:lang w:val="en-US" w:eastAsia="zh-CN" w:bidi="ar-SA"/>
              </w:rPr>
            </w:pPr>
            <w:r>
              <w:rPr>
                <w:rFonts w:hint="eastAsia" w:ascii="宋体" w:hAnsi="宋体" w:cs="宋体"/>
                <w:color w:val="auto"/>
                <w:kern w:val="0"/>
                <w:sz w:val="24"/>
                <w:szCs w:val="24"/>
                <w:lang w:val="en-US" w:eastAsia="zh-CN"/>
              </w:rPr>
              <w:t>36</w:t>
            </w:r>
          </w:p>
        </w:tc>
        <w:tc>
          <w:tcPr>
            <w:tcW w:w="241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hint="default" w:ascii="宋体" w:hAnsi="宋体" w:eastAsia="宋体" w:cs="宋体"/>
                <w:color w:val="auto"/>
                <w:kern w:val="0"/>
                <w:sz w:val="24"/>
                <w:szCs w:val="24"/>
                <w:lang w:val="en-US" w:eastAsia="zh-CN" w:bidi="ar-SA"/>
              </w:rPr>
            </w:pPr>
            <w:r>
              <w:rPr>
                <w:rFonts w:hint="eastAsia" w:ascii="宋体" w:hAnsi="宋体" w:cs="宋体"/>
                <w:color w:val="auto"/>
                <w:kern w:val="0"/>
                <w:sz w:val="24"/>
                <w:szCs w:val="24"/>
                <w:lang w:val="en-US" w:eastAsia="zh-CN"/>
              </w:rPr>
              <w:t>221</w:t>
            </w:r>
          </w:p>
        </w:tc>
        <w:tc>
          <w:tcPr>
            <w:tcW w:w="3402"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hint="default" w:ascii="宋体" w:hAnsi="宋体" w:eastAsia="宋体" w:cs="宋体"/>
                <w:color w:val="auto"/>
                <w:kern w:val="0"/>
                <w:sz w:val="24"/>
                <w:szCs w:val="24"/>
                <w:lang w:val="en-US" w:eastAsia="zh-CN" w:bidi="ar-SA"/>
              </w:rPr>
            </w:pPr>
            <w:r>
              <w:rPr>
                <w:rFonts w:hint="eastAsia" w:ascii="宋体" w:hAnsi="宋体" w:cs="宋体"/>
                <w:color w:val="auto"/>
                <w:kern w:val="0"/>
                <w:sz w:val="24"/>
                <w:szCs w:val="24"/>
                <w:lang w:val="en-US" w:eastAsia="zh-CN"/>
              </w:rPr>
              <w:t>14.01%</w:t>
            </w:r>
          </w:p>
        </w:tc>
      </w:tr>
      <w:tr>
        <w:trPr>
          <w:trHeight w:val="270" w:hRule="atLeast"/>
        </w:trPr>
        <w:tc>
          <w:tcPr>
            <w:tcW w:w="108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lang w:val="en-US" w:eastAsia="zh-CN"/>
              </w:rPr>
              <w:t>2020年</w:t>
            </w:r>
          </w:p>
        </w:tc>
        <w:tc>
          <w:tcPr>
            <w:tcW w:w="2479"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hint="default" w:ascii="宋体" w:hAnsi="宋体" w:eastAsia="宋体" w:cs="宋体"/>
                <w:color w:val="auto"/>
                <w:kern w:val="0"/>
                <w:sz w:val="24"/>
                <w:szCs w:val="24"/>
                <w:lang w:val="en-US" w:eastAsia="zh-CN"/>
              </w:rPr>
            </w:pPr>
            <w:r>
              <w:rPr>
                <w:rFonts w:hint="eastAsia" w:ascii="宋体" w:hAnsi="宋体" w:cs="宋体"/>
                <w:color w:val="auto"/>
                <w:kern w:val="0"/>
                <w:sz w:val="24"/>
                <w:szCs w:val="24"/>
                <w:lang w:val="en-US" w:eastAsia="zh-CN"/>
              </w:rPr>
              <w:t>36</w:t>
            </w:r>
          </w:p>
        </w:tc>
        <w:tc>
          <w:tcPr>
            <w:tcW w:w="241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hint="default" w:ascii="宋体" w:hAnsi="宋体" w:eastAsia="宋体" w:cs="宋体"/>
                <w:color w:val="auto"/>
                <w:kern w:val="0"/>
                <w:sz w:val="24"/>
                <w:szCs w:val="24"/>
                <w:lang w:val="en-US" w:eastAsia="zh-CN"/>
              </w:rPr>
            </w:pPr>
            <w:r>
              <w:rPr>
                <w:rFonts w:hint="eastAsia" w:ascii="宋体" w:hAnsi="宋体" w:cs="宋体"/>
                <w:color w:val="auto"/>
                <w:kern w:val="0"/>
                <w:sz w:val="24"/>
                <w:szCs w:val="24"/>
                <w:lang w:val="en-US" w:eastAsia="zh-CN"/>
              </w:rPr>
              <w:t>221</w:t>
            </w:r>
          </w:p>
        </w:tc>
        <w:tc>
          <w:tcPr>
            <w:tcW w:w="3402"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hint="default" w:ascii="宋体" w:hAnsi="宋体" w:eastAsia="宋体" w:cs="宋体"/>
                <w:color w:val="auto"/>
                <w:kern w:val="0"/>
                <w:sz w:val="24"/>
                <w:szCs w:val="24"/>
                <w:lang w:val="en-US" w:eastAsia="zh-CN"/>
              </w:rPr>
            </w:pPr>
            <w:r>
              <w:rPr>
                <w:rFonts w:hint="eastAsia" w:ascii="宋体" w:hAnsi="宋体" w:cs="宋体"/>
                <w:color w:val="auto"/>
                <w:kern w:val="0"/>
                <w:sz w:val="24"/>
                <w:szCs w:val="24"/>
                <w:lang w:val="en-US" w:eastAsia="zh-CN"/>
              </w:rPr>
              <w:t>14.01%</w:t>
            </w:r>
          </w:p>
        </w:tc>
      </w:tr>
      <w:tr>
        <w:tblPrEx>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ascii="宋体" w:hAnsi="宋体" w:cs="宋体"/>
                <w:color w:val="auto"/>
                <w:kern w:val="0"/>
                <w:sz w:val="24"/>
                <w:szCs w:val="24"/>
              </w:rPr>
            </w:pPr>
            <w:r>
              <w:rPr>
                <w:rFonts w:hint="eastAsia" w:ascii="宋体" w:hAnsi="宋体" w:cs="宋体"/>
                <w:color w:val="auto"/>
                <w:kern w:val="0"/>
                <w:sz w:val="24"/>
                <w:szCs w:val="24"/>
              </w:rPr>
              <w:t>　</w:t>
            </w:r>
          </w:p>
        </w:tc>
        <w:tc>
          <w:tcPr>
            <w:tcW w:w="2479"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ascii="宋体" w:hAnsi="宋体" w:cs="宋体"/>
                <w:color w:val="auto"/>
                <w:kern w:val="0"/>
                <w:sz w:val="24"/>
                <w:szCs w:val="24"/>
              </w:rPr>
            </w:pPr>
            <w:r>
              <w:rPr>
                <w:rFonts w:hint="eastAsia" w:ascii="宋体" w:hAnsi="宋体" w:cs="宋体"/>
                <w:color w:val="auto"/>
                <w:kern w:val="0"/>
                <w:sz w:val="24"/>
                <w:szCs w:val="24"/>
              </w:rPr>
              <w:t>专任教师人数</w:t>
            </w:r>
          </w:p>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ascii="宋体" w:hAnsi="宋体" w:cs="宋体"/>
                <w:color w:val="auto"/>
                <w:kern w:val="0"/>
                <w:sz w:val="24"/>
                <w:szCs w:val="24"/>
              </w:rPr>
            </w:pPr>
            <w:r>
              <w:rPr>
                <w:rFonts w:hint="eastAsia" w:ascii="宋体" w:hAnsi="宋体" w:cs="宋体"/>
                <w:color w:val="auto"/>
                <w:kern w:val="0"/>
                <w:sz w:val="24"/>
                <w:szCs w:val="24"/>
              </w:rPr>
              <w:t>（本科以上学历）</w:t>
            </w:r>
          </w:p>
        </w:tc>
        <w:tc>
          <w:tcPr>
            <w:tcW w:w="241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ascii="宋体" w:hAnsi="宋体" w:cs="宋体"/>
                <w:color w:val="auto"/>
                <w:kern w:val="0"/>
                <w:sz w:val="24"/>
                <w:szCs w:val="24"/>
              </w:rPr>
            </w:pPr>
            <w:r>
              <w:rPr>
                <w:rFonts w:hint="eastAsia" w:ascii="宋体" w:hAnsi="宋体" w:cs="宋体"/>
                <w:color w:val="auto"/>
                <w:kern w:val="0"/>
                <w:sz w:val="24"/>
                <w:szCs w:val="24"/>
              </w:rPr>
              <w:t>专任教师人数</w:t>
            </w:r>
          </w:p>
        </w:tc>
        <w:tc>
          <w:tcPr>
            <w:tcW w:w="3402"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ascii="宋体" w:hAnsi="宋体" w:cs="宋体"/>
                <w:color w:val="auto"/>
                <w:kern w:val="0"/>
                <w:sz w:val="24"/>
                <w:szCs w:val="24"/>
              </w:rPr>
            </w:pPr>
            <w:r>
              <w:rPr>
                <w:rFonts w:hint="eastAsia" w:ascii="宋体" w:hAnsi="宋体" w:cs="宋体"/>
                <w:color w:val="auto"/>
                <w:kern w:val="0"/>
                <w:sz w:val="24"/>
                <w:szCs w:val="24"/>
              </w:rPr>
              <w:t>专任教师本科以上学历比例</w:t>
            </w:r>
          </w:p>
        </w:tc>
      </w:tr>
      <w:tr>
        <w:tblPrEx>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ascii="宋体" w:hAnsi="宋体" w:cs="宋体"/>
                <w:color w:val="auto"/>
                <w:kern w:val="0"/>
                <w:sz w:val="24"/>
                <w:szCs w:val="24"/>
              </w:rPr>
            </w:pPr>
            <w:r>
              <w:rPr>
                <w:rFonts w:hint="eastAsia" w:ascii="宋体" w:hAnsi="宋体" w:cs="宋体"/>
                <w:color w:val="auto"/>
                <w:kern w:val="0"/>
                <w:sz w:val="24"/>
                <w:szCs w:val="24"/>
              </w:rPr>
              <w:t>201</w:t>
            </w:r>
            <w:r>
              <w:rPr>
                <w:rFonts w:hint="eastAsia" w:ascii="宋体" w:hAnsi="宋体" w:cs="宋体"/>
                <w:color w:val="auto"/>
                <w:kern w:val="0"/>
                <w:sz w:val="24"/>
                <w:szCs w:val="24"/>
                <w:lang w:val="en-US" w:eastAsia="zh-CN"/>
              </w:rPr>
              <w:t>9</w:t>
            </w:r>
            <w:r>
              <w:rPr>
                <w:rFonts w:hint="eastAsia" w:ascii="宋体" w:hAnsi="宋体" w:cs="宋体"/>
                <w:color w:val="auto"/>
                <w:kern w:val="0"/>
                <w:sz w:val="24"/>
                <w:szCs w:val="24"/>
              </w:rPr>
              <w:t>年</w:t>
            </w:r>
          </w:p>
        </w:tc>
        <w:tc>
          <w:tcPr>
            <w:tcW w:w="2479"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hint="eastAsia" w:ascii="宋体" w:hAnsi="宋体" w:eastAsia="宋体" w:cs="宋体"/>
                <w:color w:val="auto"/>
                <w:kern w:val="0"/>
                <w:sz w:val="24"/>
                <w:szCs w:val="24"/>
                <w:lang w:val="en-US" w:eastAsia="zh-CN" w:bidi="ar-SA"/>
              </w:rPr>
            </w:pPr>
            <w:r>
              <w:rPr>
                <w:rFonts w:hint="eastAsia" w:ascii="宋体" w:hAnsi="宋体" w:cs="宋体"/>
                <w:color w:val="auto"/>
                <w:kern w:val="0"/>
                <w:sz w:val="24"/>
                <w:szCs w:val="24"/>
                <w:lang w:val="en-US" w:eastAsia="zh-CN"/>
              </w:rPr>
              <w:t>195</w:t>
            </w:r>
          </w:p>
        </w:tc>
        <w:tc>
          <w:tcPr>
            <w:tcW w:w="241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hint="default" w:ascii="宋体" w:hAnsi="宋体" w:eastAsia="宋体" w:cs="宋体"/>
                <w:color w:val="auto"/>
                <w:kern w:val="0"/>
                <w:sz w:val="24"/>
                <w:szCs w:val="24"/>
                <w:lang w:val="en-US" w:eastAsia="zh-CN" w:bidi="ar-SA"/>
              </w:rPr>
            </w:pPr>
            <w:r>
              <w:rPr>
                <w:rFonts w:hint="eastAsia" w:ascii="宋体" w:hAnsi="宋体" w:cs="宋体"/>
                <w:color w:val="auto"/>
                <w:kern w:val="0"/>
                <w:sz w:val="24"/>
                <w:szCs w:val="24"/>
                <w:lang w:val="en-US" w:eastAsia="zh-CN"/>
              </w:rPr>
              <w:t>197</w:t>
            </w:r>
          </w:p>
        </w:tc>
        <w:tc>
          <w:tcPr>
            <w:tcW w:w="3402"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hint="default" w:ascii="宋体" w:hAnsi="宋体" w:eastAsia="宋体" w:cs="宋体"/>
                <w:color w:val="auto"/>
                <w:kern w:val="0"/>
                <w:sz w:val="24"/>
                <w:szCs w:val="24"/>
                <w:lang w:val="en-US" w:eastAsia="zh-CN" w:bidi="ar-SA"/>
              </w:rPr>
            </w:pPr>
            <w:r>
              <w:rPr>
                <w:rFonts w:hint="eastAsia" w:ascii="宋体" w:hAnsi="宋体" w:cs="宋体"/>
                <w:color w:val="auto"/>
                <w:kern w:val="0"/>
                <w:sz w:val="24"/>
                <w:szCs w:val="24"/>
                <w:lang w:val="en-US" w:eastAsia="zh-CN"/>
              </w:rPr>
              <w:t>98.98%</w:t>
            </w:r>
          </w:p>
        </w:tc>
      </w:tr>
      <w:tr>
        <w:tblPrEx>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lang w:val="en-US" w:eastAsia="zh-CN"/>
              </w:rPr>
              <w:t>2020年</w:t>
            </w:r>
          </w:p>
        </w:tc>
        <w:tc>
          <w:tcPr>
            <w:tcW w:w="2479"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hint="default" w:ascii="宋体" w:hAnsi="宋体" w:eastAsia="宋体" w:cs="宋体"/>
                <w:color w:val="auto"/>
                <w:kern w:val="0"/>
                <w:sz w:val="24"/>
                <w:szCs w:val="24"/>
                <w:lang w:val="en-US" w:eastAsia="zh-CN" w:bidi="ar-SA"/>
              </w:rPr>
            </w:pPr>
            <w:r>
              <w:rPr>
                <w:rFonts w:hint="eastAsia" w:ascii="宋体" w:hAnsi="宋体" w:cs="宋体"/>
                <w:color w:val="auto"/>
                <w:kern w:val="0"/>
                <w:sz w:val="24"/>
                <w:szCs w:val="24"/>
                <w:lang w:val="en-US" w:eastAsia="zh-CN"/>
              </w:rPr>
              <w:t>195</w:t>
            </w:r>
          </w:p>
        </w:tc>
        <w:tc>
          <w:tcPr>
            <w:tcW w:w="241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hint="default" w:ascii="宋体" w:hAnsi="宋体" w:eastAsia="宋体" w:cs="宋体"/>
                <w:color w:val="auto"/>
                <w:kern w:val="0"/>
                <w:sz w:val="24"/>
                <w:szCs w:val="24"/>
                <w:lang w:val="en-US" w:eastAsia="zh-CN" w:bidi="ar-SA"/>
              </w:rPr>
            </w:pPr>
            <w:r>
              <w:rPr>
                <w:rFonts w:hint="eastAsia" w:ascii="宋体" w:hAnsi="宋体" w:cs="宋体"/>
                <w:color w:val="auto"/>
                <w:kern w:val="0"/>
                <w:sz w:val="24"/>
                <w:szCs w:val="24"/>
                <w:lang w:val="en-US" w:eastAsia="zh-CN"/>
              </w:rPr>
              <w:t>197</w:t>
            </w:r>
          </w:p>
        </w:tc>
        <w:tc>
          <w:tcPr>
            <w:tcW w:w="3402"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hint="default" w:ascii="宋体" w:hAnsi="宋体" w:eastAsia="宋体" w:cs="宋体"/>
                <w:color w:val="auto"/>
                <w:kern w:val="0"/>
                <w:sz w:val="24"/>
                <w:szCs w:val="24"/>
                <w:lang w:val="en-US" w:eastAsia="zh-CN" w:bidi="ar-SA"/>
              </w:rPr>
            </w:pPr>
            <w:r>
              <w:rPr>
                <w:rFonts w:hint="eastAsia" w:ascii="宋体" w:hAnsi="宋体" w:cs="宋体"/>
                <w:color w:val="auto"/>
                <w:kern w:val="0"/>
                <w:sz w:val="24"/>
                <w:szCs w:val="24"/>
                <w:lang w:val="en-US" w:eastAsia="zh-CN"/>
              </w:rPr>
              <w:t>98.98%</w:t>
            </w:r>
          </w:p>
        </w:tc>
      </w:tr>
      <w:tr>
        <w:tblPrEx>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ascii="宋体" w:hAnsi="宋体" w:cs="宋体"/>
                <w:color w:val="auto"/>
                <w:kern w:val="0"/>
                <w:sz w:val="24"/>
                <w:szCs w:val="24"/>
              </w:rPr>
            </w:pPr>
            <w:r>
              <w:rPr>
                <w:rFonts w:hint="eastAsia" w:ascii="宋体" w:hAnsi="宋体" w:cs="宋体"/>
                <w:color w:val="auto"/>
                <w:kern w:val="0"/>
                <w:sz w:val="24"/>
                <w:szCs w:val="24"/>
              </w:rPr>
              <w:t>　</w:t>
            </w:r>
          </w:p>
        </w:tc>
        <w:tc>
          <w:tcPr>
            <w:tcW w:w="2479"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ascii="宋体" w:hAnsi="宋体" w:cs="宋体"/>
                <w:color w:val="auto"/>
                <w:kern w:val="0"/>
                <w:sz w:val="24"/>
                <w:szCs w:val="24"/>
              </w:rPr>
            </w:pPr>
            <w:r>
              <w:rPr>
                <w:rFonts w:hint="eastAsia" w:ascii="宋体" w:hAnsi="宋体" w:cs="宋体"/>
                <w:color w:val="auto"/>
                <w:kern w:val="0"/>
                <w:sz w:val="24"/>
                <w:szCs w:val="24"/>
              </w:rPr>
              <w:t>专任教师人数</w:t>
            </w:r>
          </w:p>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ascii="宋体" w:hAnsi="宋体" w:cs="宋体"/>
                <w:color w:val="auto"/>
                <w:kern w:val="0"/>
                <w:sz w:val="24"/>
                <w:szCs w:val="24"/>
              </w:rPr>
            </w:pPr>
            <w:r>
              <w:rPr>
                <w:rFonts w:hint="eastAsia" w:ascii="宋体" w:hAnsi="宋体" w:cs="宋体"/>
                <w:color w:val="auto"/>
                <w:kern w:val="0"/>
                <w:sz w:val="24"/>
                <w:szCs w:val="24"/>
              </w:rPr>
              <w:t>（硕士以上学历）</w:t>
            </w:r>
          </w:p>
        </w:tc>
        <w:tc>
          <w:tcPr>
            <w:tcW w:w="241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ascii="宋体" w:hAnsi="宋体" w:cs="宋体"/>
                <w:color w:val="auto"/>
                <w:kern w:val="0"/>
                <w:sz w:val="24"/>
                <w:szCs w:val="24"/>
              </w:rPr>
            </w:pPr>
            <w:r>
              <w:rPr>
                <w:rFonts w:hint="eastAsia" w:ascii="宋体" w:hAnsi="宋体" w:cs="宋体"/>
                <w:color w:val="auto"/>
                <w:kern w:val="0"/>
                <w:sz w:val="24"/>
                <w:szCs w:val="24"/>
              </w:rPr>
              <w:t>专任教师人数</w:t>
            </w:r>
          </w:p>
        </w:tc>
        <w:tc>
          <w:tcPr>
            <w:tcW w:w="3402"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ascii="宋体" w:hAnsi="宋体" w:cs="宋体"/>
                <w:color w:val="auto"/>
                <w:kern w:val="0"/>
                <w:sz w:val="24"/>
                <w:szCs w:val="24"/>
              </w:rPr>
            </w:pPr>
            <w:r>
              <w:rPr>
                <w:rFonts w:hint="eastAsia" w:ascii="宋体" w:hAnsi="宋体" w:cs="宋体"/>
                <w:color w:val="auto"/>
                <w:kern w:val="0"/>
                <w:sz w:val="24"/>
                <w:szCs w:val="24"/>
              </w:rPr>
              <w:t>专任教师硕士以上学历比例</w:t>
            </w:r>
          </w:p>
        </w:tc>
      </w:tr>
      <w:tr>
        <w:trPr>
          <w:trHeight w:val="270" w:hRule="atLeast"/>
        </w:trPr>
        <w:tc>
          <w:tcPr>
            <w:tcW w:w="108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ascii="宋体" w:hAnsi="宋体" w:cs="宋体"/>
                <w:color w:val="auto"/>
                <w:kern w:val="0"/>
                <w:sz w:val="24"/>
                <w:szCs w:val="24"/>
              </w:rPr>
            </w:pPr>
            <w:r>
              <w:rPr>
                <w:rFonts w:hint="eastAsia" w:ascii="宋体" w:hAnsi="宋体" w:cs="宋体"/>
                <w:color w:val="auto"/>
                <w:kern w:val="0"/>
                <w:sz w:val="24"/>
                <w:szCs w:val="24"/>
              </w:rPr>
              <w:t>201</w:t>
            </w:r>
            <w:r>
              <w:rPr>
                <w:rFonts w:hint="eastAsia" w:ascii="宋体" w:hAnsi="宋体" w:cs="宋体"/>
                <w:color w:val="auto"/>
                <w:kern w:val="0"/>
                <w:sz w:val="24"/>
                <w:szCs w:val="24"/>
                <w:lang w:val="en-US" w:eastAsia="zh-CN"/>
              </w:rPr>
              <w:t>9</w:t>
            </w:r>
            <w:r>
              <w:rPr>
                <w:rFonts w:hint="eastAsia" w:ascii="宋体" w:hAnsi="宋体" w:cs="宋体"/>
                <w:color w:val="auto"/>
                <w:kern w:val="0"/>
                <w:sz w:val="24"/>
                <w:szCs w:val="24"/>
              </w:rPr>
              <w:t>年</w:t>
            </w:r>
          </w:p>
        </w:tc>
        <w:tc>
          <w:tcPr>
            <w:tcW w:w="2479"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hint="default" w:ascii="宋体" w:hAnsi="宋体" w:eastAsia="宋体" w:cs="宋体"/>
                <w:color w:val="auto"/>
                <w:kern w:val="0"/>
                <w:sz w:val="24"/>
                <w:szCs w:val="24"/>
                <w:lang w:val="en-US" w:eastAsia="zh-CN" w:bidi="ar-SA"/>
              </w:rPr>
            </w:pPr>
            <w:r>
              <w:rPr>
                <w:rFonts w:hint="eastAsia" w:ascii="宋体" w:hAnsi="宋体" w:cs="宋体"/>
                <w:color w:val="auto"/>
                <w:kern w:val="0"/>
                <w:sz w:val="24"/>
                <w:szCs w:val="24"/>
                <w:lang w:val="en-US" w:eastAsia="zh-CN"/>
              </w:rPr>
              <w:t>11</w:t>
            </w:r>
          </w:p>
        </w:tc>
        <w:tc>
          <w:tcPr>
            <w:tcW w:w="241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hint="default" w:ascii="宋体" w:hAnsi="宋体" w:eastAsia="宋体" w:cs="宋体"/>
                <w:color w:val="auto"/>
                <w:kern w:val="0"/>
                <w:sz w:val="24"/>
                <w:szCs w:val="24"/>
                <w:lang w:val="en-US" w:eastAsia="zh-CN" w:bidi="ar-SA"/>
              </w:rPr>
            </w:pPr>
            <w:r>
              <w:rPr>
                <w:rFonts w:hint="eastAsia" w:ascii="宋体" w:hAnsi="宋体" w:cs="宋体"/>
                <w:color w:val="auto"/>
                <w:kern w:val="0"/>
                <w:sz w:val="24"/>
                <w:szCs w:val="24"/>
                <w:lang w:val="en-US" w:eastAsia="zh-CN"/>
              </w:rPr>
              <w:t>197</w:t>
            </w:r>
          </w:p>
        </w:tc>
        <w:tc>
          <w:tcPr>
            <w:tcW w:w="3402"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hint="default" w:ascii="宋体" w:hAnsi="宋体" w:eastAsia="宋体" w:cs="宋体"/>
                <w:color w:val="auto"/>
                <w:kern w:val="0"/>
                <w:sz w:val="24"/>
                <w:szCs w:val="24"/>
                <w:lang w:val="en-US" w:eastAsia="zh-CN" w:bidi="ar-SA"/>
              </w:rPr>
            </w:pPr>
            <w:r>
              <w:rPr>
                <w:rFonts w:hint="eastAsia" w:ascii="宋体" w:hAnsi="宋体" w:cs="宋体"/>
                <w:color w:val="auto"/>
                <w:kern w:val="0"/>
                <w:sz w:val="24"/>
                <w:szCs w:val="24"/>
                <w:lang w:val="en-US" w:eastAsia="zh-CN"/>
              </w:rPr>
              <w:t>5.58%</w:t>
            </w:r>
          </w:p>
        </w:tc>
      </w:tr>
      <w:tr>
        <w:tblPrEx>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lang w:val="en-US" w:eastAsia="zh-CN"/>
              </w:rPr>
              <w:t>2020年</w:t>
            </w:r>
          </w:p>
        </w:tc>
        <w:tc>
          <w:tcPr>
            <w:tcW w:w="2479"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hint="default" w:ascii="宋体" w:hAnsi="宋体" w:eastAsia="宋体" w:cs="宋体"/>
                <w:color w:val="auto"/>
                <w:kern w:val="0"/>
                <w:sz w:val="24"/>
                <w:szCs w:val="24"/>
                <w:lang w:val="en-US" w:eastAsia="zh-CN"/>
              </w:rPr>
            </w:pPr>
            <w:r>
              <w:rPr>
                <w:rFonts w:hint="eastAsia" w:ascii="宋体" w:hAnsi="宋体" w:cs="宋体"/>
                <w:color w:val="auto"/>
                <w:kern w:val="0"/>
                <w:sz w:val="24"/>
                <w:szCs w:val="24"/>
                <w:lang w:val="en-US" w:eastAsia="zh-CN"/>
              </w:rPr>
              <w:t>11</w:t>
            </w:r>
          </w:p>
        </w:tc>
        <w:tc>
          <w:tcPr>
            <w:tcW w:w="241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hint="default" w:ascii="宋体" w:hAnsi="宋体" w:eastAsia="宋体" w:cs="宋体"/>
                <w:color w:val="auto"/>
                <w:kern w:val="0"/>
                <w:sz w:val="24"/>
                <w:szCs w:val="24"/>
                <w:lang w:val="en-US" w:eastAsia="zh-CN"/>
              </w:rPr>
            </w:pPr>
            <w:r>
              <w:rPr>
                <w:rFonts w:hint="eastAsia" w:ascii="宋体" w:hAnsi="宋体" w:cs="宋体"/>
                <w:color w:val="auto"/>
                <w:kern w:val="0"/>
                <w:sz w:val="24"/>
                <w:szCs w:val="24"/>
                <w:lang w:val="en-US" w:eastAsia="zh-CN"/>
              </w:rPr>
              <w:t>197</w:t>
            </w:r>
          </w:p>
        </w:tc>
        <w:tc>
          <w:tcPr>
            <w:tcW w:w="3402"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hint="default" w:ascii="宋体" w:hAnsi="宋体" w:eastAsia="宋体" w:cs="宋体"/>
                <w:color w:val="auto"/>
                <w:kern w:val="0"/>
                <w:sz w:val="24"/>
                <w:szCs w:val="24"/>
                <w:lang w:val="en-US" w:eastAsia="zh-CN"/>
              </w:rPr>
            </w:pPr>
            <w:r>
              <w:rPr>
                <w:rFonts w:hint="eastAsia" w:ascii="宋体" w:hAnsi="宋体" w:cs="宋体"/>
                <w:color w:val="auto"/>
                <w:kern w:val="0"/>
                <w:sz w:val="24"/>
                <w:szCs w:val="24"/>
                <w:lang w:val="en-US" w:eastAsia="zh-CN"/>
              </w:rPr>
              <w:t>5.58%</w:t>
            </w:r>
          </w:p>
        </w:tc>
      </w:tr>
      <w:tr>
        <w:tblPrEx>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ascii="宋体" w:hAnsi="宋体" w:cs="宋体"/>
                <w:color w:val="auto"/>
                <w:kern w:val="0"/>
                <w:sz w:val="24"/>
                <w:szCs w:val="24"/>
              </w:rPr>
            </w:pPr>
            <w:r>
              <w:rPr>
                <w:rFonts w:hint="eastAsia" w:ascii="宋体" w:hAnsi="宋体" w:cs="宋体"/>
                <w:color w:val="auto"/>
                <w:kern w:val="0"/>
                <w:sz w:val="24"/>
                <w:szCs w:val="24"/>
              </w:rPr>
              <w:t>　</w:t>
            </w:r>
          </w:p>
        </w:tc>
        <w:tc>
          <w:tcPr>
            <w:tcW w:w="2479"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ascii="宋体" w:hAnsi="宋体" w:cs="宋体"/>
                <w:color w:val="auto"/>
                <w:kern w:val="0"/>
                <w:sz w:val="24"/>
                <w:szCs w:val="24"/>
              </w:rPr>
            </w:pPr>
            <w:r>
              <w:rPr>
                <w:rFonts w:hint="eastAsia" w:ascii="宋体" w:hAnsi="宋体" w:cs="宋体"/>
                <w:color w:val="auto"/>
                <w:kern w:val="0"/>
                <w:sz w:val="24"/>
                <w:szCs w:val="24"/>
              </w:rPr>
              <w:t>专任教师人数</w:t>
            </w:r>
          </w:p>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ascii="宋体" w:hAnsi="宋体" w:cs="宋体"/>
                <w:color w:val="auto"/>
                <w:kern w:val="0"/>
                <w:sz w:val="24"/>
                <w:szCs w:val="24"/>
              </w:rPr>
            </w:pPr>
            <w:r>
              <w:rPr>
                <w:rFonts w:hint="eastAsia" w:ascii="宋体" w:hAnsi="宋体" w:cs="宋体"/>
                <w:color w:val="auto"/>
                <w:kern w:val="0"/>
                <w:sz w:val="24"/>
                <w:szCs w:val="24"/>
              </w:rPr>
              <w:t>（高级职称）</w:t>
            </w:r>
          </w:p>
        </w:tc>
        <w:tc>
          <w:tcPr>
            <w:tcW w:w="241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ascii="宋体" w:hAnsi="宋体" w:cs="宋体"/>
                <w:color w:val="auto"/>
                <w:kern w:val="0"/>
                <w:sz w:val="24"/>
                <w:szCs w:val="24"/>
              </w:rPr>
            </w:pPr>
            <w:r>
              <w:rPr>
                <w:rFonts w:hint="eastAsia" w:ascii="宋体" w:hAnsi="宋体" w:cs="宋体"/>
                <w:color w:val="auto"/>
                <w:kern w:val="0"/>
                <w:sz w:val="24"/>
                <w:szCs w:val="24"/>
              </w:rPr>
              <w:t>专任教师人数</w:t>
            </w:r>
          </w:p>
        </w:tc>
        <w:tc>
          <w:tcPr>
            <w:tcW w:w="3402"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ascii="宋体" w:hAnsi="宋体" w:cs="宋体"/>
                <w:color w:val="auto"/>
                <w:kern w:val="0"/>
                <w:sz w:val="24"/>
                <w:szCs w:val="24"/>
              </w:rPr>
            </w:pPr>
            <w:r>
              <w:rPr>
                <w:rFonts w:hint="eastAsia" w:ascii="宋体" w:hAnsi="宋体" w:cs="宋体"/>
                <w:color w:val="auto"/>
                <w:kern w:val="0"/>
                <w:sz w:val="24"/>
                <w:szCs w:val="24"/>
              </w:rPr>
              <w:t>专任教师高级职称教师比例</w:t>
            </w:r>
          </w:p>
        </w:tc>
      </w:tr>
      <w:tr>
        <w:tblPrEx>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ascii="宋体" w:hAnsi="宋体" w:cs="宋体"/>
                <w:color w:val="auto"/>
                <w:kern w:val="0"/>
                <w:sz w:val="24"/>
                <w:szCs w:val="24"/>
              </w:rPr>
            </w:pPr>
            <w:r>
              <w:rPr>
                <w:rFonts w:hint="eastAsia" w:ascii="宋体" w:hAnsi="宋体" w:cs="宋体"/>
                <w:color w:val="auto"/>
                <w:kern w:val="0"/>
                <w:sz w:val="24"/>
                <w:szCs w:val="24"/>
              </w:rPr>
              <w:t>201</w:t>
            </w:r>
            <w:r>
              <w:rPr>
                <w:rFonts w:hint="eastAsia" w:ascii="宋体" w:hAnsi="宋体" w:cs="宋体"/>
                <w:color w:val="auto"/>
                <w:kern w:val="0"/>
                <w:sz w:val="24"/>
                <w:szCs w:val="24"/>
                <w:lang w:val="en-US" w:eastAsia="zh-CN"/>
              </w:rPr>
              <w:t>9</w:t>
            </w:r>
            <w:r>
              <w:rPr>
                <w:rFonts w:hint="eastAsia" w:ascii="宋体" w:hAnsi="宋体" w:cs="宋体"/>
                <w:color w:val="auto"/>
                <w:kern w:val="0"/>
                <w:sz w:val="24"/>
                <w:szCs w:val="24"/>
              </w:rPr>
              <w:t>年</w:t>
            </w:r>
          </w:p>
        </w:tc>
        <w:tc>
          <w:tcPr>
            <w:tcW w:w="2479"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hint="default" w:ascii="宋体" w:hAnsi="宋体" w:eastAsia="宋体" w:cs="宋体"/>
                <w:color w:val="auto"/>
                <w:kern w:val="0"/>
                <w:sz w:val="24"/>
                <w:szCs w:val="24"/>
                <w:lang w:val="en-US" w:eastAsia="zh-CN" w:bidi="ar-SA"/>
              </w:rPr>
            </w:pPr>
            <w:r>
              <w:rPr>
                <w:rFonts w:hint="eastAsia" w:ascii="宋体" w:hAnsi="宋体" w:cs="宋体"/>
                <w:color w:val="auto"/>
                <w:kern w:val="0"/>
                <w:sz w:val="24"/>
                <w:szCs w:val="24"/>
                <w:lang w:val="en-US" w:eastAsia="zh-CN"/>
              </w:rPr>
              <w:t>34</w:t>
            </w:r>
          </w:p>
        </w:tc>
        <w:tc>
          <w:tcPr>
            <w:tcW w:w="241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hint="default" w:ascii="宋体" w:hAnsi="宋体" w:eastAsia="宋体" w:cs="宋体"/>
                <w:color w:val="auto"/>
                <w:kern w:val="0"/>
                <w:sz w:val="24"/>
                <w:szCs w:val="24"/>
                <w:lang w:val="en-US" w:eastAsia="zh-CN" w:bidi="ar-SA"/>
              </w:rPr>
            </w:pPr>
            <w:r>
              <w:rPr>
                <w:rFonts w:hint="eastAsia" w:ascii="宋体" w:hAnsi="宋体" w:cs="宋体"/>
                <w:color w:val="auto"/>
                <w:kern w:val="0"/>
                <w:sz w:val="24"/>
                <w:szCs w:val="24"/>
                <w:lang w:val="en-US" w:eastAsia="zh-CN"/>
              </w:rPr>
              <w:t>197</w:t>
            </w:r>
          </w:p>
        </w:tc>
        <w:tc>
          <w:tcPr>
            <w:tcW w:w="3402"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hint="default" w:ascii="宋体" w:hAnsi="宋体" w:eastAsia="宋体" w:cs="宋体"/>
                <w:color w:val="auto"/>
                <w:kern w:val="0"/>
                <w:sz w:val="24"/>
                <w:szCs w:val="24"/>
                <w:lang w:val="en-US" w:eastAsia="zh-CN" w:bidi="ar-SA"/>
              </w:rPr>
            </w:pPr>
            <w:r>
              <w:rPr>
                <w:rFonts w:hint="eastAsia" w:ascii="宋体" w:hAnsi="宋体" w:cs="宋体"/>
                <w:color w:val="auto"/>
                <w:kern w:val="0"/>
                <w:sz w:val="24"/>
                <w:szCs w:val="24"/>
                <w:lang w:val="en-US" w:eastAsia="zh-CN"/>
              </w:rPr>
              <w:t>17.26%</w:t>
            </w:r>
          </w:p>
        </w:tc>
      </w:tr>
      <w:tr>
        <w:trPr>
          <w:trHeight w:val="270" w:hRule="atLeast"/>
        </w:trPr>
        <w:tc>
          <w:tcPr>
            <w:tcW w:w="108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lang w:val="en-US" w:eastAsia="zh-CN"/>
              </w:rPr>
              <w:t>2020年</w:t>
            </w:r>
          </w:p>
        </w:tc>
        <w:tc>
          <w:tcPr>
            <w:tcW w:w="2479"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hint="default" w:ascii="宋体" w:hAnsi="宋体" w:eastAsia="宋体" w:cs="宋体"/>
                <w:color w:val="auto"/>
                <w:kern w:val="0"/>
                <w:sz w:val="24"/>
                <w:szCs w:val="24"/>
                <w:lang w:val="en-US" w:eastAsia="zh-CN"/>
              </w:rPr>
            </w:pPr>
            <w:r>
              <w:rPr>
                <w:rFonts w:hint="eastAsia" w:ascii="宋体" w:hAnsi="宋体" w:cs="宋体"/>
                <w:color w:val="auto"/>
                <w:kern w:val="0"/>
                <w:sz w:val="24"/>
                <w:szCs w:val="24"/>
                <w:lang w:val="en-US" w:eastAsia="zh-CN"/>
              </w:rPr>
              <w:t>38</w:t>
            </w:r>
          </w:p>
        </w:tc>
        <w:tc>
          <w:tcPr>
            <w:tcW w:w="241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hint="default" w:ascii="宋体" w:hAnsi="宋体" w:eastAsia="宋体" w:cs="宋体"/>
                <w:color w:val="auto"/>
                <w:kern w:val="0"/>
                <w:sz w:val="24"/>
                <w:szCs w:val="24"/>
                <w:lang w:val="en-US" w:eastAsia="zh-CN"/>
              </w:rPr>
            </w:pPr>
            <w:r>
              <w:rPr>
                <w:rFonts w:hint="eastAsia" w:ascii="宋体" w:hAnsi="宋体" w:cs="宋体"/>
                <w:color w:val="auto"/>
                <w:kern w:val="0"/>
                <w:sz w:val="24"/>
                <w:szCs w:val="24"/>
                <w:lang w:val="en-US" w:eastAsia="zh-CN"/>
              </w:rPr>
              <w:t>197</w:t>
            </w:r>
          </w:p>
        </w:tc>
        <w:tc>
          <w:tcPr>
            <w:tcW w:w="3402"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outlineLvl w:val="9"/>
              <w:rPr>
                <w:rFonts w:hint="default" w:ascii="宋体" w:hAnsi="宋体" w:eastAsia="宋体" w:cs="宋体"/>
                <w:color w:val="auto"/>
                <w:kern w:val="0"/>
                <w:sz w:val="24"/>
                <w:szCs w:val="24"/>
                <w:lang w:val="en-US" w:eastAsia="zh-CN"/>
              </w:rPr>
            </w:pPr>
            <w:r>
              <w:rPr>
                <w:rFonts w:hint="eastAsia" w:ascii="宋体" w:hAnsi="宋体" w:cs="宋体"/>
                <w:color w:val="auto"/>
                <w:kern w:val="0"/>
                <w:sz w:val="24"/>
                <w:szCs w:val="24"/>
                <w:lang w:val="en-US" w:eastAsia="zh-CN"/>
              </w:rPr>
              <w:t>19.28%</w:t>
            </w:r>
          </w:p>
        </w:tc>
      </w:tr>
    </w:tbl>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textAlignment w:val="auto"/>
        <w:outlineLvl w:val="9"/>
        <w:rPr>
          <w:rFonts w:hint="eastAsia"/>
          <w:b/>
          <w:bCs/>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textAlignment w:val="auto"/>
        <w:outlineLvl w:val="9"/>
        <w:rPr>
          <w:rFonts w:hint="eastAsia"/>
          <w:b/>
          <w:bCs/>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textAlignment w:val="auto"/>
        <w:outlineLvl w:val="9"/>
        <w:rPr>
          <w:rFonts w:hint="eastAsia"/>
          <w:b/>
          <w:bCs/>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textAlignment w:val="auto"/>
        <w:outlineLvl w:val="9"/>
        <w:rPr>
          <w:rFonts w:hint="eastAsia"/>
          <w:b/>
          <w:bCs/>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textAlignment w:val="auto"/>
        <w:outlineLvl w:val="9"/>
        <w:rPr>
          <w:rFonts w:hint="eastAsia"/>
          <w:b/>
          <w:bCs/>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textAlignment w:val="auto"/>
        <w:outlineLvl w:val="1"/>
        <w:rPr>
          <w:rFonts w:hint="eastAsia"/>
          <w:b/>
          <w:bCs/>
          <w:sz w:val="28"/>
          <w:szCs w:val="28"/>
          <w:lang w:val="en-US" w:eastAsia="zh-CN"/>
        </w:rPr>
      </w:pPr>
      <w:bookmarkStart w:id="4" w:name="_Toc32565"/>
      <w:r>
        <w:rPr>
          <w:rFonts w:hint="eastAsia"/>
          <w:b/>
          <w:bCs/>
          <w:sz w:val="28"/>
          <w:szCs w:val="28"/>
          <w:lang w:val="en-US" w:eastAsia="zh-CN"/>
        </w:rPr>
        <w:t>4、设施设备</w:t>
      </w:r>
      <w:bookmarkEnd w:id="4"/>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right="0" w:rightChars="0" w:firstLine="480" w:firstLineChars="200"/>
        <w:textAlignment w:val="auto"/>
        <w:outlineLvl w:val="9"/>
        <w:rPr>
          <w:rFonts w:hint="eastAsia"/>
          <w:sz w:val="24"/>
          <w:szCs w:val="24"/>
          <w:lang w:val="en-US" w:eastAsia="zh-CN"/>
        </w:rPr>
      </w:pPr>
      <w:r>
        <w:rPr>
          <w:rFonts w:hint="eastAsia"/>
          <w:sz w:val="24"/>
          <w:szCs w:val="24"/>
          <w:lang w:val="en-US" w:eastAsia="zh-CN"/>
        </w:rPr>
        <w:t>学校实训设备较完整，性能优良，能满足学校实训教学的需要，共计实验实训设备总价值为3688.599万元，生均达到10158元。学校共有计算机1445台，教学使用配备率达2.5人/台。生均实训实习工位数：3680位，每人1个工位。学校建有纸质图书馆、阅览室和多媒体电子图书馆，辅助教育教学，拓展学生知识面和提升学生兴趣。图书馆建筑面积4490平方米，总投资718.4万元。教师资料室1间，面积122平方米，阅览座位65位；学生阅览室4间，面积430平方米，阅览座位400余位；电子阅览室1个面积122平方米，阅览座位57个；多媒体视听室1间面积122平方米，视听座位60位。现有纸质图书158776册，电子图书20000册，共计178776册，生均49册，有各类报刊杂志225种，其他电子参考书和期刊教学资料达310余种。图书数量每年都有所递增，图书馆有专职管理员2人及学生图书管理员78位，各种图书杂志期刊教学资料借阅率高达37.4%，学生人均借书19本。学校图书馆有一整套借阅管理制度，如学生阅览室管理制度，电子阅览室管理制度，教师资料室管理制度，多媒体视听室管理制度等。</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firstLine="480" w:firstLineChars="200"/>
        <w:textAlignment w:val="auto"/>
        <w:outlineLvl w:val="9"/>
        <w:rPr>
          <w:rFonts w:hint="eastAsia"/>
          <w:sz w:val="24"/>
          <w:szCs w:val="24"/>
          <w:lang w:val="en-US" w:eastAsia="zh-CN"/>
        </w:rPr>
      </w:pPr>
      <w:r>
        <w:rPr>
          <w:rFonts w:hint="eastAsia"/>
          <w:sz w:val="24"/>
          <w:szCs w:val="24"/>
          <w:lang w:val="en-US" w:eastAsia="zh-CN"/>
        </w:rPr>
        <w:t>及与上一年度相比，本年度设施设备增加705万；临时采购172批次，金额33.69万。</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firstLine="480" w:firstLineChars="0"/>
        <w:textAlignment w:val="auto"/>
        <w:outlineLvl w:val="9"/>
        <w:rPr>
          <w:rFonts w:hint="eastAsia"/>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firstLine="480" w:firstLineChars="0"/>
        <w:textAlignment w:val="auto"/>
        <w:outlineLvl w:val="9"/>
        <w:rPr>
          <w:rFonts w:hint="eastAsia"/>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firstLine="480" w:firstLineChars="0"/>
        <w:textAlignment w:val="auto"/>
        <w:outlineLvl w:val="9"/>
        <w:rPr>
          <w:rFonts w:hint="eastAsia"/>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firstLine="480" w:firstLineChars="0"/>
        <w:textAlignment w:val="auto"/>
        <w:outlineLvl w:val="9"/>
        <w:rPr>
          <w:rFonts w:hint="eastAsia"/>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right="0" w:rightChars="0"/>
        <w:textAlignment w:val="auto"/>
        <w:outlineLvl w:val="9"/>
        <w:rPr>
          <w:rFonts w:hint="eastAsia"/>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right="0" w:rightChars="0"/>
        <w:textAlignment w:val="auto"/>
        <w:outlineLvl w:val="9"/>
        <w:rPr>
          <w:rFonts w:hint="eastAsia"/>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right="0" w:rightChars="0"/>
        <w:textAlignment w:val="auto"/>
        <w:outlineLvl w:val="9"/>
        <w:rPr>
          <w:rFonts w:hint="eastAsia"/>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right="0" w:rightChars="0"/>
        <w:textAlignment w:val="auto"/>
        <w:outlineLvl w:val="9"/>
        <w:rPr>
          <w:rFonts w:hint="eastAsia"/>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right="0" w:rightChars="0"/>
        <w:textAlignment w:val="auto"/>
        <w:outlineLvl w:val="9"/>
        <w:rPr>
          <w:rFonts w:hint="eastAsia"/>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right="0" w:rightChars="0"/>
        <w:textAlignment w:val="auto"/>
        <w:outlineLvl w:val="9"/>
        <w:rPr>
          <w:rFonts w:hint="eastAsia"/>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right="0" w:rightChars="0"/>
        <w:textAlignment w:val="auto"/>
        <w:outlineLvl w:val="9"/>
        <w:rPr>
          <w:rFonts w:hint="eastAsia"/>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right="0" w:rightChars="0"/>
        <w:textAlignment w:val="auto"/>
        <w:outlineLvl w:val="9"/>
        <w:rPr>
          <w:rFonts w:hint="eastAsia"/>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right="0" w:rightChars="0"/>
        <w:textAlignment w:val="auto"/>
        <w:outlineLvl w:val="9"/>
        <w:rPr>
          <w:rFonts w:hint="eastAsia"/>
          <w:sz w:val="24"/>
          <w:szCs w:val="24"/>
          <w:lang w:val="en-US" w:eastAsia="zh-CN"/>
        </w:rPr>
      </w:pPr>
    </w:p>
    <w:p>
      <w:pPr>
        <w:keepNext w:val="0"/>
        <w:keepLines w:val="0"/>
        <w:pageBreakBefore w:val="0"/>
        <w:numPr>
          <w:ilvl w:val="0"/>
          <w:numId w:val="2"/>
        </w:numPr>
        <w:kinsoku/>
        <w:wordWrap/>
        <w:overflowPunct/>
        <w:topLinePunct w:val="0"/>
        <w:autoSpaceDE/>
        <w:autoSpaceDN/>
        <w:bidi w:val="0"/>
        <w:adjustRightInd/>
        <w:spacing w:beforeAutospacing="0" w:afterAutospacing="0" w:line="360" w:lineRule="auto"/>
        <w:ind w:left="0" w:leftChars="0" w:right="0" w:rightChars="0" w:firstLine="0" w:firstLineChars="0"/>
        <w:textAlignment w:val="auto"/>
        <w:outlineLvl w:val="0"/>
        <w:rPr>
          <w:rFonts w:hint="eastAsia"/>
          <w:b/>
          <w:bCs/>
          <w:sz w:val="32"/>
          <w:szCs w:val="32"/>
          <w:lang w:val="en-US" w:eastAsia="zh-CN"/>
        </w:rPr>
      </w:pPr>
      <w:bookmarkStart w:id="5" w:name="_Toc23824"/>
      <w:r>
        <w:rPr>
          <w:rFonts w:hint="eastAsia"/>
          <w:b/>
          <w:bCs/>
          <w:sz w:val="32"/>
          <w:szCs w:val="32"/>
          <w:lang w:val="en-US" w:eastAsia="zh-CN"/>
        </w:rPr>
        <w:t>学生发展</w:t>
      </w:r>
      <w:bookmarkEnd w:id="5"/>
    </w:p>
    <w:p>
      <w:pPr>
        <w:keepNext w:val="0"/>
        <w:keepLines w:val="0"/>
        <w:pageBreakBefore w:val="0"/>
        <w:numPr>
          <w:ilvl w:val="0"/>
          <w:numId w:val="3"/>
        </w:numPr>
        <w:kinsoku/>
        <w:wordWrap/>
        <w:overflowPunct/>
        <w:topLinePunct w:val="0"/>
        <w:autoSpaceDE/>
        <w:autoSpaceDN/>
        <w:bidi w:val="0"/>
        <w:adjustRightInd/>
        <w:spacing w:beforeAutospacing="0" w:afterAutospacing="0" w:line="360" w:lineRule="auto"/>
        <w:ind w:left="0" w:leftChars="0" w:right="0" w:rightChars="0" w:firstLine="0" w:firstLineChars="0"/>
        <w:textAlignment w:val="auto"/>
        <w:outlineLvl w:val="1"/>
        <w:rPr>
          <w:rFonts w:hint="eastAsia"/>
          <w:b/>
          <w:bCs/>
          <w:color w:val="auto"/>
          <w:sz w:val="28"/>
          <w:szCs w:val="28"/>
          <w:lang w:val="en-US" w:eastAsia="zh-CN"/>
        </w:rPr>
      </w:pPr>
      <w:bookmarkStart w:id="6" w:name="_Toc23543"/>
      <w:r>
        <w:rPr>
          <w:rFonts w:hint="eastAsia"/>
          <w:b/>
          <w:bCs/>
          <w:color w:val="auto"/>
          <w:sz w:val="28"/>
          <w:szCs w:val="28"/>
          <w:lang w:val="en-US" w:eastAsia="zh-CN"/>
        </w:rPr>
        <w:t>学生素质</w:t>
      </w:r>
      <w:bookmarkEnd w:id="6"/>
    </w:p>
    <w:tbl>
      <w:tblPr>
        <w:tblStyle w:val="11"/>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04"/>
        <w:gridCol w:w="1704"/>
        <w:gridCol w:w="1945"/>
        <w:gridCol w:w="11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04" w:type="dxa"/>
            <w:noWrap w:val="0"/>
            <w:vAlign w:val="center"/>
          </w:tcPr>
          <w:p>
            <w:pPr>
              <w:keepNext w:val="0"/>
              <w:keepLines w:val="0"/>
              <w:pageBreakBefore w:val="0"/>
              <w:widowControl/>
              <w:kinsoku/>
              <w:wordWrap/>
              <w:overflowPunct/>
              <w:topLinePunct w:val="0"/>
              <w:autoSpaceDE/>
              <w:autoSpaceDN/>
              <w:bidi w:val="0"/>
              <w:adjustRightInd/>
              <w:snapToGrid w:val="0"/>
              <w:spacing w:beforeAutospacing="0" w:afterAutospacing="0" w:line="360" w:lineRule="auto"/>
              <w:ind w:left="0" w:leftChars="0" w:right="0" w:rightChars="0" w:firstLine="0" w:firstLineChars="0"/>
              <w:jc w:val="center"/>
              <w:textAlignment w:val="auto"/>
              <w:outlineLvl w:val="9"/>
              <w:rPr>
                <w:rFonts w:ascii="宋体" w:hAnsi="宋体"/>
                <w:color w:val="auto"/>
                <w:sz w:val="24"/>
                <w:szCs w:val="24"/>
              </w:rPr>
            </w:pPr>
            <w:r>
              <w:rPr>
                <w:rFonts w:hint="eastAsia" w:ascii="宋体" w:hAnsi="宋体"/>
                <w:color w:val="auto"/>
                <w:sz w:val="24"/>
                <w:szCs w:val="24"/>
              </w:rPr>
              <w:t>思想政治状况</w:t>
            </w:r>
          </w:p>
        </w:tc>
        <w:tc>
          <w:tcPr>
            <w:tcW w:w="1704" w:type="dxa"/>
            <w:noWrap w:val="0"/>
            <w:vAlign w:val="center"/>
          </w:tcPr>
          <w:p>
            <w:pPr>
              <w:keepNext w:val="0"/>
              <w:keepLines w:val="0"/>
              <w:pageBreakBefore w:val="0"/>
              <w:widowControl/>
              <w:kinsoku/>
              <w:wordWrap/>
              <w:overflowPunct/>
              <w:topLinePunct w:val="0"/>
              <w:autoSpaceDE/>
              <w:autoSpaceDN/>
              <w:bidi w:val="0"/>
              <w:adjustRightInd/>
              <w:snapToGrid w:val="0"/>
              <w:spacing w:beforeAutospacing="0" w:afterAutospacing="0" w:line="360" w:lineRule="auto"/>
              <w:ind w:left="0" w:leftChars="0" w:right="0" w:rightChars="0" w:firstLine="0" w:firstLineChars="0"/>
              <w:jc w:val="center"/>
              <w:textAlignment w:val="auto"/>
              <w:outlineLvl w:val="9"/>
              <w:rPr>
                <w:rFonts w:ascii="宋体" w:hAnsi="宋体"/>
                <w:color w:val="auto"/>
                <w:sz w:val="24"/>
                <w:szCs w:val="24"/>
              </w:rPr>
            </w:pPr>
            <w:r>
              <w:rPr>
                <w:rFonts w:hint="eastAsia" w:ascii="宋体" w:hAnsi="宋体"/>
                <w:color w:val="auto"/>
                <w:sz w:val="24"/>
                <w:szCs w:val="24"/>
              </w:rPr>
              <w:t>文化课合格率</w:t>
            </w:r>
          </w:p>
        </w:tc>
        <w:tc>
          <w:tcPr>
            <w:tcW w:w="1945" w:type="dxa"/>
            <w:noWrap w:val="0"/>
            <w:vAlign w:val="center"/>
          </w:tcPr>
          <w:p>
            <w:pPr>
              <w:keepNext w:val="0"/>
              <w:keepLines w:val="0"/>
              <w:pageBreakBefore w:val="0"/>
              <w:widowControl/>
              <w:kinsoku/>
              <w:wordWrap/>
              <w:overflowPunct/>
              <w:topLinePunct w:val="0"/>
              <w:autoSpaceDE/>
              <w:autoSpaceDN/>
              <w:bidi w:val="0"/>
              <w:adjustRightInd/>
              <w:snapToGrid w:val="0"/>
              <w:spacing w:beforeAutospacing="0" w:afterAutospacing="0" w:line="360" w:lineRule="auto"/>
              <w:ind w:left="0" w:leftChars="0" w:right="0" w:rightChars="0" w:firstLine="0" w:firstLineChars="0"/>
              <w:jc w:val="center"/>
              <w:textAlignment w:val="auto"/>
              <w:outlineLvl w:val="9"/>
              <w:rPr>
                <w:rFonts w:ascii="宋体" w:hAnsi="宋体"/>
                <w:color w:val="auto"/>
                <w:sz w:val="24"/>
                <w:szCs w:val="24"/>
              </w:rPr>
            </w:pPr>
            <w:r>
              <w:rPr>
                <w:rFonts w:hint="eastAsia" w:ascii="宋体" w:hAnsi="宋体"/>
                <w:color w:val="auto"/>
                <w:sz w:val="24"/>
                <w:szCs w:val="24"/>
              </w:rPr>
              <w:t>专业技能合格率</w:t>
            </w:r>
          </w:p>
        </w:tc>
        <w:tc>
          <w:tcPr>
            <w:tcW w:w="1184" w:type="dxa"/>
            <w:noWrap w:val="0"/>
            <w:vAlign w:val="center"/>
          </w:tcPr>
          <w:p>
            <w:pPr>
              <w:keepNext w:val="0"/>
              <w:keepLines w:val="0"/>
              <w:pageBreakBefore w:val="0"/>
              <w:widowControl/>
              <w:kinsoku/>
              <w:wordWrap/>
              <w:overflowPunct/>
              <w:topLinePunct w:val="0"/>
              <w:autoSpaceDE/>
              <w:autoSpaceDN/>
              <w:bidi w:val="0"/>
              <w:adjustRightInd/>
              <w:snapToGrid w:val="0"/>
              <w:spacing w:beforeAutospacing="0" w:afterAutospacing="0" w:line="360" w:lineRule="auto"/>
              <w:ind w:left="0" w:leftChars="0" w:right="0" w:rightChars="0" w:firstLine="0" w:firstLineChars="0"/>
              <w:jc w:val="center"/>
              <w:textAlignment w:val="auto"/>
              <w:outlineLvl w:val="9"/>
              <w:rPr>
                <w:rFonts w:ascii="宋体" w:hAnsi="宋体"/>
                <w:color w:val="auto"/>
                <w:sz w:val="24"/>
                <w:szCs w:val="24"/>
              </w:rPr>
            </w:pPr>
            <w:r>
              <w:rPr>
                <w:rFonts w:hint="eastAsia" w:ascii="宋体" w:hAnsi="宋体"/>
                <w:color w:val="auto"/>
                <w:sz w:val="24"/>
                <w:szCs w:val="24"/>
              </w:rPr>
              <w:t>毕业率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04" w:type="dxa"/>
            <w:noWrap w:val="0"/>
            <w:vAlign w:val="center"/>
          </w:tcPr>
          <w:p>
            <w:pPr>
              <w:keepNext w:val="0"/>
              <w:keepLines w:val="0"/>
              <w:pageBreakBefore w:val="0"/>
              <w:widowControl/>
              <w:kinsoku/>
              <w:wordWrap/>
              <w:overflowPunct/>
              <w:topLinePunct w:val="0"/>
              <w:autoSpaceDE/>
              <w:autoSpaceDN/>
              <w:bidi w:val="0"/>
              <w:adjustRightInd/>
              <w:snapToGrid w:val="0"/>
              <w:spacing w:beforeAutospacing="0" w:afterAutospacing="0" w:line="360" w:lineRule="auto"/>
              <w:ind w:left="0" w:leftChars="0" w:right="0" w:rightChars="0" w:firstLine="0" w:firstLineChars="0"/>
              <w:jc w:val="center"/>
              <w:textAlignment w:val="auto"/>
              <w:outlineLvl w:val="9"/>
              <w:rPr>
                <w:rFonts w:ascii="宋体" w:hAnsi="宋体"/>
                <w:color w:val="auto"/>
                <w:sz w:val="24"/>
                <w:szCs w:val="24"/>
              </w:rPr>
            </w:pPr>
            <w:r>
              <w:rPr>
                <w:rFonts w:hint="eastAsia" w:ascii="宋体" w:hAnsi="宋体"/>
                <w:color w:val="auto"/>
                <w:sz w:val="24"/>
                <w:szCs w:val="24"/>
              </w:rPr>
              <w:t>好</w:t>
            </w:r>
          </w:p>
        </w:tc>
        <w:tc>
          <w:tcPr>
            <w:tcW w:w="1704" w:type="dxa"/>
            <w:noWrap w:val="0"/>
            <w:vAlign w:val="center"/>
          </w:tcPr>
          <w:p>
            <w:pPr>
              <w:keepNext w:val="0"/>
              <w:keepLines w:val="0"/>
              <w:pageBreakBefore w:val="0"/>
              <w:widowControl/>
              <w:kinsoku/>
              <w:wordWrap/>
              <w:overflowPunct/>
              <w:topLinePunct w:val="0"/>
              <w:autoSpaceDE/>
              <w:autoSpaceDN/>
              <w:bidi w:val="0"/>
              <w:adjustRightInd/>
              <w:snapToGrid w:val="0"/>
              <w:spacing w:beforeAutospacing="0" w:afterAutospacing="0" w:line="360" w:lineRule="auto"/>
              <w:ind w:left="0" w:leftChars="0" w:right="0" w:rightChars="0" w:firstLine="0" w:firstLineChars="0"/>
              <w:jc w:val="center"/>
              <w:textAlignment w:val="auto"/>
              <w:outlineLvl w:val="9"/>
              <w:rPr>
                <w:rFonts w:ascii="宋体" w:hAnsi="宋体"/>
                <w:color w:val="auto"/>
                <w:sz w:val="24"/>
                <w:szCs w:val="24"/>
              </w:rPr>
            </w:pPr>
            <w:r>
              <w:rPr>
                <w:rFonts w:hint="eastAsia" w:ascii="宋体" w:hAnsi="宋体"/>
                <w:color w:val="auto"/>
                <w:sz w:val="24"/>
                <w:szCs w:val="24"/>
              </w:rPr>
              <w:t>100%（注：参考人数比，包括补及学生）</w:t>
            </w:r>
          </w:p>
        </w:tc>
        <w:tc>
          <w:tcPr>
            <w:tcW w:w="1945" w:type="dxa"/>
            <w:noWrap w:val="0"/>
            <w:vAlign w:val="center"/>
          </w:tcPr>
          <w:p>
            <w:pPr>
              <w:keepNext w:val="0"/>
              <w:keepLines w:val="0"/>
              <w:pageBreakBefore w:val="0"/>
              <w:widowControl/>
              <w:kinsoku/>
              <w:wordWrap/>
              <w:overflowPunct/>
              <w:topLinePunct w:val="0"/>
              <w:autoSpaceDE/>
              <w:autoSpaceDN/>
              <w:bidi w:val="0"/>
              <w:adjustRightInd/>
              <w:snapToGrid w:val="0"/>
              <w:spacing w:beforeAutospacing="0" w:afterAutospacing="0" w:line="360" w:lineRule="auto"/>
              <w:ind w:left="0" w:leftChars="0" w:right="0" w:rightChars="0" w:firstLine="0" w:firstLineChars="0"/>
              <w:jc w:val="center"/>
              <w:textAlignment w:val="auto"/>
              <w:outlineLvl w:val="9"/>
              <w:rPr>
                <w:rFonts w:ascii="宋体" w:hAnsi="宋体"/>
                <w:color w:val="auto"/>
                <w:sz w:val="24"/>
                <w:szCs w:val="24"/>
              </w:rPr>
            </w:pPr>
            <w:r>
              <w:rPr>
                <w:rFonts w:hint="eastAsia" w:ascii="宋体" w:hAnsi="宋体"/>
                <w:color w:val="auto"/>
                <w:sz w:val="24"/>
                <w:szCs w:val="24"/>
              </w:rPr>
              <w:t>100%（注：参考人数比，包括补及学生）</w:t>
            </w:r>
          </w:p>
        </w:tc>
        <w:tc>
          <w:tcPr>
            <w:tcW w:w="1184" w:type="dxa"/>
            <w:noWrap w:val="0"/>
            <w:vAlign w:val="center"/>
          </w:tcPr>
          <w:p>
            <w:pPr>
              <w:keepNext w:val="0"/>
              <w:keepLines w:val="0"/>
              <w:pageBreakBefore w:val="0"/>
              <w:widowControl/>
              <w:kinsoku/>
              <w:wordWrap/>
              <w:overflowPunct/>
              <w:topLinePunct w:val="0"/>
              <w:autoSpaceDE/>
              <w:autoSpaceDN/>
              <w:bidi w:val="0"/>
              <w:adjustRightInd/>
              <w:snapToGrid w:val="0"/>
              <w:spacing w:beforeAutospacing="0" w:afterAutospacing="0" w:line="360" w:lineRule="auto"/>
              <w:ind w:left="0" w:leftChars="0" w:right="0" w:rightChars="0" w:firstLine="0" w:firstLineChars="0"/>
              <w:jc w:val="center"/>
              <w:textAlignment w:val="auto"/>
              <w:outlineLvl w:val="9"/>
              <w:rPr>
                <w:rFonts w:ascii="宋体" w:hAnsi="宋体"/>
                <w:color w:val="auto"/>
                <w:sz w:val="24"/>
                <w:szCs w:val="24"/>
              </w:rPr>
            </w:pPr>
            <w:r>
              <w:rPr>
                <w:rFonts w:hint="eastAsia" w:ascii="宋体" w:hAnsi="宋体"/>
                <w:color w:val="auto"/>
                <w:sz w:val="24"/>
                <w:szCs w:val="24"/>
              </w:rPr>
              <w:t>100%</w:t>
            </w:r>
          </w:p>
        </w:tc>
      </w:tr>
    </w:tbl>
    <w:p>
      <w:pPr>
        <w:keepNext w:val="0"/>
        <w:keepLines w:val="0"/>
        <w:pageBreakBefore w:val="0"/>
        <w:widowControl/>
        <w:kinsoku/>
        <w:wordWrap/>
        <w:overflowPunct/>
        <w:topLinePunct w:val="0"/>
        <w:autoSpaceDE/>
        <w:autoSpaceDN/>
        <w:bidi w:val="0"/>
        <w:adjustRightInd/>
        <w:snapToGrid w:val="0"/>
        <w:spacing w:beforeAutospacing="0" w:afterAutospacing="0" w:line="360" w:lineRule="auto"/>
        <w:ind w:left="0" w:leftChars="0" w:right="0" w:rightChars="0" w:firstLine="0" w:firstLineChars="0"/>
        <w:jc w:val="left"/>
        <w:textAlignment w:val="auto"/>
        <w:outlineLvl w:val="9"/>
        <w:rPr>
          <w:rFonts w:hint="eastAsia" w:ascii="宋体" w:hAnsi="宋体"/>
          <w:b/>
          <w:color w:val="auto"/>
          <w:sz w:val="24"/>
          <w:szCs w:val="24"/>
        </w:rPr>
      </w:pPr>
    </w:p>
    <w:p>
      <w:pPr>
        <w:keepNext w:val="0"/>
        <w:keepLines w:val="0"/>
        <w:pageBreakBefore w:val="0"/>
        <w:numPr>
          <w:ilvl w:val="0"/>
          <w:numId w:val="3"/>
        </w:numPr>
        <w:kinsoku/>
        <w:wordWrap/>
        <w:overflowPunct/>
        <w:topLinePunct w:val="0"/>
        <w:autoSpaceDE/>
        <w:autoSpaceDN/>
        <w:bidi w:val="0"/>
        <w:adjustRightInd/>
        <w:spacing w:beforeAutospacing="0" w:afterAutospacing="0" w:line="360" w:lineRule="auto"/>
        <w:ind w:left="0" w:leftChars="0" w:right="0" w:rightChars="0" w:firstLine="0" w:firstLineChars="0"/>
        <w:textAlignment w:val="auto"/>
        <w:outlineLvl w:val="1"/>
        <w:rPr>
          <w:rFonts w:hint="eastAsia"/>
          <w:b/>
          <w:bCs/>
          <w:color w:val="auto"/>
          <w:sz w:val="28"/>
          <w:szCs w:val="28"/>
          <w:lang w:val="en-US" w:eastAsia="zh-CN"/>
        </w:rPr>
      </w:pPr>
      <w:bookmarkStart w:id="7" w:name="_Toc12109"/>
      <w:r>
        <w:rPr>
          <w:rFonts w:hint="eastAsia"/>
          <w:b/>
          <w:bCs/>
          <w:color w:val="auto"/>
          <w:sz w:val="28"/>
          <w:szCs w:val="28"/>
          <w:lang w:val="en-US" w:eastAsia="zh-CN"/>
        </w:rPr>
        <w:t>在校体验</w:t>
      </w:r>
      <w:bookmarkEnd w:id="7"/>
    </w:p>
    <w:tbl>
      <w:tblPr>
        <w:tblStyle w:val="10"/>
        <w:tblpPr w:leftFromText="180" w:rightFromText="180" w:vertAnchor="text" w:horzAnchor="page" w:tblpX="2037" w:tblpY="396"/>
        <w:tblOverlap w:val="never"/>
        <w:tblW w:w="7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1080"/>
        <w:gridCol w:w="1080"/>
        <w:gridCol w:w="1080"/>
        <w:gridCol w:w="1080"/>
        <w:gridCol w:w="1080"/>
        <w:gridCol w:w="1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80" w:type="dxa"/>
            <w:vMerge w:val="restart"/>
            <w:noWrap w:val="0"/>
            <w:vAlign w:val="center"/>
          </w:tcPr>
          <w:p>
            <w:pPr>
              <w:widowControl/>
              <w:spacing w:line="360" w:lineRule="auto"/>
              <w:jc w:val="center"/>
              <w:rPr>
                <w:rFonts w:ascii="宋体" w:hAnsi="宋体" w:eastAsia="宋体" w:cs="宋体"/>
                <w:kern w:val="0"/>
                <w:sz w:val="24"/>
              </w:rPr>
            </w:pPr>
            <w:r>
              <w:rPr>
                <w:rFonts w:hint="eastAsia" w:ascii="宋体" w:hAnsi="宋体" w:eastAsia="宋体" w:cs="宋体"/>
                <w:kern w:val="0"/>
                <w:sz w:val="24"/>
              </w:rPr>
              <w:t>测试</w:t>
            </w:r>
          </w:p>
          <w:p>
            <w:pPr>
              <w:widowControl/>
              <w:spacing w:line="360" w:lineRule="auto"/>
              <w:jc w:val="center"/>
              <w:rPr>
                <w:rFonts w:ascii="宋体" w:hAnsi="宋体" w:eastAsia="宋体" w:cs="宋体"/>
                <w:kern w:val="0"/>
                <w:sz w:val="24"/>
              </w:rPr>
            </w:pPr>
            <w:r>
              <w:rPr>
                <w:rFonts w:hint="eastAsia" w:ascii="宋体" w:hAnsi="宋体" w:eastAsia="宋体" w:cs="宋体"/>
                <w:kern w:val="0"/>
                <w:sz w:val="24"/>
              </w:rPr>
              <w:t>年级</w:t>
            </w:r>
          </w:p>
        </w:tc>
        <w:tc>
          <w:tcPr>
            <w:tcW w:w="6487" w:type="dxa"/>
            <w:gridSpan w:val="6"/>
            <w:noWrap w:val="0"/>
            <w:vAlign w:val="center"/>
          </w:tcPr>
          <w:p>
            <w:pPr>
              <w:widowControl/>
              <w:spacing w:line="360" w:lineRule="auto"/>
              <w:jc w:val="center"/>
              <w:rPr>
                <w:rFonts w:ascii="宋体" w:hAnsi="宋体" w:eastAsia="宋体" w:cs="宋体"/>
                <w:kern w:val="0"/>
                <w:sz w:val="24"/>
              </w:rPr>
            </w:pPr>
            <w:r>
              <w:rPr>
                <w:rFonts w:hint="eastAsia" w:ascii="宋体" w:hAnsi="宋体" w:eastAsia="宋体" w:cs="宋体"/>
                <w:kern w:val="0"/>
                <w:sz w:val="24"/>
              </w:rPr>
              <w:t>国家学生体质健康测试情况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1080" w:type="dxa"/>
            <w:vMerge w:val="continue"/>
            <w:noWrap w:val="0"/>
            <w:vAlign w:val="center"/>
          </w:tcPr>
          <w:p>
            <w:pPr>
              <w:widowControl/>
              <w:spacing w:line="360" w:lineRule="auto"/>
              <w:jc w:val="left"/>
              <w:rPr>
                <w:rFonts w:ascii="宋体" w:hAnsi="宋体" w:eastAsia="宋体" w:cs="宋体"/>
                <w:kern w:val="0"/>
                <w:sz w:val="24"/>
              </w:rPr>
            </w:pPr>
          </w:p>
        </w:tc>
        <w:tc>
          <w:tcPr>
            <w:tcW w:w="1080" w:type="dxa"/>
            <w:noWrap w:val="0"/>
            <w:vAlign w:val="center"/>
          </w:tcPr>
          <w:p>
            <w:pPr>
              <w:widowControl/>
              <w:spacing w:line="360" w:lineRule="auto"/>
              <w:jc w:val="center"/>
              <w:rPr>
                <w:rFonts w:ascii="宋体" w:hAnsi="宋体" w:eastAsia="宋体" w:cs="宋体"/>
                <w:kern w:val="0"/>
                <w:sz w:val="24"/>
              </w:rPr>
            </w:pPr>
            <w:r>
              <w:rPr>
                <w:rFonts w:hint="eastAsia" w:ascii="宋体" w:hAnsi="宋体" w:eastAsia="宋体" w:cs="宋体"/>
                <w:kern w:val="0"/>
                <w:sz w:val="24"/>
              </w:rPr>
              <w:t>优秀(%)</w:t>
            </w:r>
          </w:p>
        </w:tc>
        <w:tc>
          <w:tcPr>
            <w:tcW w:w="1080" w:type="dxa"/>
            <w:noWrap w:val="0"/>
            <w:vAlign w:val="center"/>
          </w:tcPr>
          <w:p>
            <w:pPr>
              <w:widowControl/>
              <w:spacing w:line="360" w:lineRule="auto"/>
              <w:jc w:val="center"/>
              <w:rPr>
                <w:rFonts w:ascii="宋体" w:hAnsi="宋体" w:eastAsia="宋体" w:cs="宋体"/>
                <w:kern w:val="0"/>
                <w:sz w:val="24"/>
              </w:rPr>
            </w:pPr>
            <w:r>
              <w:rPr>
                <w:rFonts w:hint="eastAsia" w:ascii="宋体" w:hAnsi="宋体" w:eastAsia="宋体" w:cs="宋体"/>
                <w:kern w:val="0"/>
                <w:sz w:val="24"/>
              </w:rPr>
              <w:t>良好(%)</w:t>
            </w:r>
          </w:p>
        </w:tc>
        <w:tc>
          <w:tcPr>
            <w:tcW w:w="1080" w:type="dxa"/>
            <w:noWrap w:val="0"/>
            <w:vAlign w:val="center"/>
          </w:tcPr>
          <w:p>
            <w:pPr>
              <w:widowControl/>
              <w:spacing w:line="360" w:lineRule="auto"/>
              <w:jc w:val="center"/>
              <w:rPr>
                <w:rFonts w:ascii="宋体" w:hAnsi="宋体" w:eastAsia="宋体" w:cs="宋体"/>
                <w:kern w:val="0"/>
                <w:sz w:val="24"/>
              </w:rPr>
            </w:pPr>
            <w:r>
              <w:rPr>
                <w:rFonts w:hint="eastAsia" w:ascii="宋体" w:hAnsi="宋体" w:eastAsia="宋体" w:cs="宋体"/>
                <w:kern w:val="0"/>
                <w:sz w:val="24"/>
              </w:rPr>
              <w:t>及格(%)</w:t>
            </w:r>
          </w:p>
        </w:tc>
        <w:tc>
          <w:tcPr>
            <w:tcW w:w="1080" w:type="dxa"/>
            <w:noWrap w:val="0"/>
            <w:vAlign w:val="center"/>
          </w:tcPr>
          <w:p>
            <w:pPr>
              <w:widowControl/>
              <w:spacing w:line="360" w:lineRule="auto"/>
              <w:jc w:val="center"/>
              <w:rPr>
                <w:rFonts w:ascii="宋体" w:hAnsi="宋体" w:eastAsia="宋体" w:cs="宋体"/>
                <w:kern w:val="0"/>
                <w:sz w:val="24"/>
              </w:rPr>
            </w:pPr>
            <w:r>
              <w:rPr>
                <w:rFonts w:hint="eastAsia" w:ascii="宋体" w:hAnsi="宋体" w:eastAsia="宋体" w:cs="宋体"/>
                <w:kern w:val="0"/>
                <w:sz w:val="24"/>
              </w:rPr>
              <w:t>优良率(%)</w:t>
            </w:r>
          </w:p>
        </w:tc>
        <w:tc>
          <w:tcPr>
            <w:tcW w:w="1080" w:type="dxa"/>
            <w:noWrap w:val="0"/>
            <w:vAlign w:val="center"/>
          </w:tcPr>
          <w:p>
            <w:pPr>
              <w:widowControl/>
              <w:spacing w:line="360" w:lineRule="auto"/>
              <w:jc w:val="center"/>
              <w:rPr>
                <w:rFonts w:ascii="宋体" w:hAnsi="宋体" w:eastAsia="宋体" w:cs="宋体"/>
                <w:kern w:val="0"/>
                <w:sz w:val="24"/>
              </w:rPr>
            </w:pPr>
            <w:r>
              <w:rPr>
                <w:rFonts w:hint="eastAsia" w:ascii="宋体" w:hAnsi="宋体" w:eastAsia="宋体" w:cs="宋体"/>
                <w:kern w:val="0"/>
                <w:sz w:val="24"/>
              </w:rPr>
              <w:t>总达标率(%)</w:t>
            </w:r>
          </w:p>
        </w:tc>
        <w:tc>
          <w:tcPr>
            <w:tcW w:w="1087" w:type="dxa"/>
            <w:noWrap w:val="0"/>
            <w:vAlign w:val="center"/>
          </w:tcPr>
          <w:p>
            <w:pPr>
              <w:widowControl/>
              <w:spacing w:line="360" w:lineRule="auto"/>
              <w:jc w:val="center"/>
              <w:rPr>
                <w:rFonts w:ascii="宋体" w:hAnsi="宋体" w:eastAsia="宋体" w:cs="宋体"/>
                <w:kern w:val="0"/>
                <w:sz w:val="24"/>
              </w:rPr>
            </w:pPr>
            <w:r>
              <w:rPr>
                <w:rFonts w:hint="eastAsia" w:ascii="宋体" w:hAnsi="宋体" w:eastAsia="宋体" w:cs="宋体"/>
                <w:kern w:val="0"/>
                <w:sz w:val="24"/>
              </w:rPr>
              <w:t>近视率(%)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80" w:type="dxa"/>
            <w:noWrap w:val="0"/>
            <w:vAlign w:val="center"/>
          </w:tcPr>
          <w:p>
            <w:pPr>
              <w:widowControl/>
              <w:spacing w:line="360" w:lineRule="auto"/>
              <w:jc w:val="center"/>
              <w:rPr>
                <w:rFonts w:ascii="宋体" w:hAnsi="宋体" w:eastAsia="宋体" w:cs="宋体"/>
                <w:kern w:val="0"/>
                <w:sz w:val="24"/>
              </w:rPr>
            </w:pPr>
            <w:r>
              <w:rPr>
                <w:rFonts w:hint="eastAsia" w:ascii="宋体" w:hAnsi="宋体" w:eastAsia="宋体" w:cs="宋体"/>
                <w:kern w:val="0"/>
                <w:sz w:val="24"/>
              </w:rPr>
              <w:t>高一</w:t>
            </w:r>
          </w:p>
        </w:tc>
        <w:tc>
          <w:tcPr>
            <w:tcW w:w="1080" w:type="dxa"/>
            <w:noWrap w:val="0"/>
            <w:vAlign w:val="center"/>
          </w:tcPr>
          <w:p>
            <w:pPr>
              <w:widowControl/>
              <w:jc w:val="center"/>
              <w:rPr>
                <w:rFonts w:hint="eastAsia" w:ascii="仿宋_GB2312" w:hAnsi="宋体" w:eastAsia="仿宋_GB2312" w:cs="宋体"/>
                <w:color w:val="000000"/>
                <w:kern w:val="0"/>
                <w:sz w:val="24"/>
              </w:rPr>
            </w:pPr>
            <w:r>
              <w:rPr>
                <w:rFonts w:ascii="仿宋_GB2312" w:hAnsi="宋体" w:eastAsia="仿宋_GB2312" w:cs="宋体"/>
                <w:color w:val="000000"/>
                <w:kern w:val="0"/>
                <w:sz w:val="24"/>
              </w:rPr>
              <w:t>3.9</w:t>
            </w:r>
          </w:p>
        </w:tc>
        <w:tc>
          <w:tcPr>
            <w:tcW w:w="1080" w:type="dxa"/>
            <w:noWrap w:val="0"/>
            <w:vAlign w:val="center"/>
          </w:tcPr>
          <w:p>
            <w:pPr>
              <w:widowControl/>
              <w:jc w:val="center"/>
              <w:rPr>
                <w:rFonts w:hint="eastAsia" w:ascii="仿宋_GB2312" w:hAnsi="宋体" w:eastAsia="仿宋_GB2312" w:cs="宋体"/>
                <w:color w:val="000000"/>
                <w:kern w:val="0"/>
                <w:sz w:val="24"/>
              </w:rPr>
            </w:pPr>
            <w:r>
              <w:rPr>
                <w:rFonts w:hint="eastAsia" w:ascii="仿宋_GB2312" w:hAnsi="宋体" w:eastAsia="仿宋_GB2312" w:cs="宋体"/>
                <w:color w:val="000000"/>
                <w:kern w:val="0"/>
                <w:sz w:val="24"/>
              </w:rPr>
              <w:t>3</w:t>
            </w:r>
            <w:r>
              <w:rPr>
                <w:rFonts w:ascii="仿宋_GB2312" w:hAnsi="宋体" w:eastAsia="仿宋_GB2312" w:cs="宋体"/>
                <w:color w:val="000000"/>
                <w:kern w:val="0"/>
                <w:sz w:val="24"/>
              </w:rPr>
              <w:t>0.2</w:t>
            </w:r>
          </w:p>
        </w:tc>
        <w:tc>
          <w:tcPr>
            <w:tcW w:w="1080" w:type="dxa"/>
            <w:noWrap w:val="0"/>
            <w:vAlign w:val="center"/>
          </w:tcPr>
          <w:p>
            <w:pPr>
              <w:widowControl/>
              <w:jc w:val="center"/>
              <w:rPr>
                <w:rFonts w:hint="eastAsia" w:ascii="仿宋_GB2312" w:hAnsi="宋体" w:eastAsia="仿宋_GB2312" w:cs="宋体"/>
                <w:color w:val="000000"/>
                <w:kern w:val="0"/>
                <w:sz w:val="24"/>
              </w:rPr>
            </w:pPr>
            <w:r>
              <w:rPr>
                <w:rFonts w:ascii="仿宋_GB2312" w:hAnsi="宋体" w:eastAsia="仿宋_GB2312" w:cs="宋体"/>
                <w:color w:val="000000"/>
                <w:kern w:val="0"/>
                <w:sz w:val="24"/>
              </w:rPr>
              <w:t>60.7</w:t>
            </w:r>
          </w:p>
        </w:tc>
        <w:tc>
          <w:tcPr>
            <w:tcW w:w="1080" w:type="dxa"/>
            <w:noWrap w:val="0"/>
            <w:vAlign w:val="center"/>
          </w:tcPr>
          <w:p>
            <w:pPr>
              <w:widowControl/>
              <w:jc w:val="center"/>
              <w:rPr>
                <w:rFonts w:hint="eastAsia" w:ascii="仿宋_GB2312" w:hAnsi="宋体" w:eastAsia="仿宋_GB2312" w:cs="宋体"/>
                <w:color w:val="000000"/>
                <w:kern w:val="0"/>
                <w:sz w:val="24"/>
              </w:rPr>
            </w:pPr>
            <w:r>
              <w:rPr>
                <w:rFonts w:ascii="仿宋_GB2312" w:hAnsi="宋体" w:eastAsia="仿宋_GB2312" w:cs="宋体"/>
                <w:color w:val="000000"/>
                <w:kern w:val="0"/>
                <w:sz w:val="24"/>
              </w:rPr>
              <w:t>34.1</w:t>
            </w:r>
          </w:p>
        </w:tc>
        <w:tc>
          <w:tcPr>
            <w:tcW w:w="1080" w:type="dxa"/>
            <w:noWrap w:val="0"/>
            <w:vAlign w:val="center"/>
          </w:tcPr>
          <w:p>
            <w:pPr>
              <w:widowControl/>
              <w:jc w:val="center"/>
              <w:rPr>
                <w:rFonts w:hint="eastAsia" w:ascii="仿宋_GB2312" w:hAnsi="宋体" w:eastAsia="仿宋_GB2312" w:cs="宋体"/>
                <w:color w:val="000000"/>
                <w:kern w:val="0"/>
                <w:sz w:val="24"/>
              </w:rPr>
            </w:pPr>
            <w:r>
              <w:rPr>
                <w:rFonts w:ascii="仿宋_GB2312" w:hAnsi="宋体" w:eastAsia="仿宋_GB2312" w:cs="宋体"/>
                <w:color w:val="000000"/>
                <w:kern w:val="0"/>
                <w:sz w:val="24"/>
              </w:rPr>
              <w:t>94.8</w:t>
            </w:r>
          </w:p>
        </w:tc>
        <w:tc>
          <w:tcPr>
            <w:tcW w:w="1087" w:type="dxa"/>
            <w:noWrap w:val="0"/>
            <w:vAlign w:val="center"/>
          </w:tcPr>
          <w:p>
            <w:pPr>
              <w:widowControl/>
              <w:jc w:val="center"/>
              <w:rPr>
                <w:rFonts w:hint="eastAsia" w:ascii="仿宋_GB2312" w:hAnsi="宋体" w:eastAsia="仿宋_GB2312" w:cs="宋体"/>
                <w:color w:val="000000"/>
                <w:kern w:val="0"/>
                <w:sz w:val="24"/>
              </w:rPr>
            </w:pPr>
            <w:r>
              <w:rPr>
                <w:rFonts w:hint="eastAsia" w:ascii="仿宋_GB2312" w:hAnsi="宋体" w:eastAsia="仿宋_GB2312" w:cs="宋体"/>
                <w:color w:val="000000"/>
                <w:kern w:val="0"/>
                <w:sz w:val="24"/>
              </w:rPr>
              <w:t>7</w:t>
            </w:r>
            <w:r>
              <w:rPr>
                <w:rFonts w:ascii="仿宋_GB2312" w:hAnsi="宋体" w:eastAsia="仿宋_GB2312" w:cs="宋体"/>
                <w:color w:val="000000"/>
                <w:kern w:val="0"/>
                <w:sz w:val="24"/>
              </w:rPr>
              <w:t>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80" w:type="dxa"/>
            <w:noWrap w:val="0"/>
            <w:vAlign w:val="center"/>
          </w:tcPr>
          <w:p>
            <w:pPr>
              <w:widowControl/>
              <w:spacing w:line="360" w:lineRule="auto"/>
              <w:jc w:val="center"/>
              <w:rPr>
                <w:rFonts w:ascii="宋体" w:hAnsi="宋体" w:eastAsia="宋体" w:cs="宋体"/>
                <w:kern w:val="0"/>
                <w:sz w:val="24"/>
              </w:rPr>
            </w:pPr>
            <w:r>
              <w:rPr>
                <w:rFonts w:hint="eastAsia" w:ascii="宋体" w:hAnsi="宋体" w:eastAsia="宋体" w:cs="宋体"/>
                <w:kern w:val="0"/>
                <w:sz w:val="24"/>
              </w:rPr>
              <w:t>高二</w:t>
            </w:r>
          </w:p>
        </w:tc>
        <w:tc>
          <w:tcPr>
            <w:tcW w:w="1080" w:type="dxa"/>
            <w:noWrap w:val="0"/>
            <w:vAlign w:val="center"/>
          </w:tcPr>
          <w:p>
            <w:pPr>
              <w:widowControl/>
              <w:jc w:val="center"/>
              <w:rPr>
                <w:rFonts w:hint="eastAsia" w:ascii="仿宋_GB2312" w:hAnsi="宋体" w:eastAsia="仿宋_GB2312" w:cs="宋体"/>
                <w:color w:val="000000"/>
                <w:kern w:val="0"/>
                <w:sz w:val="24"/>
              </w:rPr>
            </w:pPr>
            <w:r>
              <w:rPr>
                <w:rFonts w:ascii="仿宋_GB2312" w:hAnsi="宋体" w:eastAsia="仿宋_GB2312" w:cs="宋体"/>
                <w:color w:val="000000"/>
                <w:kern w:val="0"/>
                <w:sz w:val="24"/>
              </w:rPr>
              <w:t>0.9</w:t>
            </w:r>
          </w:p>
        </w:tc>
        <w:tc>
          <w:tcPr>
            <w:tcW w:w="1080" w:type="dxa"/>
            <w:noWrap w:val="0"/>
            <w:vAlign w:val="center"/>
          </w:tcPr>
          <w:p>
            <w:pPr>
              <w:widowControl/>
              <w:jc w:val="center"/>
              <w:rPr>
                <w:rFonts w:hint="eastAsia" w:ascii="仿宋_GB2312" w:hAnsi="宋体" w:eastAsia="仿宋_GB2312" w:cs="宋体"/>
                <w:color w:val="000000"/>
                <w:kern w:val="0"/>
                <w:sz w:val="24"/>
              </w:rPr>
            </w:pPr>
            <w:r>
              <w:rPr>
                <w:rFonts w:ascii="仿宋_GB2312" w:hAnsi="宋体" w:eastAsia="仿宋_GB2312" w:cs="宋体"/>
                <w:color w:val="000000"/>
                <w:kern w:val="0"/>
                <w:sz w:val="24"/>
              </w:rPr>
              <w:t>21.8</w:t>
            </w:r>
          </w:p>
        </w:tc>
        <w:tc>
          <w:tcPr>
            <w:tcW w:w="1080" w:type="dxa"/>
            <w:noWrap w:val="0"/>
            <w:vAlign w:val="center"/>
          </w:tcPr>
          <w:p>
            <w:pPr>
              <w:widowControl/>
              <w:jc w:val="center"/>
              <w:rPr>
                <w:rFonts w:hint="eastAsia" w:ascii="仿宋_GB2312" w:hAnsi="宋体" w:eastAsia="仿宋_GB2312" w:cs="宋体"/>
                <w:color w:val="000000"/>
                <w:kern w:val="0"/>
                <w:sz w:val="24"/>
              </w:rPr>
            </w:pPr>
            <w:r>
              <w:rPr>
                <w:rFonts w:ascii="仿宋_GB2312" w:hAnsi="宋体" w:eastAsia="仿宋_GB2312" w:cs="宋体"/>
                <w:color w:val="000000"/>
                <w:kern w:val="0"/>
                <w:sz w:val="24"/>
              </w:rPr>
              <w:t>70.4</w:t>
            </w:r>
          </w:p>
        </w:tc>
        <w:tc>
          <w:tcPr>
            <w:tcW w:w="1080" w:type="dxa"/>
            <w:noWrap w:val="0"/>
            <w:vAlign w:val="center"/>
          </w:tcPr>
          <w:p>
            <w:pPr>
              <w:widowControl/>
              <w:jc w:val="center"/>
              <w:rPr>
                <w:rFonts w:hint="eastAsia" w:ascii="仿宋_GB2312" w:hAnsi="宋体" w:eastAsia="仿宋_GB2312" w:cs="宋体"/>
                <w:color w:val="000000"/>
                <w:kern w:val="0"/>
                <w:sz w:val="24"/>
              </w:rPr>
            </w:pPr>
            <w:r>
              <w:rPr>
                <w:rFonts w:ascii="仿宋_GB2312" w:hAnsi="宋体" w:eastAsia="仿宋_GB2312" w:cs="宋体"/>
                <w:color w:val="000000"/>
                <w:kern w:val="0"/>
                <w:sz w:val="24"/>
              </w:rPr>
              <w:t>22.7</w:t>
            </w:r>
          </w:p>
        </w:tc>
        <w:tc>
          <w:tcPr>
            <w:tcW w:w="1080" w:type="dxa"/>
            <w:noWrap w:val="0"/>
            <w:vAlign w:val="center"/>
          </w:tcPr>
          <w:p>
            <w:pPr>
              <w:widowControl/>
              <w:jc w:val="center"/>
              <w:rPr>
                <w:rFonts w:hint="eastAsia" w:ascii="仿宋_GB2312" w:hAnsi="宋体" w:eastAsia="仿宋_GB2312" w:cs="宋体"/>
                <w:color w:val="000000"/>
                <w:kern w:val="0"/>
                <w:sz w:val="24"/>
              </w:rPr>
            </w:pPr>
            <w:r>
              <w:rPr>
                <w:rFonts w:ascii="仿宋_GB2312" w:hAnsi="宋体" w:eastAsia="仿宋_GB2312" w:cs="宋体"/>
                <w:color w:val="000000"/>
                <w:kern w:val="0"/>
                <w:sz w:val="24"/>
              </w:rPr>
              <w:t>92.4</w:t>
            </w:r>
          </w:p>
        </w:tc>
        <w:tc>
          <w:tcPr>
            <w:tcW w:w="1087" w:type="dxa"/>
            <w:noWrap w:val="0"/>
            <w:vAlign w:val="center"/>
          </w:tcPr>
          <w:p>
            <w:pPr>
              <w:widowControl/>
              <w:jc w:val="center"/>
              <w:rPr>
                <w:rFonts w:hint="eastAsia" w:ascii="仿宋_GB2312" w:hAnsi="宋体" w:eastAsia="仿宋_GB2312" w:cs="宋体"/>
                <w:color w:val="000000"/>
                <w:kern w:val="0"/>
                <w:sz w:val="24"/>
              </w:rPr>
            </w:pPr>
            <w:r>
              <w:rPr>
                <w:rFonts w:hint="eastAsia" w:ascii="仿宋_GB2312" w:hAnsi="宋体" w:eastAsia="仿宋_GB2312" w:cs="宋体"/>
                <w:color w:val="000000"/>
                <w:kern w:val="0"/>
                <w:sz w:val="24"/>
              </w:rPr>
              <w:t>7</w:t>
            </w:r>
            <w:r>
              <w:rPr>
                <w:rFonts w:ascii="仿宋_GB2312" w:hAnsi="宋体" w:eastAsia="仿宋_GB2312" w:cs="宋体"/>
                <w:color w:val="000000"/>
                <w:kern w:val="0"/>
                <w:sz w:val="24"/>
              </w:rPr>
              <w:t>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80" w:type="dxa"/>
            <w:noWrap w:val="0"/>
            <w:vAlign w:val="center"/>
          </w:tcPr>
          <w:p>
            <w:pPr>
              <w:widowControl/>
              <w:spacing w:line="360" w:lineRule="auto"/>
              <w:jc w:val="center"/>
              <w:rPr>
                <w:rFonts w:ascii="宋体" w:hAnsi="宋体" w:eastAsia="宋体" w:cs="宋体"/>
                <w:kern w:val="0"/>
                <w:sz w:val="24"/>
              </w:rPr>
            </w:pPr>
            <w:r>
              <w:rPr>
                <w:rFonts w:hint="eastAsia" w:ascii="宋体" w:hAnsi="宋体" w:eastAsia="宋体" w:cs="宋体"/>
                <w:kern w:val="0"/>
                <w:sz w:val="24"/>
              </w:rPr>
              <w:t>高三</w:t>
            </w:r>
          </w:p>
        </w:tc>
        <w:tc>
          <w:tcPr>
            <w:tcW w:w="1080" w:type="dxa"/>
            <w:noWrap w:val="0"/>
            <w:vAlign w:val="center"/>
          </w:tcPr>
          <w:p>
            <w:pPr>
              <w:widowControl/>
              <w:jc w:val="center"/>
              <w:rPr>
                <w:rFonts w:hint="eastAsia" w:ascii="仿宋_GB2312" w:hAnsi="宋体" w:eastAsia="仿宋_GB2312" w:cs="宋体"/>
                <w:color w:val="000000"/>
                <w:kern w:val="0"/>
                <w:sz w:val="24"/>
              </w:rPr>
            </w:pPr>
            <w:r>
              <w:rPr>
                <w:rFonts w:ascii="仿宋_GB2312" w:hAnsi="宋体" w:eastAsia="仿宋_GB2312" w:cs="宋体"/>
                <w:color w:val="000000"/>
                <w:kern w:val="0"/>
                <w:sz w:val="24"/>
              </w:rPr>
              <w:t>1.14</w:t>
            </w:r>
          </w:p>
        </w:tc>
        <w:tc>
          <w:tcPr>
            <w:tcW w:w="1080" w:type="dxa"/>
            <w:noWrap w:val="0"/>
            <w:vAlign w:val="center"/>
          </w:tcPr>
          <w:p>
            <w:pPr>
              <w:widowControl/>
              <w:jc w:val="center"/>
              <w:rPr>
                <w:rFonts w:hint="eastAsia" w:ascii="仿宋_GB2312" w:hAnsi="宋体" w:eastAsia="仿宋_GB2312" w:cs="宋体"/>
                <w:color w:val="000000"/>
                <w:kern w:val="0"/>
                <w:sz w:val="24"/>
              </w:rPr>
            </w:pPr>
            <w:r>
              <w:rPr>
                <w:rFonts w:ascii="仿宋_GB2312" w:hAnsi="宋体" w:eastAsia="仿宋_GB2312" w:cs="宋体"/>
                <w:color w:val="000000"/>
                <w:kern w:val="0"/>
                <w:sz w:val="24"/>
              </w:rPr>
              <w:t>20.8</w:t>
            </w:r>
          </w:p>
        </w:tc>
        <w:tc>
          <w:tcPr>
            <w:tcW w:w="1080" w:type="dxa"/>
            <w:noWrap w:val="0"/>
            <w:vAlign w:val="center"/>
          </w:tcPr>
          <w:p>
            <w:pPr>
              <w:widowControl/>
              <w:jc w:val="center"/>
              <w:rPr>
                <w:rFonts w:hint="eastAsia" w:ascii="仿宋_GB2312" w:hAnsi="宋体" w:eastAsia="仿宋_GB2312" w:cs="宋体"/>
                <w:color w:val="000000"/>
                <w:kern w:val="0"/>
                <w:sz w:val="24"/>
              </w:rPr>
            </w:pPr>
            <w:r>
              <w:rPr>
                <w:rFonts w:hint="eastAsia" w:ascii="仿宋_GB2312" w:hAnsi="宋体" w:eastAsia="仿宋_GB2312" w:cs="宋体"/>
                <w:color w:val="000000"/>
                <w:kern w:val="0"/>
                <w:sz w:val="24"/>
              </w:rPr>
              <w:t>4</w:t>
            </w:r>
            <w:r>
              <w:rPr>
                <w:rFonts w:ascii="仿宋_GB2312" w:hAnsi="宋体" w:eastAsia="仿宋_GB2312" w:cs="宋体"/>
                <w:color w:val="000000"/>
                <w:kern w:val="0"/>
                <w:sz w:val="24"/>
              </w:rPr>
              <w:t>71</w:t>
            </w:r>
          </w:p>
        </w:tc>
        <w:tc>
          <w:tcPr>
            <w:tcW w:w="1080" w:type="dxa"/>
            <w:noWrap w:val="0"/>
            <w:vAlign w:val="center"/>
          </w:tcPr>
          <w:p>
            <w:pPr>
              <w:widowControl/>
              <w:jc w:val="center"/>
              <w:rPr>
                <w:rFonts w:hint="eastAsia" w:ascii="仿宋_GB2312" w:hAnsi="宋体" w:eastAsia="仿宋_GB2312" w:cs="宋体"/>
                <w:color w:val="000000"/>
                <w:kern w:val="0"/>
                <w:sz w:val="24"/>
              </w:rPr>
            </w:pPr>
            <w:r>
              <w:rPr>
                <w:rFonts w:ascii="仿宋_GB2312" w:hAnsi="宋体" w:eastAsia="仿宋_GB2312" w:cs="宋体"/>
                <w:color w:val="000000"/>
                <w:kern w:val="0"/>
                <w:sz w:val="24"/>
              </w:rPr>
              <w:t>21.9</w:t>
            </w:r>
          </w:p>
        </w:tc>
        <w:tc>
          <w:tcPr>
            <w:tcW w:w="1080" w:type="dxa"/>
            <w:noWrap w:val="0"/>
            <w:vAlign w:val="center"/>
          </w:tcPr>
          <w:p>
            <w:pPr>
              <w:widowControl/>
              <w:jc w:val="center"/>
              <w:rPr>
                <w:rFonts w:hint="eastAsia" w:ascii="仿宋_GB2312" w:hAnsi="宋体" w:eastAsia="仿宋_GB2312" w:cs="宋体"/>
                <w:color w:val="000000"/>
                <w:kern w:val="0"/>
                <w:sz w:val="24"/>
              </w:rPr>
            </w:pPr>
            <w:r>
              <w:rPr>
                <w:rFonts w:ascii="仿宋_GB2312" w:hAnsi="宋体" w:eastAsia="仿宋_GB2312" w:cs="宋体"/>
                <w:color w:val="000000"/>
                <w:kern w:val="0"/>
                <w:sz w:val="24"/>
              </w:rPr>
              <w:t>93</w:t>
            </w:r>
          </w:p>
        </w:tc>
        <w:tc>
          <w:tcPr>
            <w:tcW w:w="1087" w:type="dxa"/>
            <w:noWrap w:val="0"/>
            <w:vAlign w:val="center"/>
          </w:tcPr>
          <w:p>
            <w:pPr>
              <w:widowControl/>
              <w:jc w:val="center"/>
              <w:rPr>
                <w:rFonts w:hint="eastAsia" w:ascii="仿宋_GB2312" w:hAnsi="宋体" w:eastAsia="仿宋_GB2312" w:cs="宋体"/>
                <w:color w:val="000000"/>
                <w:kern w:val="0"/>
                <w:sz w:val="24"/>
              </w:rPr>
            </w:pPr>
            <w:r>
              <w:rPr>
                <w:rFonts w:hint="eastAsia" w:ascii="仿宋_GB2312" w:hAnsi="宋体" w:eastAsia="仿宋_GB2312" w:cs="宋体"/>
                <w:color w:val="000000"/>
                <w:kern w:val="0"/>
                <w:sz w:val="24"/>
              </w:rPr>
              <w:t>8</w:t>
            </w:r>
            <w:r>
              <w:rPr>
                <w:rFonts w:ascii="仿宋_GB2312" w:hAnsi="宋体" w:eastAsia="仿宋_GB2312" w:cs="宋体"/>
                <w:color w:val="000000"/>
                <w:kern w:val="0"/>
                <w:sz w:val="24"/>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80" w:type="dxa"/>
            <w:noWrap w:val="0"/>
            <w:vAlign w:val="center"/>
          </w:tcPr>
          <w:p>
            <w:pPr>
              <w:widowControl/>
              <w:spacing w:line="360" w:lineRule="auto"/>
              <w:jc w:val="center"/>
              <w:rPr>
                <w:rFonts w:ascii="宋体" w:hAnsi="宋体" w:eastAsia="宋体" w:cs="宋体"/>
                <w:kern w:val="0"/>
                <w:sz w:val="24"/>
              </w:rPr>
            </w:pPr>
            <w:r>
              <w:rPr>
                <w:rFonts w:hint="eastAsia" w:ascii="宋体" w:hAnsi="宋体" w:eastAsia="宋体" w:cs="宋体"/>
                <w:kern w:val="0"/>
                <w:sz w:val="24"/>
              </w:rPr>
              <w:t>全校</w:t>
            </w:r>
          </w:p>
        </w:tc>
        <w:tc>
          <w:tcPr>
            <w:tcW w:w="1080" w:type="dxa"/>
            <w:noWrap w:val="0"/>
            <w:vAlign w:val="center"/>
          </w:tcPr>
          <w:p>
            <w:pPr>
              <w:widowControl/>
              <w:jc w:val="center"/>
              <w:rPr>
                <w:rFonts w:hint="eastAsia" w:ascii="仿宋_GB2312" w:hAnsi="宋体" w:eastAsia="仿宋_GB2312" w:cs="宋体"/>
                <w:color w:val="000000"/>
                <w:kern w:val="0"/>
                <w:sz w:val="24"/>
              </w:rPr>
            </w:pPr>
            <w:r>
              <w:rPr>
                <w:rFonts w:ascii="仿宋_GB2312" w:hAnsi="宋体" w:eastAsia="仿宋_GB2312" w:cs="宋体"/>
                <w:color w:val="000000"/>
                <w:kern w:val="0"/>
                <w:sz w:val="24"/>
              </w:rPr>
              <w:t>2.15</w:t>
            </w:r>
          </w:p>
        </w:tc>
        <w:tc>
          <w:tcPr>
            <w:tcW w:w="1080" w:type="dxa"/>
            <w:noWrap w:val="0"/>
            <w:vAlign w:val="center"/>
          </w:tcPr>
          <w:p>
            <w:pPr>
              <w:widowControl/>
              <w:jc w:val="center"/>
              <w:rPr>
                <w:rFonts w:hint="eastAsia" w:ascii="仿宋_GB2312" w:hAnsi="宋体" w:eastAsia="仿宋_GB2312" w:cs="宋体"/>
                <w:color w:val="000000"/>
                <w:kern w:val="0"/>
                <w:sz w:val="24"/>
              </w:rPr>
            </w:pPr>
            <w:r>
              <w:rPr>
                <w:rFonts w:ascii="仿宋_GB2312" w:hAnsi="宋体" w:eastAsia="仿宋_GB2312" w:cs="宋体"/>
                <w:color w:val="000000"/>
                <w:kern w:val="0"/>
                <w:sz w:val="24"/>
              </w:rPr>
              <w:t>25</w:t>
            </w:r>
          </w:p>
        </w:tc>
        <w:tc>
          <w:tcPr>
            <w:tcW w:w="1080" w:type="dxa"/>
            <w:noWrap w:val="0"/>
            <w:vAlign w:val="center"/>
          </w:tcPr>
          <w:p>
            <w:pPr>
              <w:widowControl/>
              <w:jc w:val="center"/>
              <w:rPr>
                <w:rFonts w:hint="eastAsia" w:ascii="仿宋_GB2312" w:hAnsi="宋体" w:eastAsia="仿宋_GB2312" w:cs="宋体"/>
                <w:color w:val="000000"/>
                <w:kern w:val="0"/>
                <w:sz w:val="24"/>
              </w:rPr>
            </w:pPr>
            <w:r>
              <w:rPr>
                <w:rFonts w:ascii="仿宋_GB2312" w:hAnsi="宋体" w:eastAsia="仿宋_GB2312" w:cs="宋体"/>
                <w:color w:val="000000"/>
                <w:kern w:val="0"/>
                <w:sz w:val="24"/>
              </w:rPr>
              <w:t>66.6</w:t>
            </w:r>
          </w:p>
        </w:tc>
        <w:tc>
          <w:tcPr>
            <w:tcW w:w="1080" w:type="dxa"/>
            <w:noWrap w:val="0"/>
            <w:vAlign w:val="center"/>
          </w:tcPr>
          <w:p>
            <w:pPr>
              <w:widowControl/>
              <w:jc w:val="center"/>
              <w:rPr>
                <w:rFonts w:hint="eastAsia" w:ascii="仿宋_GB2312" w:hAnsi="宋体" w:eastAsia="仿宋_GB2312" w:cs="宋体"/>
                <w:color w:val="000000"/>
                <w:kern w:val="0"/>
                <w:sz w:val="24"/>
              </w:rPr>
            </w:pPr>
            <w:r>
              <w:rPr>
                <w:rFonts w:ascii="仿宋_GB2312" w:hAnsi="宋体" w:eastAsia="仿宋_GB2312" w:cs="宋体"/>
                <w:color w:val="000000"/>
                <w:kern w:val="0"/>
                <w:sz w:val="24"/>
              </w:rPr>
              <w:t>27.17</w:t>
            </w:r>
          </w:p>
        </w:tc>
        <w:tc>
          <w:tcPr>
            <w:tcW w:w="1080" w:type="dxa"/>
            <w:noWrap w:val="0"/>
            <w:vAlign w:val="center"/>
          </w:tcPr>
          <w:p>
            <w:pPr>
              <w:widowControl/>
              <w:jc w:val="center"/>
              <w:rPr>
                <w:rFonts w:hint="eastAsia" w:ascii="仿宋_GB2312" w:hAnsi="宋体" w:eastAsia="仿宋_GB2312" w:cs="宋体"/>
                <w:color w:val="000000"/>
                <w:kern w:val="0"/>
                <w:sz w:val="24"/>
              </w:rPr>
            </w:pPr>
            <w:r>
              <w:rPr>
                <w:rFonts w:hint="eastAsia" w:ascii="仿宋_GB2312" w:hAnsi="宋体" w:eastAsia="仿宋_GB2312" w:cs="宋体"/>
                <w:color w:val="000000"/>
                <w:kern w:val="0"/>
                <w:sz w:val="24"/>
              </w:rPr>
              <w:t>9</w:t>
            </w:r>
            <w:r>
              <w:rPr>
                <w:rFonts w:ascii="仿宋_GB2312" w:hAnsi="宋体" w:eastAsia="仿宋_GB2312" w:cs="宋体"/>
                <w:color w:val="000000"/>
                <w:kern w:val="0"/>
                <w:sz w:val="24"/>
              </w:rPr>
              <w:t>3.75</w:t>
            </w:r>
          </w:p>
        </w:tc>
        <w:tc>
          <w:tcPr>
            <w:tcW w:w="1087" w:type="dxa"/>
            <w:noWrap w:val="0"/>
            <w:vAlign w:val="center"/>
          </w:tcPr>
          <w:p>
            <w:pPr>
              <w:widowControl/>
              <w:jc w:val="center"/>
              <w:rPr>
                <w:rFonts w:hint="eastAsia" w:ascii="仿宋_GB2312" w:hAnsi="宋体" w:eastAsia="仿宋_GB2312" w:cs="宋体"/>
                <w:color w:val="000000"/>
                <w:kern w:val="0"/>
                <w:sz w:val="24"/>
              </w:rPr>
            </w:pPr>
            <w:r>
              <w:rPr>
                <w:rFonts w:ascii="仿宋_GB2312" w:hAnsi="宋体" w:eastAsia="仿宋_GB2312" w:cs="宋体"/>
                <w:color w:val="000000"/>
                <w:kern w:val="0"/>
                <w:sz w:val="24"/>
              </w:rPr>
              <w:t>78.8</w:t>
            </w:r>
          </w:p>
        </w:tc>
      </w:tr>
    </w:tbl>
    <w:p>
      <w:pPr>
        <w:keepNext w:val="0"/>
        <w:keepLines w:val="0"/>
        <w:pageBreakBefore w:val="0"/>
        <w:widowControl w:val="0"/>
        <w:numPr>
          <w:ilvl w:val="0"/>
          <w:numId w:val="0"/>
        </w:numPr>
        <w:kinsoku/>
        <w:wordWrap/>
        <w:overflowPunct/>
        <w:topLinePunct w:val="0"/>
        <w:autoSpaceDE/>
        <w:autoSpaceDN/>
        <w:bidi w:val="0"/>
        <w:adjustRightInd/>
        <w:spacing w:beforeAutospacing="0" w:afterAutospacing="0" w:line="360" w:lineRule="auto"/>
        <w:ind w:right="0" w:rightChars="0"/>
        <w:jc w:val="both"/>
        <w:textAlignment w:val="auto"/>
        <w:outlineLvl w:val="9"/>
        <w:rPr>
          <w:rFonts w:hint="eastAsia"/>
          <w:b/>
          <w:bCs/>
          <w:color w:val="auto"/>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pacing w:beforeAutospacing="0" w:afterAutospacing="0" w:line="360" w:lineRule="auto"/>
        <w:ind w:right="0" w:rightChars="0"/>
        <w:jc w:val="both"/>
        <w:textAlignment w:val="auto"/>
        <w:outlineLvl w:val="9"/>
        <w:rPr>
          <w:rFonts w:hint="eastAsia"/>
          <w:b/>
          <w:bCs/>
          <w:color w:val="auto"/>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pacing w:beforeAutospacing="0" w:afterAutospacing="0" w:line="360" w:lineRule="auto"/>
        <w:ind w:right="0" w:rightChars="0"/>
        <w:jc w:val="both"/>
        <w:textAlignment w:val="auto"/>
        <w:outlineLvl w:val="9"/>
        <w:rPr>
          <w:rFonts w:hint="eastAsia"/>
          <w:b/>
          <w:bCs/>
          <w:color w:val="auto"/>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pacing w:beforeAutospacing="0" w:afterAutospacing="0" w:line="360" w:lineRule="auto"/>
        <w:ind w:right="0" w:rightChars="0"/>
        <w:jc w:val="both"/>
        <w:textAlignment w:val="auto"/>
        <w:outlineLvl w:val="9"/>
        <w:rPr>
          <w:rFonts w:hint="eastAsia"/>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firstLine="0" w:firstLineChars="0"/>
        <w:textAlignment w:val="auto"/>
        <w:outlineLvl w:val="9"/>
        <w:rPr>
          <w:rFonts w:hint="eastAsia"/>
          <w:color w:val="auto"/>
          <w:sz w:val="24"/>
          <w:szCs w:val="24"/>
          <w:lang w:val="en-US" w:eastAsia="zh-CN"/>
        </w:rPr>
      </w:pPr>
      <w:r>
        <w:rPr>
          <w:rFonts w:hint="eastAsia"/>
          <w:color w:val="auto"/>
          <w:sz w:val="24"/>
          <w:szCs w:val="24"/>
          <w:lang w:val="en-US" w:eastAsia="zh-CN"/>
        </w:rPr>
        <w:t xml:space="preserve">   </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firstLine="0" w:firstLineChars="0"/>
        <w:textAlignment w:val="auto"/>
        <w:outlineLvl w:val="9"/>
        <w:rPr>
          <w:rFonts w:hint="eastAsia"/>
          <w:color w:val="auto"/>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firstLine="0" w:firstLineChars="0"/>
        <w:textAlignment w:val="auto"/>
        <w:outlineLvl w:val="9"/>
        <w:rPr>
          <w:rFonts w:hint="eastAsia"/>
          <w:color w:val="auto"/>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firstLine="0" w:firstLineChars="0"/>
        <w:textAlignment w:val="auto"/>
        <w:outlineLvl w:val="9"/>
        <w:rPr>
          <w:rFonts w:hint="eastAsia"/>
          <w:color w:val="auto"/>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firstLine="0" w:firstLineChars="0"/>
        <w:textAlignment w:val="auto"/>
        <w:outlineLvl w:val="9"/>
        <w:rPr>
          <w:rFonts w:hint="eastAsia"/>
          <w:color w:val="auto"/>
          <w:sz w:val="24"/>
          <w:szCs w:val="24"/>
          <w:lang w:val="en-US" w:eastAsia="zh-CN"/>
        </w:rPr>
      </w:pPr>
      <w:r>
        <w:rPr>
          <w:rFonts w:hint="eastAsia"/>
          <w:color w:val="auto"/>
          <w:sz w:val="24"/>
          <w:szCs w:val="24"/>
          <w:lang w:val="en-US" w:eastAsia="zh-CN"/>
        </w:rPr>
        <w:t xml:space="preserve">    理论学习、专业学习、实习实训满意度：</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firstLine="0" w:firstLineChars="0"/>
        <w:textAlignment w:val="auto"/>
        <w:outlineLvl w:val="9"/>
        <w:rPr>
          <w:rFonts w:hint="eastAsia"/>
          <w:color w:val="auto"/>
          <w:sz w:val="24"/>
          <w:szCs w:val="24"/>
          <w:lang w:val="en-US" w:eastAsia="zh-CN"/>
        </w:rPr>
      </w:pPr>
      <w:r>
        <w:rPr>
          <w:rFonts w:hint="eastAsia"/>
          <w:color w:val="auto"/>
          <w:sz w:val="24"/>
          <w:szCs w:val="24"/>
          <w:lang w:val="en-US" w:eastAsia="zh-CN"/>
        </w:rPr>
        <w:t xml:space="preserve">    理论学习各专业学生满意度：工美为99%，水晶为90.3%，烹饪为85.9%，电子为81.8%，数控为99.1%，汽修为80.2%，财会为99%，电商为99.1%，计算机为98.4%，旅游为97.6%，幼师为100.00%，建筑为88.7%；</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firstLine="0" w:firstLineChars="0"/>
        <w:textAlignment w:val="auto"/>
        <w:outlineLvl w:val="9"/>
        <w:rPr>
          <w:rFonts w:hint="eastAsia"/>
          <w:color w:val="auto"/>
          <w:sz w:val="24"/>
          <w:szCs w:val="24"/>
          <w:lang w:val="en-US" w:eastAsia="zh-CN"/>
        </w:rPr>
      </w:pPr>
      <w:r>
        <w:rPr>
          <w:rFonts w:hint="eastAsia"/>
          <w:color w:val="auto"/>
          <w:sz w:val="24"/>
          <w:szCs w:val="24"/>
          <w:lang w:val="en-US" w:eastAsia="zh-CN"/>
        </w:rPr>
        <w:t xml:space="preserve">    专业学习各专业学生满意度：工美为97%，水晶为98.9%，烹饪为96.6%，电子为89..95%，数控为99.5%，汽修为80.9%，财会为96.37%，电商为100.00%，计算机为98.9%，旅游为100.00%，幼师为100.00%，建筑为89.8%；</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firstLine="0" w:firstLineChars="0"/>
        <w:textAlignment w:val="auto"/>
        <w:outlineLvl w:val="9"/>
        <w:rPr>
          <w:rFonts w:hint="eastAsia"/>
          <w:color w:val="auto"/>
          <w:sz w:val="24"/>
          <w:szCs w:val="24"/>
          <w:lang w:val="en-US" w:eastAsia="zh-CN"/>
        </w:rPr>
      </w:pPr>
      <w:r>
        <w:rPr>
          <w:rFonts w:hint="eastAsia"/>
          <w:color w:val="auto"/>
          <w:sz w:val="24"/>
          <w:szCs w:val="24"/>
          <w:lang w:val="en-US" w:eastAsia="zh-CN"/>
        </w:rPr>
        <w:t xml:space="preserve">    实习实训各专业学生满意度：工美为100%，水晶为82.88%，烹饪为100.00%，电子为81.50%，数控为96.7%，汽修为87.88%，财会为93.6%，电商为87%，计算机为94%，旅游为99.1%，幼师为100.00%。</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Chars="0" w:right="0" w:rightChars="0"/>
        <w:textAlignment w:val="auto"/>
        <w:outlineLvl w:val="9"/>
        <w:rPr>
          <w:rFonts w:hint="eastAsia" w:ascii="宋体" w:hAnsi="宋体" w:eastAsia="宋体" w:cs="宋体"/>
          <w:kern w:val="0"/>
          <w:sz w:val="24"/>
          <w:szCs w:val="24"/>
        </w:rPr>
      </w:pP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Chars="0" w:right="0" w:rightChars="0"/>
        <w:textAlignment w:val="auto"/>
        <w:outlineLvl w:val="1"/>
        <w:rPr>
          <w:rFonts w:hint="eastAsia" w:ascii="宋体" w:hAnsi="宋体" w:eastAsia="宋体" w:cs="宋体"/>
          <w:kern w:val="0"/>
          <w:sz w:val="24"/>
          <w:szCs w:val="24"/>
        </w:rPr>
      </w:pPr>
      <w:bookmarkStart w:id="8" w:name="_Toc14558"/>
      <w:r>
        <w:rPr>
          <w:rFonts w:hint="eastAsia"/>
          <w:b/>
          <w:bCs/>
          <w:sz w:val="28"/>
          <w:szCs w:val="28"/>
          <w:lang w:val="en-US" w:eastAsia="zh-CN"/>
        </w:rPr>
        <w:t>3、资助情况</w:t>
      </w:r>
      <w:bookmarkEnd w:id="8"/>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Chars="0" w:right="0" w:rightChars="0" w:firstLine="480" w:firstLineChars="200"/>
        <w:textAlignment w:val="auto"/>
        <w:outlineLvl w:val="9"/>
        <w:rPr>
          <w:rFonts w:hint="eastAsia" w:eastAsia="宋体"/>
          <w:sz w:val="24"/>
          <w:szCs w:val="24"/>
          <w:lang w:val="en-US" w:eastAsia="zh-CN"/>
        </w:rPr>
      </w:pPr>
      <w:r>
        <w:rPr>
          <w:rFonts w:hint="eastAsia" w:ascii="宋体" w:hAnsi="宋体" w:eastAsia="宋体" w:cs="宋体"/>
          <w:kern w:val="0"/>
          <w:sz w:val="24"/>
          <w:szCs w:val="24"/>
        </w:rPr>
        <w:t>我校高度重视免学费、国家助学金以及贫困生助学工作，成立了以校长任组长的资助工作领导小组，制定了《浦江县中等职业技术学校经济困难学生认定办法》、《浦江县中等职业技术学校国家助学金评选实施办法》，构建了助学工作体系。认真贯彻上级的相关文件精神，紧紧围绕工作目标，以实施“免”“补”工作为重点，以社会捐资助学为补充，实行学校补助与社会助学相结合来开展工作。助学金的发放，严格按申请、评选、公示、审核程序进行。</w:t>
      </w:r>
      <w:r>
        <w:rPr>
          <w:rFonts w:hint="eastAsia"/>
          <w:sz w:val="24"/>
          <w:szCs w:val="24"/>
        </w:rPr>
        <w:t>20</w:t>
      </w:r>
      <w:r>
        <w:rPr>
          <w:rFonts w:hint="eastAsia"/>
          <w:sz w:val="24"/>
          <w:szCs w:val="24"/>
          <w:lang w:val="en-US" w:eastAsia="zh-CN"/>
        </w:rPr>
        <w:t>20</w:t>
      </w:r>
      <w:r>
        <w:rPr>
          <w:rFonts w:hint="eastAsia"/>
          <w:sz w:val="24"/>
          <w:szCs w:val="24"/>
        </w:rPr>
        <w:t>年春季我校共3482名学生获得免学费补助，金额达到</w:t>
      </w:r>
      <w:r>
        <w:rPr>
          <w:rFonts w:hint="eastAsia" w:ascii="宋体" w:hAnsi="宋体" w:eastAsia="宋体" w:cs="宋体"/>
          <w:color w:val="000000"/>
          <w:kern w:val="0"/>
          <w:sz w:val="24"/>
          <w:szCs w:val="24"/>
        </w:rPr>
        <w:t>3701700元，601名学生获得国家助学金补助，金额达到601000元，20</w:t>
      </w:r>
      <w:r>
        <w:rPr>
          <w:rFonts w:hint="eastAsia" w:ascii="宋体" w:hAnsi="宋体" w:cs="宋体"/>
          <w:color w:val="000000"/>
          <w:kern w:val="0"/>
          <w:sz w:val="24"/>
          <w:szCs w:val="24"/>
          <w:lang w:val="en-US" w:eastAsia="zh-CN"/>
        </w:rPr>
        <w:t>20</w:t>
      </w:r>
      <w:r>
        <w:rPr>
          <w:rFonts w:hint="eastAsia" w:ascii="宋体" w:hAnsi="宋体" w:eastAsia="宋体" w:cs="宋体"/>
          <w:color w:val="000000"/>
          <w:kern w:val="0"/>
          <w:sz w:val="24"/>
          <w:szCs w:val="24"/>
        </w:rPr>
        <w:t>年秋季免学费人数达到3623人，金额达到</w:t>
      </w:r>
      <w:r>
        <w:rPr>
          <w:rFonts w:ascii="宋体" w:hAnsi="宋体" w:eastAsia="宋体" w:cs="宋体"/>
          <w:color w:val="000000"/>
          <w:kern w:val="0"/>
          <w:sz w:val="24"/>
          <w:szCs w:val="24"/>
        </w:rPr>
        <w:t>3848000</w:t>
      </w:r>
      <w:r>
        <w:rPr>
          <w:rFonts w:hint="eastAsia" w:ascii="宋体" w:hAnsi="宋体" w:eastAsia="宋体" w:cs="宋体"/>
          <w:color w:val="000000"/>
          <w:kern w:val="0"/>
          <w:sz w:val="24"/>
          <w:szCs w:val="24"/>
        </w:rPr>
        <w:t>元，共181人获得国家助学金补助，金额181000元，均及时足额发放到学生资助卡中。同时有6名学生获得国家奖学金，金额36000元。</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Chars="0" w:right="0" w:rightChars="0"/>
        <w:textAlignment w:val="auto"/>
        <w:outlineLvl w:val="1"/>
        <w:rPr>
          <w:rFonts w:hint="eastAsia"/>
          <w:b/>
          <w:bCs/>
          <w:sz w:val="28"/>
          <w:szCs w:val="28"/>
          <w:lang w:val="en-US" w:eastAsia="zh-CN"/>
        </w:rPr>
      </w:pPr>
      <w:bookmarkStart w:id="9" w:name="_Toc30302"/>
      <w:r>
        <w:rPr>
          <w:rFonts w:hint="eastAsia"/>
          <w:b/>
          <w:bCs/>
          <w:sz w:val="28"/>
          <w:szCs w:val="28"/>
          <w:lang w:val="en-US" w:eastAsia="zh-CN"/>
        </w:rPr>
        <w:t>4、就业质量</w:t>
      </w:r>
      <w:bookmarkEnd w:id="9"/>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firstLine="480" w:firstLineChars="0"/>
        <w:textAlignment w:val="auto"/>
        <w:outlineLvl w:val="9"/>
        <w:rPr>
          <w:rFonts w:hint="eastAsia"/>
          <w:sz w:val="24"/>
          <w:szCs w:val="24"/>
          <w:lang w:val="en-US" w:eastAsia="zh-CN"/>
        </w:rPr>
      </w:pPr>
      <w:r>
        <w:rPr>
          <w:rFonts w:hint="eastAsia"/>
          <w:sz w:val="24"/>
          <w:szCs w:val="24"/>
          <w:lang w:val="en-US" w:eastAsia="zh-CN"/>
        </w:rPr>
        <w:t>包括分专业就业率、对口就业率、初次就业起薪等数据，升入高等教育比例及与上一年度相比的变化情况。</w:t>
      </w:r>
    </w:p>
    <w:tbl>
      <w:tblPr>
        <w:tblStyle w:val="10"/>
        <w:tblpPr w:leftFromText="180" w:rightFromText="180" w:vertAnchor="text" w:horzAnchor="page" w:tblpX="569" w:tblpY="79"/>
        <w:tblOverlap w:val="never"/>
        <w:tblW w:w="9860" w:type="dxa"/>
        <w:tblInd w:w="0" w:type="dxa"/>
        <w:tblLayout w:type="autofit"/>
        <w:tblCellMar>
          <w:top w:w="0" w:type="dxa"/>
          <w:left w:w="0" w:type="dxa"/>
          <w:bottom w:w="0" w:type="dxa"/>
          <w:right w:w="0" w:type="dxa"/>
        </w:tblCellMar>
      </w:tblPr>
      <w:tblGrid>
        <w:gridCol w:w="34"/>
        <w:gridCol w:w="822"/>
        <w:gridCol w:w="822"/>
        <w:gridCol w:w="1019"/>
        <w:gridCol w:w="1052"/>
        <w:gridCol w:w="1052"/>
        <w:gridCol w:w="1025"/>
        <w:gridCol w:w="907"/>
        <w:gridCol w:w="861"/>
        <w:gridCol w:w="1025"/>
        <w:gridCol w:w="1241"/>
      </w:tblGrid>
      <w:tr>
        <w:tblPrEx>
          <w:tblCellMar>
            <w:top w:w="0" w:type="dxa"/>
            <w:left w:w="0" w:type="dxa"/>
            <w:bottom w:w="0" w:type="dxa"/>
            <w:right w:w="0" w:type="dxa"/>
          </w:tblCellMar>
        </w:tblPrEx>
        <w:trPr>
          <w:trHeight w:val="490" w:hRule="atLeast"/>
        </w:trPr>
        <w:tc>
          <w:tcPr>
            <w:tcW w:w="9860" w:type="dxa"/>
            <w:gridSpan w:val="11"/>
            <w:tcBorders>
              <w:top w:val="nil"/>
              <w:left w:val="nil"/>
              <w:bottom w:val="nil"/>
              <w:right w:val="nil"/>
            </w:tcBorders>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6"/>
                <w:szCs w:val="36"/>
                <w:u w:val="none"/>
              </w:rPr>
            </w:pPr>
            <w:r>
              <w:rPr>
                <w:rFonts w:hint="eastAsia" w:ascii="宋体" w:hAnsi="宋体" w:eastAsia="宋体" w:cs="宋体"/>
                <w:i w:val="0"/>
                <w:color w:val="000000"/>
                <w:kern w:val="0"/>
                <w:sz w:val="36"/>
                <w:szCs w:val="36"/>
                <w:u w:val="none"/>
                <w:lang w:val="en-US" w:eastAsia="zh-CN" w:bidi="ar"/>
              </w:rPr>
              <w:t>20</w:t>
            </w:r>
            <w:r>
              <w:rPr>
                <w:rFonts w:hint="eastAsia" w:ascii="宋体" w:hAnsi="宋体" w:cs="宋体"/>
                <w:i w:val="0"/>
                <w:color w:val="000000"/>
                <w:kern w:val="0"/>
                <w:sz w:val="36"/>
                <w:szCs w:val="36"/>
                <w:u w:val="none"/>
                <w:lang w:val="en-US" w:eastAsia="zh-CN" w:bidi="ar"/>
              </w:rPr>
              <w:t>20</w:t>
            </w:r>
            <w:r>
              <w:rPr>
                <w:rFonts w:hint="eastAsia" w:ascii="宋体" w:hAnsi="宋体" w:eastAsia="宋体" w:cs="宋体"/>
                <w:i w:val="0"/>
                <w:color w:val="000000"/>
                <w:kern w:val="0"/>
                <w:sz w:val="36"/>
                <w:szCs w:val="36"/>
                <w:u w:val="none"/>
                <w:lang w:val="en-US" w:eastAsia="zh-CN" w:bidi="ar"/>
              </w:rPr>
              <w:t>年就业质量分析表</w:t>
            </w:r>
          </w:p>
        </w:tc>
      </w:tr>
      <w:tr>
        <w:tblPrEx>
          <w:tblCellMar>
            <w:top w:w="0" w:type="dxa"/>
            <w:left w:w="0" w:type="dxa"/>
            <w:bottom w:w="0" w:type="dxa"/>
            <w:right w:w="0" w:type="dxa"/>
          </w:tblCellMar>
        </w:tblPrEx>
        <w:trPr>
          <w:trHeight w:val="315" w:hRule="atLeast"/>
        </w:trPr>
        <w:tc>
          <w:tcPr>
            <w:tcW w:w="34" w:type="dxa"/>
            <w:tcBorders>
              <w:top w:val="nil"/>
              <w:left w:val="nil"/>
              <w:bottom w:val="nil"/>
              <w:right w:val="nil"/>
            </w:tcBorders>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822" w:type="dxa"/>
            <w:vMerge w:val="restart"/>
            <w:tcBorders>
              <w:top w:val="single" w:color="000000" w:sz="8" w:space="0"/>
              <w:left w:val="single" w:color="000000" w:sz="8" w:space="0"/>
              <w:bottom w:val="single" w:color="000000" w:sz="8" w:space="0"/>
              <w:right w:val="single" w:color="000000" w:sz="8" w:space="0"/>
            </w:tcBorders>
            <w:noWrap w:val="0"/>
            <w:tcMar>
              <w:top w:w="10" w:type="dxa"/>
              <w:left w:w="10" w:type="dxa"/>
              <w:right w:w="10"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序号</w:t>
            </w:r>
          </w:p>
        </w:tc>
        <w:tc>
          <w:tcPr>
            <w:tcW w:w="822" w:type="dxa"/>
            <w:vMerge w:val="restart"/>
            <w:tcBorders>
              <w:top w:val="single" w:color="000000" w:sz="8" w:space="0"/>
              <w:left w:val="nil"/>
              <w:bottom w:val="single" w:color="000000" w:sz="8" w:space="0"/>
              <w:right w:val="single" w:color="000000" w:sz="8" w:space="0"/>
            </w:tcBorders>
            <w:noWrap w:val="0"/>
            <w:tcMar>
              <w:top w:w="10" w:type="dxa"/>
              <w:left w:w="10" w:type="dxa"/>
              <w:right w:w="10"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专     业</w:t>
            </w:r>
          </w:p>
        </w:tc>
        <w:tc>
          <w:tcPr>
            <w:tcW w:w="2071" w:type="dxa"/>
            <w:gridSpan w:val="2"/>
            <w:tcBorders>
              <w:top w:val="single" w:color="000000" w:sz="8" w:space="0"/>
              <w:left w:val="nil"/>
              <w:bottom w:val="single" w:color="000000" w:sz="8" w:space="0"/>
              <w:right w:val="single" w:color="000000" w:sz="8" w:space="0"/>
            </w:tcBorders>
            <w:noWrap w:val="0"/>
            <w:tcMar>
              <w:top w:w="10" w:type="dxa"/>
              <w:left w:w="10" w:type="dxa"/>
              <w:right w:w="10"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就业率</w:t>
            </w:r>
          </w:p>
        </w:tc>
        <w:tc>
          <w:tcPr>
            <w:tcW w:w="2077" w:type="dxa"/>
            <w:gridSpan w:val="2"/>
            <w:tcBorders>
              <w:top w:val="single" w:color="000000" w:sz="8" w:space="0"/>
              <w:left w:val="nil"/>
              <w:bottom w:val="single" w:color="000000" w:sz="8" w:space="0"/>
              <w:right w:val="single" w:color="000000" w:sz="8" w:space="0"/>
            </w:tcBorders>
            <w:noWrap w:val="0"/>
            <w:tcMar>
              <w:top w:w="10" w:type="dxa"/>
              <w:left w:w="10" w:type="dxa"/>
              <w:right w:w="10"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对口就业率</w:t>
            </w:r>
          </w:p>
        </w:tc>
        <w:tc>
          <w:tcPr>
            <w:tcW w:w="1768" w:type="dxa"/>
            <w:gridSpan w:val="2"/>
            <w:tcBorders>
              <w:top w:val="single" w:color="000000" w:sz="8" w:space="0"/>
              <w:left w:val="nil"/>
              <w:bottom w:val="single" w:color="000000" w:sz="8" w:space="0"/>
              <w:right w:val="single" w:color="000000" w:sz="8" w:space="0"/>
            </w:tcBorders>
            <w:noWrap w:val="0"/>
            <w:tcMar>
              <w:top w:w="10" w:type="dxa"/>
              <w:left w:w="10" w:type="dxa"/>
              <w:right w:w="10"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初次就业月收入</w:t>
            </w:r>
          </w:p>
        </w:tc>
        <w:tc>
          <w:tcPr>
            <w:tcW w:w="2266" w:type="dxa"/>
            <w:gridSpan w:val="2"/>
            <w:tcBorders>
              <w:top w:val="single" w:color="000000" w:sz="8" w:space="0"/>
              <w:left w:val="nil"/>
              <w:bottom w:val="single" w:color="000000" w:sz="8" w:space="0"/>
              <w:right w:val="single" w:color="000000" w:sz="8" w:space="0"/>
            </w:tcBorders>
            <w:noWrap w:val="0"/>
            <w:tcMar>
              <w:top w:w="10" w:type="dxa"/>
              <w:left w:w="10" w:type="dxa"/>
              <w:right w:w="10"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升入高校比例</w:t>
            </w:r>
          </w:p>
        </w:tc>
      </w:tr>
      <w:tr>
        <w:tblPrEx>
          <w:tblCellMar>
            <w:top w:w="0" w:type="dxa"/>
            <w:left w:w="0" w:type="dxa"/>
            <w:bottom w:w="0" w:type="dxa"/>
            <w:right w:w="0" w:type="dxa"/>
          </w:tblCellMar>
        </w:tblPrEx>
        <w:trPr>
          <w:trHeight w:val="315" w:hRule="atLeast"/>
        </w:trPr>
        <w:tc>
          <w:tcPr>
            <w:tcW w:w="34" w:type="dxa"/>
            <w:tcBorders>
              <w:top w:val="nil"/>
              <w:left w:val="nil"/>
              <w:bottom w:val="nil"/>
              <w:right w:val="nil"/>
            </w:tcBorders>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822" w:type="dxa"/>
            <w:vMerge w:val="continue"/>
            <w:tcBorders>
              <w:top w:val="single" w:color="000000" w:sz="8" w:space="0"/>
              <w:left w:val="single" w:color="000000" w:sz="8" w:space="0"/>
              <w:bottom w:val="single" w:color="000000" w:sz="8" w:space="0"/>
              <w:right w:val="single" w:color="000000" w:sz="8" w:space="0"/>
            </w:tcBorders>
            <w:noWrap w:val="0"/>
            <w:tcMar>
              <w:top w:w="10" w:type="dxa"/>
              <w:left w:w="10" w:type="dxa"/>
              <w:right w:w="10" w:type="dxa"/>
            </w:tcMar>
            <w:vAlign w:val="top"/>
          </w:tcPr>
          <w:p>
            <w:pPr>
              <w:jc w:val="center"/>
              <w:rPr>
                <w:rFonts w:hint="eastAsia" w:ascii="宋体" w:hAnsi="宋体" w:eastAsia="宋体" w:cs="宋体"/>
                <w:i w:val="0"/>
                <w:color w:val="000000"/>
                <w:sz w:val="24"/>
                <w:szCs w:val="24"/>
                <w:u w:val="none"/>
              </w:rPr>
            </w:pPr>
          </w:p>
        </w:tc>
        <w:tc>
          <w:tcPr>
            <w:tcW w:w="822" w:type="dxa"/>
            <w:vMerge w:val="continue"/>
            <w:tcBorders>
              <w:top w:val="single" w:color="000000" w:sz="8" w:space="0"/>
              <w:left w:val="nil"/>
              <w:bottom w:val="single" w:color="000000" w:sz="8" w:space="0"/>
              <w:right w:val="single" w:color="000000" w:sz="8" w:space="0"/>
            </w:tcBorders>
            <w:noWrap w:val="0"/>
            <w:tcMar>
              <w:top w:w="10" w:type="dxa"/>
              <w:left w:w="10" w:type="dxa"/>
              <w:right w:w="10" w:type="dxa"/>
            </w:tcMar>
            <w:vAlign w:val="top"/>
          </w:tcPr>
          <w:p>
            <w:pPr>
              <w:jc w:val="center"/>
              <w:rPr>
                <w:rFonts w:hint="eastAsia" w:ascii="宋体" w:hAnsi="宋体" w:eastAsia="宋体" w:cs="宋体"/>
                <w:i w:val="0"/>
                <w:color w:val="000000"/>
                <w:sz w:val="24"/>
                <w:szCs w:val="24"/>
                <w:u w:val="none"/>
              </w:rPr>
            </w:pPr>
          </w:p>
        </w:tc>
        <w:tc>
          <w:tcPr>
            <w:tcW w:w="1019" w:type="dxa"/>
            <w:tcBorders>
              <w:top w:val="nil"/>
              <w:left w:val="nil"/>
              <w:bottom w:val="single" w:color="000000" w:sz="8" w:space="0"/>
              <w:right w:val="single" w:color="000000" w:sz="8" w:space="0"/>
            </w:tcBorders>
            <w:noWrap w:val="0"/>
            <w:tcMar>
              <w:top w:w="10" w:type="dxa"/>
              <w:left w:w="10" w:type="dxa"/>
              <w:right w:w="10"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201</w:t>
            </w:r>
            <w:r>
              <w:rPr>
                <w:rFonts w:hint="eastAsia" w:ascii="宋体" w:hAnsi="宋体" w:cs="宋体"/>
                <w:i w:val="0"/>
                <w:color w:val="000000"/>
                <w:kern w:val="0"/>
                <w:sz w:val="24"/>
                <w:szCs w:val="24"/>
                <w:u w:val="none"/>
                <w:lang w:val="en-US" w:eastAsia="zh-CN" w:bidi="ar"/>
              </w:rPr>
              <w:t>9</w:t>
            </w:r>
            <w:r>
              <w:rPr>
                <w:rFonts w:hint="eastAsia" w:ascii="宋体" w:hAnsi="宋体" w:eastAsia="宋体" w:cs="宋体"/>
                <w:i w:val="0"/>
                <w:color w:val="000000"/>
                <w:kern w:val="0"/>
                <w:sz w:val="24"/>
                <w:szCs w:val="24"/>
                <w:u w:val="none"/>
                <w:lang w:val="en-US" w:eastAsia="zh-CN" w:bidi="ar"/>
              </w:rPr>
              <w:t>年</w:t>
            </w:r>
          </w:p>
        </w:tc>
        <w:tc>
          <w:tcPr>
            <w:tcW w:w="1052" w:type="dxa"/>
            <w:tcBorders>
              <w:top w:val="nil"/>
              <w:left w:val="nil"/>
              <w:bottom w:val="single" w:color="000000" w:sz="8" w:space="0"/>
              <w:right w:val="single" w:color="000000" w:sz="8" w:space="0"/>
            </w:tcBorders>
            <w:noWrap w:val="0"/>
            <w:tcMar>
              <w:top w:w="10" w:type="dxa"/>
              <w:left w:w="10" w:type="dxa"/>
              <w:right w:w="10"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w:t>
            </w:r>
            <w:r>
              <w:rPr>
                <w:rFonts w:hint="eastAsia" w:ascii="宋体" w:hAnsi="宋体" w:cs="宋体"/>
                <w:i w:val="0"/>
                <w:color w:val="000000"/>
                <w:kern w:val="0"/>
                <w:sz w:val="24"/>
                <w:szCs w:val="24"/>
                <w:u w:val="none"/>
                <w:lang w:val="en-US" w:eastAsia="zh-CN" w:bidi="ar"/>
              </w:rPr>
              <w:t>20</w:t>
            </w:r>
            <w:r>
              <w:rPr>
                <w:rFonts w:hint="eastAsia" w:ascii="宋体" w:hAnsi="宋体" w:eastAsia="宋体" w:cs="宋体"/>
                <w:i w:val="0"/>
                <w:color w:val="000000"/>
                <w:kern w:val="0"/>
                <w:sz w:val="24"/>
                <w:szCs w:val="24"/>
                <w:u w:val="none"/>
                <w:lang w:val="en-US" w:eastAsia="zh-CN" w:bidi="ar"/>
              </w:rPr>
              <w:t>年</w:t>
            </w:r>
          </w:p>
        </w:tc>
        <w:tc>
          <w:tcPr>
            <w:tcW w:w="1052" w:type="dxa"/>
            <w:tcBorders>
              <w:top w:val="nil"/>
              <w:left w:val="nil"/>
              <w:bottom w:val="single" w:color="000000" w:sz="8" w:space="0"/>
              <w:right w:val="single" w:color="000000" w:sz="8" w:space="0"/>
            </w:tcBorders>
            <w:noWrap w:val="0"/>
            <w:tcMar>
              <w:top w:w="10" w:type="dxa"/>
              <w:left w:w="10" w:type="dxa"/>
              <w:right w:w="10"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201</w:t>
            </w:r>
            <w:r>
              <w:rPr>
                <w:rFonts w:hint="eastAsia" w:ascii="宋体" w:hAnsi="宋体" w:cs="宋体"/>
                <w:i w:val="0"/>
                <w:color w:val="000000"/>
                <w:kern w:val="0"/>
                <w:sz w:val="24"/>
                <w:szCs w:val="24"/>
                <w:u w:val="none"/>
                <w:lang w:val="en-US" w:eastAsia="zh-CN" w:bidi="ar"/>
              </w:rPr>
              <w:t>9</w:t>
            </w:r>
            <w:r>
              <w:rPr>
                <w:rFonts w:hint="eastAsia" w:ascii="宋体" w:hAnsi="宋体" w:eastAsia="宋体" w:cs="宋体"/>
                <w:i w:val="0"/>
                <w:color w:val="000000"/>
                <w:kern w:val="0"/>
                <w:sz w:val="24"/>
                <w:szCs w:val="24"/>
                <w:u w:val="none"/>
                <w:lang w:val="en-US" w:eastAsia="zh-CN" w:bidi="ar"/>
              </w:rPr>
              <w:t>年</w:t>
            </w:r>
          </w:p>
        </w:tc>
        <w:tc>
          <w:tcPr>
            <w:tcW w:w="1025" w:type="dxa"/>
            <w:tcBorders>
              <w:top w:val="nil"/>
              <w:left w:val="nil"/>
              <w:bottom w:val="single" w:color="000000" w:sz="8" w:space="0"/>
              <w:right w:val="single" w:color="000000" w:sz="8" w:space="0"/>
            </w:tcBorders>
            <w:noWrap w:val="0"/>
            <w:tcMar>
              <w:top w:w="10" w:type="dxa"/>
              <w:left w:w="10" w:type="dxa"/>
              <w:right w:w="10"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w:t>
            </w:r>
            <w:r>
              <w:rPr>
                <w:rFonts w:hint="eastAsia" w:ascii="宋体" w:hAnsi="宋体" w:cs="宋体"/>
                <w:i w:val="0"/>
                <w:color w:val="000000"/>
                <w:kern w:val="0"/>
                <w:sz w:val="24"/>
                <w:szCs w:val="24"/>
                <w:u w:val="none"/>
                <w:lang w:val="en-US" w:eastAsia="zh-CN" w:bidi="ar"/>
              </w:rPr>
              <w:t>20</w:t>
            </w:r>
            <w:r>
              <w:rPr>
                <w:rFonts w:hint="eastAsia" w:ascii="宋体" w:hAnsi="宋体" w:eastAsia="宋体" w:cs="宋体"/>
                <w:i w:val="0"/>
                <w:color w:val="000000"/>
                <w:kern w:val="0"/>
                <w:sz w:val="24"/>
                <w:szCs w:val="24"/>
                <w:u w:val="none"/>
                <w:lang w:val="en-US" w:eastAsia="zh-CN" w:bidi="ar"/>
              </w:rPr>
              <w:t>年</w:t>
            </w:r>
          </w:p>
        </w:tc>
        <w:tc>
          <w:tcPr>
            <w:tcW w:w="907" w:type="dxa"/>
            <w:tcBorders>
              <w:top w:val="single" w:color="000000" w:sz="8" w:space="0"/>
              <w:left w:val="nil"/>
              <w:bottom w:val="single" w:color="000000" w:sz="8" w:space="0"/>
              <w:right w:val="single" w:color="000000" w:sz="8" w:space="0"/>
            </w:tcBorders>
            <w:noWrap w:val="0"/>
            <w:tcMar>
              <w:top w:w="10" w:type="dxa"/>
              <w:left w:w="10" w:type="dxa"/>
              <w:right w:w="10"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w:t>
            </w:r>
            <w:r>
              <w:rPr>
                <w:rFonts w:hint="eastAsia" w:ascii="宋体" w:hAnsi="宋体" w:cs="宋体"/>
                <w:i w:val="0"/>
                <w:color w:val="000000"/>
                <w:kern w:val="0"/>
                <w:sz w:val="24"/>
                <w:szCs w:val="24"/>
                <w:u w:val="none"/>
                <w:lang w:val="en-US" w:eastAsia="zh-CN" w:bidi="ar"/>
              </w:rPr>
              <w:t>19</w:t>
            </w:r>
            <w:r>
              <w:rPr>
                <w:rFonts w:hint="eastAsia" w:ascii="宋体" w:hAnsi="宋体" w:eastAsia="宋体" w:cs="宋体"/>
                <w:i w:val="0"/>
                <w:color w:val="000000"/>
                <w:kern w:val="0"/>
                <w:sz w:val="24"/>
                <w:szCs w:val="24"/>
                <w:u w:val="none"/>
                <w:lang w:val="en-US" w:eastAsia="zh-CN" w:bidi="ar"/>
              </w:rPr>
              <w:t>年</w:t>
            </w:r>
          </w:p>
        </w:tc>
        <w:tc>
          <w:tcPr>
            <w:tcW w:w="861" w:type="dxa"/>
            <w:tcBorders>
              <w:top w:val="single" w:color="000000" w:sz="8" w:space="0"/>
              <w:left w:val="nil"/>
              <w:bottom w:val="single" w:color="000000" w:sz="8" w:space="0"/>
              <w:right w:val="single" w:color="000000" w:sz="8" w:space="0"/>
            </w:tcBorders>
            <w:noWrap w:val="0"/>
            <w:tcMar>
              <w:top w:w="10" w:type="dxa"/>
              <w:left w:w="10" w:type="dxa"/>
              <w:right w:w="10"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w:t>
            </w:r>
            <w:r>
              <w:rPr>
                <w:rFonts w:hint="eastAsia" w:ascii="宋体" w:hAnsi="宋体" w:cs="宋体"/>
                <w:i w:val="0"/>
                <w:color w:val="000000"/>
                <w:kern w:val="0"/>
                <w:sz w:val="24"/>
                <w:szCs w:val="24"/>
                <w:u w:val="none"/>
                <w:lang w:val="en-US" w:eastAsia="zh-CN" w:bidi="ar"/>
              </w:rPr>
              <w:t>20</w:t>
            </w:r>
            <w:r>
              <w:rPr>
                <w:rFonts w:hint="eastAsia" w:ascii="宋体" w:hAnsi="宋体" w:eastAsia="宋体" w:cs="宋体"/>
                <w:i w:val="0"/>
                <w:color w:val="000000"/>
                <w:kern w:val="0"/>
                <w:sz w:val="24"/>
                <w:szCs w:val="24"/>
                <w:u w:val="none"/>
                <w:lang w:val="en-US" w:eastAsia="zh-CN" w:bidi="ar"/>
              </w:rPr>
              <w:t>年</w:t>
            </w:r>
          </w:p>
        </w:tc>
        <w:tc>
          <w:tcPr>
            <w:tcW w:w="1025" w:type="dxa"/>
            <w:tcBorders>
              <w:top w:val="single" w:color="000000" w:sz="8" w:space="0"/>
              <w:left w:val="nil"/>
              <w:bottom w:val="single" w:color="000000" w:sz="8" w:space="0"/>
              <w:right w:val="single" w:color="000000" w:sz="8" w:space="0"/>
            </w:tcBorders>
            <w:noWrap w:val="0"/>
            <w:tcMar>
              <w:top w:w="10" w:type="dxa"/>
              <w:left w:w="10" w:type="dxa"/>
              <w:right w:w="10"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w:t>
            </w:r>
            <w:r>
              <w:rPr>
                <w:rFonts w:hint="eastAsia" w:ascii="宋体" w:hAnsi="宋体" w:cs="宋体"/>
                <w:i w:val="0"/>
                <w:color w:val="000000"/>
                <w:kern w:val="0"/>
                <w:sz w:val="24"/>
                <w:szCs w:val="24"/>
                <w:u w:val="none"/>
                <w:lang w:val="en-US" w:eastAsia="zh-CN" w:bidi="ar"/>
              </w:rPr>
              <w:t>19</w:t>
            </w:r>
            <w:r>
              <w:rPr>
                <w:rFonts w:hint="eastAsia" w:ascii="宋体" w:hAnsi="宋体" w:eastAsia="宋体" w:cs="宋体"/>
                <w:i w:val="0"/>
                <w:color w:val="000000"/>
                <w:kern w:val="0"/>
                <w:sz w:val="24"/>
                <w:szCs w:val="24"/>
                <w:u w:val="none"/>
                <w:lang w:val="en-US" w:eastAsia="zh-CN" w:bidi="ar"/>
              </w:rPr>
              <w:t>年</w:t>
            </w:r>
          </w:p>
        </w:tc>
        <w:tc>
          <w:tcPr>
            <w:tcW w:w="1241" w:type="dxa"/>
            <w:tcBorders>
              <w:top w:val="single" w:color="000000" w:sz="8" w:space="0"/>
              <w:left w:val="nil"/>
              <w:bottom w:val="single" w:color="000000" w:sz="8" w:space="0"/>
              <w:right w:val="single" w:color="000000" w:sz="8" w:space="0"/>
            </w:tcBorders>
            <w:noWrap w:val="0"/>
            <w:tcMar>
              <w:top w:w="10" w:type="dxa"/>
              <w:left w:w="10" w:type="dxa"/>
              <w:right w:w="10"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w:t>
            </w:r>
            <w:r>
              <w:rPr>
                <w:rFonts w:hint="eastAsia" w:ascii="宋体" w:hAnsi="宋体" w:cs="宋体"/>
                <w:i w:val="0"/>
                <w:color w:val="000000"/>
                <w:kern w:val="0"/>
                <w:sz w:val="24"/>
                <w:szCs w:val="24"/>
                <w:u w:val="none"/>
                <w:lang w:val="en-US" w:eastAsia="zh-CN" w:bidi="ar"/>
              </w:rPr>
              <w:t>20</w:t>
            </w:r>
            <w:r>
              <w:rPr>
                <w:rFonts w:hint="eastAsia" w:ascii="宋体" w:hAnsi="宋体" w:eastAsia="宋体" w:cs="宋体"/>
                <w:i w:val="0"/>
                <w:color w:val="000000"/>
                <w:kern w:val="0"/>
                <w:sz w:val="24"/>
                <w:szCs w:val="24"/>
                <w:u w:val="none"/>
                <w:lang w:val="en-US" w:eastAsia="zh-CN" w:bidi="ar"/>
              </w:rPr>
              <w:t>年</w:t>
            </w:r>
          </w:p>
        </w:tc>
      </w:tr>
      <w:tr>
        <w:tblPrEx>
          <w:tblCellMar>
            <w:top w:w="0" w:type="dxa"/>
            <w:left w:w="0" w:type="dxa"/>
            <w:bottom w:w="0" w:type="dxa"/>
            <w:right w:w="0" w:type="dxa"/>
          </w:tblCellMar>
        </w:tblPrEx>
        <w:trPr>
          <w:trHeight w:val="615" w:hRule="atLeast"/>
        </w:trPr>
        <w:tc>
          <w:tcPr>
            <w:tcW w:w="34" w:type="dxa"/>
            <w:tcBorders>
              <w:top w:val="nil"/>
              <w:left w:val="nil"/>
              <w:bottom w:val="nil"/>
              <w:right w:val="nil"/>
            </w:tcBorders>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822" w:type="dxa"/>
            <w:tcBorders>
              <w:top w:val="nil"/>
              <w:left w:val="single" w:color="000000" w:sz="8" w:space="0"/>
              <w:bottom w:val="single" w:color="000000" w:sz="8" w:space="0"/>
              <w:right w:val="single" w:color="000000" w:sz="8" w:space="0"/>
            </w:tcBorders>
            <w:noWrap w:val="0"/>
            <w:tcMar>
              <w:top w:w="10" w:type="dxa"/>
              <w:left w:w="10" w:type="dxa"/>
              <w:right w:w="10"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822" w:type="dxa"/>
            <w:tcBorders>
              <w:top w:val="nil"/>
              <w:left w:val="nil"/>
              <w:bottom w:val="single" w:color="000000" w:sz="8" w:space="0"/>
              <w:right w:val="single" w:color="000000" w:sz="8" w:space="0"/>
            </w:tcBorders>
            <w:noWrap w:val="0"/>
            <w:tcMar>
              <w:top w:w="10" w:type="dxa"/>
              <w:left w:w="10" w:type="dxa"/>
              <w:right w:w="10"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工艺美术</w:t>
            </w:r>
          </w:p>
        </w:tc>
        <w:tc>
          <w:tcPr>
            <w:tcW w:w="1019" w:type="dxa"/>
            <w:tcBorders>
              <w:top w:val="single" w:color="000000" w:sz="8" w:space="0"/>
              <w:left w:val="single" w:color="000000" w:sz="8" w:space="0"/>
              <w:bottom w:val="single" w:color="000000" w:sz="8" w:space="0"/>
              <w:right w:val="single" w:color="000000" w:sz="8" w:space="0"/>
            </w:tcBorders>
            <w:noWrap w:val="0"/>
            <w:tcMar>
              <w:top w:w="10" w:type="dxa"/>
              <w:left w:w="10" w:type="dxa"/>
              <w:right w:w="10"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99.00%</w:t>
            </w:r>
          </w:p>
        </w:tc>
        <w:tc>
          <w:tcPr>
            <w:tcW w:w="1052" w:type="dxa"/>
            <w:tcBorders>
              <w:top w:val="nil"/>
              <w:left w:val="nil"/>
              <w:bottom w:val="single" w:color="000000" w:sz="8" w:space="0"/>
              <w:right w:val="single" w:color="000000" w:sz="8" w:space="0"/>
            </w:tcBorders>
            <w:noWrap w:val="0"/>
            <w:tcMar>
              <w:top w:w="10" w:type="dxa"/>
              <w:left w:w="10" w:type="dxa"/>
              <w:right w:w="10"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99.00%</w:t>
            </w:r>
          </w:p>
        </w:tc>
        <w:tc>
          <w:tcPr>
            <w:tcW w:w="1052" w:type="dxa"/>
            <w:tcBorders>
              <w:top w:val="single" w:color="000000" w:sz="8" w:space="0"/>
              <w:left w:val="single" w:color="000000" w:sz="8" w:space="0"/>
              <w:bottom w:val="single" w:color="000000" w:sz="8" w:space="0"/>
              <w:right w:val="single" w:color="000000" w:sz="8" w:space="0"/>
            </w:tcBorders>
            <w:noWrap w:val="0"/>
            <w:tcMar>
              <w:top w:w="10" w:type="dxa"/>
              <w:left w:w="10" w:type="dxa"/>
              <w:right w:w="10"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94.</w:t>
            </w:r>
            <w:r>
              <w:rPr>
                <w:rFonts w:hint="eastAsia" w:ascii="宋体" w:hAnsi="宋体" w:cs="宋体"/>
                <w:i w:val="0"/>
                <w:color w:val="000000"/>
                <w:kern w:val="0"/>
                <w:sz w:val="24"/>
                <w:szCs w:val="24"/>
                <w:u w:val="none"/>
                <w:lang w:val="en-US" w:eastAsia="zh-CN" w:bidi="ar"/>
              </w:rPr>
              <w:t>6</w:t>
            </w:r>
            <w:r>
              <w:rPr>
                <w:rFonts w:hint="eastAsia" w:ascii="宋体" w:hAnsi="宋体" w:eastAsia="宋体" w:cs="宋体"/>
                <w:i w:val="0"/>
                <w:color w:val="000000"/>
                <w:kern w:val="0"/>
                <w:sz w:val="24"/>
                <w:szCs w:val="24"/>
                <w:u w:val="none"/>
                <w:lang w:val="en-US" w:eastAsia="zh-CN" w:bidi="ar"/>
              </w:rPr>
              <w:t>0%</w:t>
            </w:r>
          </w:p>
        </w:tc>
        <w:tc>
          <w:tcPr>
            <w:tcW w:w="1025" w:type="dxa"/>
            <w:tcBorders>
              <w:top w:val="nil"/>
              <w:left w:val="nil"/>
              <w:bottom w:val="single" w:color="000000" w:sz="8" w:space="0"/>
              <w:right w:val="single" w:color="000000" w:sz="8" w:space="0"/>
            </w:tcBorders>
            <w:noWrap w:val="0"/>
            <w:tcMar>
              <w:top w:w="10" w:type="dxa"/>
              <w:left w:w="10" w:type="dxa"/>
              <w:right w:w="10" w:type="dxa"/>
            </w:tcMar>
            <w:vAlign w:val="top"/>
          </w:tcPr>
          <w:p>
            <w:pPr>
              <w:keepNext w:val="0"/>
              <w:keepLines w:val="0"/>
              <w:widowControl/>
              <w:suppressLineNumbers w:val="0"/>
              <w:jc w:val="center"/>
              <w:textAlignment w:val="top"/>
              <w:rPr>
                <w:rFonts w:hint="default"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94.7%</w:t>
            </w:r>
          </w:p>
        </w:tc>
        <w:tc>
          <w:tcPr>
            <w:tcW w:w="907" w:type="dxa"/>
            <w:tcBorders>
              <w:top w:val="single" w:color="000000" w:sz="8" w:space="0"/>
              <w:left w:val="single" w:color="000000" w:sz="8" w:space="0"/>
              <w:bottom w:val="single" w:color="000000" w:sz="8" w:space="0"/>
              <w:right w:val="single" w:color="000000" w:sz="8" w:space="0"/>
            </w:tcBorders>
            <w:noWrap w:val="0"/>
            <w:tcMar>
              <w:top w:w="10" w:type="dxa"/>
              <w:left w:w="10" w:type="dxa"/>
              <w:right w:w="10" w:type="dxa"/>
            </w:tcMar>
            <w:vAlign w:val="top"/>
          </w:tcPr>
          <w:p>
            <w:pPr>
              <w:keepNext w:val="0"/>
              <w:keepLines w:val="0"/>
              <w:widowControl/>
              <w:suppressLineNumbers w:val="0"/>
              <w:jc w:val="center"/>
              <w:textAlignment w:val="top"/>
              <w:rPr>
                <w:rFonts w:hint="default" w:ascii="宋体" w:hAnsi="宋体" w:eastAsia="宋体" w:cs="宋体"/>
                <w:i w:val="0"/>
                <w:color w:val="000000"/>
                <w:sz w:val="24"/>
                <w:szCs w:val="24"/>
                <w:u w:val="none"/>
                <w:lang w:val="en-US"/>
              </w:rPr>
            </w:pPr>
            <w:r>
              <w:rPr>
                <w:rFonts w:hint="eastAsia" w:ascii="宋体" w:hAnsi="宋体" w:eastAsia="宋体" w:cs="宋体"/>
                <w:i w:val="0"/>
                <w:color w:val="000000"/>
                <w:kern w:val="0"/>
                <w:sz w:val="24"/>
                <w:szCs w:val="24"/>
                <w:u w:val="none"/>
                <w:lang w:val="en-US" w:eastAsia="zh-CN" w:bidi="ar"/>
              </w:rPr>
              <w:t>13</w:t>
            </w:r>
            <w:r>
              <w:rPr>
                <w:rFonts w:hint="eastAsia" w:ascii="宋体" w:hAnsi="宋体" w:cs="宋体"/>
                <w:i w:val="0"/>
                <w:color w:val="000000"/>
                <w:kern w:val="0"/>
                <w:sz w:val="24"/>
                <w:szCs w:val="24"/>
                <w:u w:val="none"/>
                <w:lang w:val="en-US" w:eastAsia="zh-CN" w:bidi="ar"/>
              </w:rPr>
              <w:t>20</w:t>
            </w:r>
          </w:p>
        </w:tc>
        <w:tc>
          <w:tcPr>
            <w:tcW w:w="861" w:type="dxa"/>
            <w:tcBorders>
              <w:top w:val="nil"/>
              <w:left w:val="nil"/>
              <w:bottom w:val="single" w:color="000000" w:sz="8" w:space="0"/>
              <w:right w:val="single" w:color="000000" w:sz="8" w:space="0"/>
            </w:tcBorders>
            <w:noWrap w:val="0"/>
            <w:tcMar>
              <w:top w:w="10" w:type="dxa"/>
              <w:left w:w="10" w:type="dxa"/>
              <w:right w:w="10" w:type="dxa"/>
            </w:tcMar>
            <w:vAlign w:val="top"/>
          </w:tcPr>
          <w:p>
            <w:pPr>
              <w:keepNext w:val="0"/>
              <w:keepLines w:val="0"/>
              <w:widowControl/>
              <w:suppressLineNumbers w:val="0"/>
              <w:jc w:val="center"/>
              <w:textAlignment w:val="top"/>
              <w:rPr>
                <w:rFonts w:hint="default"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1330</w:t>
            </w:r>
          </w:p>
        </w:tc>
        <w:tc>
          <w:tcPr>
            <w:tcW w:w="1025" w:type="dxa"/>
            <w:tcBorders>
              <w:top w:val="single" w:color="000000" w:sz="8" w:space="0"/>
              <w:left w:val="single" w:color="000000" w:sz="8" w:space="0"/>
              <w:bottom w:val="single" w:color="000000" w:sz="8" w:space="0"/>
              <w:right w:val="single" w:color="000000" w:sz="8" w:space="0"/>
            </w:tcBorders>
            <w:noWrap w:val="0"/>
            <w:tcMar>
              <w:top w:w="10" w:type="dxa"/>
              <w:left w:w="10" w:type="dxa"/>
              <w:right w:w="10"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91.87%</w:t>
            </w:r>
          </w:p>
        </w:tc>
        <w:tc>
          <w:tcPr>
            <w:tcW w:w="1241" w:type="dxa"/>
            <w:tcBorders>
              <w:top w:val="nil"/>
              <w:left w:val="nil"/>
              <w:bottom w:val="single" w:color="000000" w:sz="8" w:space="0"/>
              <w:right w:val="single" w:color="000000" w:sz="8" w:space="0"/>
            </w:tcBorders>
            <w:noWrap w:val="0"/>
            <w:tcMar>
              <w:top w:w="10" w:type="dxa"/>
              <w:left w:w="10" w:type="dxa"/>
              <w:right w:w="10"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100.00%</w:t>
            </w:r>
          </w:p>
        </w:tc>
      </w:tr>
      <w:tr>
        <w:tblPrEx>
          <w:tblCellMar>
            <w:top w:w="0" w:type="dxa"/>
            <w:left w:w="0" w:type="dxa"/>
            <w:bottom w:w="0" w:type="dxa"/>
            <w:right w:w="0" w:type="dxa"/>
          </w:tblCellMar>
        </w:tblPrEx>
        <w:trPr>
          <w:trHeight w:val="480" w:hRule="atLeast"/>
        </w:trPr>
        <w:tc>
          <w:tcPr>
            <w:tcW w:w="34" w:type="dxa"/>
            <w:tcBorders>
              <w:top w:val="nil"/>
              <w:left w:val="nil"/>
              <w:bottom w:val="nil"/>
              <w:right w:val="nil"/>
            </w:tcBorders>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822" w:type="dxa"/>
            <w:tcBorders>
              <w:top w:val="nil"/>
              <w:left w:val="single" w:color="000000" w:sz="8" w:space="0"/>
              <w:bottom w:val="single" w:color="000000" w:sz="8" w:space="0"/>
              <w:right w:val="single" w:color="000000" w:sz="8" w:space="0"/>
            </w:tcBorders>
            <w:noWrap w:val="0"/>
            <w:tcMar>
              <w:top w:w="10" w:type="dxa"/>
              <w:left w:w="10" w:type="dxa"/>
              <w:right w:w="10"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c>
          <w:tcPr>
            <w:tcW w:w="822" w:type="dxa"/>
            <w:tcBorders>
              <w:top w:val="nil"/>
              <w:left w:val="nil"/>
              <w:bottom w:val="single" w:color="000000" w:sz="8" w:space="0"/>
              <w:right w:val="single" w:color="000000" w:sz="8" w:space="0"/>
            </w:tcBorders>
            <w:noWrap w:val="0"/>
            <w:tcMar>
              <w:top w:w="10" w:type="dxa"/>
              <w:left w:w="10" w:type="dxa"/>
              <w:right w:w="10"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数控</w:t>
            </w:r>
          </w:p>
        </w:tc>
        <w:tc>
          <w:tcPr>
            <w:tcW w:w="1019" w:type="dxa"/>
            <w:tcBorders>
              <w:top w:val="nil"/>
              <w:left w:val="single" w:color="000000" w:sz="8" w:space="0"/>
              <w:bottom w:val="single" w:color="000000" w:sz="8" w:space="0"/>
              <w:right w:val="single" w:color="000000" w:sz="8" w:space="0"/>
            </w:tcBorders>
            <w:noWrap w:val="0"/>
            <w:tcMar>
              <w:top w:w="10" w:type="dxa"/>
              <w:left w:w="10" w:type="dxa"/>
              <w:right w:w="10"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100%</w:t>
            </w:r>
          </w:p>
        </w:tc>
        <w:tc>
          <w:tcPr>
            <w:tcW w:w="1052" w:type="dxa"/>
            <w:tcBorders>
              <w:top w:val="nil"/>
              <w:left w:val="nil"/>
              <w:bottom w:val="single" w:color="000000" w:sz="8" w:space="0"/>
              <w:right w:val="single" w:color="000000" w:sz="8" w:space="0"/>
            </w:tcBorders>
            <w:noWrap w:val="0"/>
            <w:tcMar>
              <w:top w:w="10" w:type="dxa"/>
              <w:left w:w="10" w:type="dxa"/>
              <w:right w:w="10"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100%</w:t>
            </w:r>
          </w:p>
        </w:tc>
        <w:tc>
          <w:tcPr>
            <w:tcW w:w="1052" w:type="dxa"/>
            <w:tcBorders>
              <w:top w:val="nil"/>
              <w:left w:val="single" w:color="000000" w:sz="8" w:space="0"/>
              <w:bottom w:val="single" w:color="000000" w:sz="8" w:space="0"/>
              <w:right w:val="single" w:color="000000" w:sz="8" w:space="0"/>
            </w:tcBorders>
            <w:noWrap w:val="0"/>
            <w:tcMar>
              <w:top w:w="10" w:type="dxa"/>
              <w:left w:w="10" w:type="dxa"/>
              <w:right w:w="10"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96.00%</w:t>
            </w:r>
          </w:p>
        </w:tc>
        <w:tc>
          <w:tcPr>
            <w:tcW w:w="1025" w:type="dxa"/>
            <w:tcBorders>
              <w:top w:val="nil"/>
              <w:left w:val="nil"/>
              <w:bottom w:val="single" w:color="000000" w:sz="8" w:space="0"/>
              <w:right w:val="single" w:color="000000" w:sz="8" w:space="0"/>
            </w:tcBorders>
            <w:noWrap w:val="0"/>
            <w:tcMar>
              <w:top w:w="10" w:type="dxa"/>
              <w:left w:w="10" w:type="dxa"/>
              <w:right w:w="10" w:type="dxa"/>
            </w:tcMar>
            <w:vAlign w:val="top"/>
          </w:tcPr>
          <w:p>
            <w:pPr>
              <w:keepNext w:val="0"/>
              <w:keepLines w:val="0"/>
              <w:widowControl/>
              <w:suppressLineNumbers w:val="0"/>
              <w:jc w:val="center"/>
              <w:textAlignment w:val="top"/>
              <w:rPr>
                <w:rFonts w:hint="default"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96.10%</w:t>
            </w:r>
          </w:p>
        </w:tc>
        <w:tc>
          <w:tcPr>
            <w:tcW w:w="907" w:type="dxa"/>
            <w:tcBorders>
              <w:top w:val="nil"/>
              <w:left w:val="single" w:color="000000" w:sz="8" w:space="0"/>
              <w:bottom w:val="single" w:color="000000" w:sz="8" w:space="0"/>
              <w:right w:val="single" w:color="000000" w:sz="8" w:space="0"/>
            </w:tcBorders>
            <w:noWrap w:val="0"/>
            <w:tcMar>
              <w:top w:w="10" w:type="dxa"/>
              <w:left w:w="10" w:type="dxa"/>
              <w:right w:w="10" w:type="dxa"/>
            </w:tcMar>
            <w:vAlign w:val="top"/>
          </w:tcPr>
          <w:p>
            <w:pPr>
              <w:keepNext w:val="0"/>
              <w:keepLines w:val="0"/>
              <w:widowControl/>
              <w:suppressLineNumbers w:val="0"/>
              <w:jc w:val="center"/>
              <w:textAlignment w:val="top"/>
              <w:rPr>
                <w:rFonts w:hint="default" w:ascii="宋体" w:hAnsi="宋体" w:eastAsia="宋体" w:cs="宋体"/>
                <w:i w:val="0"/>
                <w:color w:val="000000"/>
                <w:sz w:val="24"/>
                <w:szCs w:val="24"/>
                <w:u w:val="none"/>
                <w:lang w:val="en-US"/>
              </w:rPr>
            </w:pPr>
            <w:r>
              <w:rPr>
                <w:rFonts w:hint="eastAsia" w:ascii="宋体" w:hAnsi="宋体" w:cs="宋体"/>
                <w:i w:val="0"/>
                <w:color w:val="000000"/>
                <w:kern w:val="0"/>
                <w:sz w:val="24"/>
                <w:szCs w:val="24"/>
                <w:u w:val="none"/>
                <w:lang w:val="en-US" w:eastAsia="zh-CN" w:bidi="ar"/>
              </w:rPr>
              <w:t>1800</w:t>
            </w:r>
          </w:p>
        </w:tc>
        <w:tc>
          <w:tcPr>
            <w:tcW w:w="861" w:type="dxa"/>
            <w:tcBorders>
              <w:top w:val="nil"/>
              <w:left w:val="nil"/>
              <w:bottom w:val="single" w:color="000000" w:sz="8" w:space="0"/>
              <w:right w:val="single" w:color="000000" w:sz="8" w:space="0"/>
            </w:tcBorders>
            <w:noWrap w:val="0"/>
            <w:tcMar>
              <w:top w:w="10" w:type="dxa"/>
              <w:left w:w="10" w:type="dxa"/>
              <w:right w:w="10" w:type="dxa"/>
            </w:tcMar>
            <w:vAlign w:val="top"/>
          </w:tcPr>
          <w:p>
            <w:pPr>
              <w:keepNext w:val="0"/>
              <w:keepLines w:val="0"/>
              <w:widowControl/>
              <w:suppressLineNumbers w:val="0"/>
              <w:jc w:val="center"/>
              <w:textAlignment w:val="top"/>
              <w:rPr>
                <w:rFonts w:hint="default"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1850</w:t>
            </w:r>
          </w:p>
        </w:tc>
        <w:tc>
          <w:tcPr>
            <w:tcW w:w="1025" w:type="dxa"/>
            <w:tcBorders>
              <w:top w:val="nil"/>
              <w:left w:val="single" w:color="000000" w:sz="8" w:space="0"/>
              <w:bottom w:val="single" w:color="000000" w:sz="8" w:space="0"/>
              <w:right w:val="single" w:color="000000" w:sz="8" w:space="0"/>
            </w:tcBorders>
            <w:noWrap w:val="0"/>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100%</w:t>
            </w:r>
          </w:p>
        </w:tc>
        <w:tc>
          <w:tcPr>
            <w:tcW w:w="1241" w:type="dxa"/>
            <w:tcBorders>
              <w:top w:val="nil"/>
              <w:left w:val="nil"/>
              <w:bottom w:val="single" w:color="000000" w:sz="8" w:space="0"/>
              <w:right w:val="single" w:color="000000" w:sz="8" w:space="0"/>
            </w:tcBorders>
            <w:noWrap w:val="0"/>
            <w:tcMar>
              <w:top w:w="10" w:type="dxa"/>
              <w:left w:w="10" w:type="dxa"/>
              <w:right w:w="10"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100.00%</w:t>
            </w:r>
          </w:p>
        </w:tc>
      </w:tr>
      <w:tr>
        <w:tblPrEx>
          <w:tblCellMar>
            <w:top w:w="0" w:type="dxa"/>
            <w:left w:w="0" w:type="dxa"/>
            <w:bottom w:w="0" w:type="dxa"/>
            <w:right w:w="0" w:type="dxa"/>
          </w:tblCellMar>
        </w:tblPrEx>
        <w:trPr>
          <w:trHeight w:val="615" w:hRule="atLeast"/>
        </w:trPr>
        <w:tc>
          <w:tcPr>
            <w:tcW w:w="34" w:type="dxa"/>
            <w:tcBorders>
              <w:top w:val="nil"/>
              <w:left w:val="nil"/>
              <w:bottom w:val="nil"/>
              <w:right w:val="nil"/>
            </w:tcBorders>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822" w:type="dxa"/>
            <w:tcBorders>
              <w:top w:val="nil"/>
              <w:left w:val="single" w:color="000000" w:sz="8" w:space="0"/>
              <w:bottom w:val="single" w:color="000000" w:sz="8" w:space="0"/>
              <w:right w:val="single" w:color="000000" w:sz="8" w:space="0"/>
            </w:tcBorders>
            <w:noWrap w:val="0"/>
            <w:tcMar>
              <w:top w:w="10" w:type="dxa"/>
              <w:left w:w="10" w:type="dxa"/>
              <w:right w:w="10"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w:t>
            </w:r>
          </w:p>
        </w:tc>
        <w:tc>
          <w:tcPr>
            <w:tcW w:w="822" w:type="dxa"/>
            <w:tcBorders>
              <w:top w:val="nil"/>
              <w:left w:val="nil"/>
              <w:bottom w:val="single" w:color="000000" w:sz="8" w:space="0"/>
              <w:right w:val="single" w:color="000000" w:sz="8" w:space="0"/>
            </w:tcBorders>
            <w:noWrap w:val="0"/>
            <w:tcMar>
              <w:top w:w="10" w:type="dxa"/>
              <w:left w:w="10" w:type="dxa"/>
              <w:right w:w="10"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电子电工</w:t>
            </w:r>
          </w:p>
        </w:tc>
        <w:tc>
          <w:tcPr>
            <w:tcW w:w="1019" w:type="dxa"/>
            <w:tcBorders>
              <w:top w:val="nil"/>
              <w:left w:val="single" w:color="000000" w:sz="8" w:space="0"/>
              <w:bottom w:val="single" w:color="000000" w:sz="8" w:space="0"/>
              <w:right w:val="single" w:color="000000" w:sz="8" w:space="0"/>
            </w:tcBorders>
            <w:noWrap w:val="0"/>
            <w:tcMar>
              <w:top w:w="10" w:type="dxa"/>
              <w:left w:w="10" w:type="dxa"/>
              <w:right w:w="10"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100%</w:t>
            </w:r>
          </w:p>
        </w:tc>
        <w:tc>
          <w:tcPr>
            <w:tcW w:w="1052" w:type="dxa"/>
            <w:tcBorders>
              <w:top w:val="nil"/>
              <w:left w:val="nil"/>
              <w:bottom w:val="single" w:color="000000" w:sz="8" w:space="0"/>
              <w:right w:val="single" w:color="000000" w:sz="8" w:space="0"/>
            </w:tcBorders>
            <w:noWrap w:val="0"/>
            <w:tcMar>
              <w:top w:w="10" w:type="dxa"/>
              <w:left w:w="10" w:type="dxa"/>
              <w:right w:w="10"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100%</w:t>
            </w:r>
          </w:p>
        </w:tc>
        <w:tc>
          <w:tcPr>
            <w:tcW w:w="1052" w:type="dxa"/>
            <w:tcBorders>
              <w:top w:val="nil"/>
              <w:left w:val="single" w:color="000000" w:sz="8" w:space="0"/>
              <w:bottom w:val="single" w:color="000000" w:sz="8" w:space="0"/>
              <w:right w:val="single" w:color="000000" w:sz="8" w:space="0"/>
            </w:tcBorders>
            <w:noWrap w:val="0"/>
            <w:tcMar>
              <w:top w:w="10" w:type="dxa"/>
              <w:left w:w="10" w:type="dxa"/>
              <w:right w:w="10"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96.50%</w:t>
            </w:r>
          </w:p>
        </w:tc>
        <w:tc>
          <w:tcPr>
            <w:tcW w:w="1025" w:type="dxa"/>
            <w:tcBorders>
              <w:top w:val="nil"/>
              <w:left w:val="nil"/>
              <w:bottom w:val="single" w:color="000000" w:sz="8" w:space="0"/>
              <w:right w:val="single" w:color="000000" w:sz="8" w:space="0"/>
            </w:tcBorders>
            <w:noWrap w:val="0"/>
            <w:tcMar>
              <w:top w:w="10" w:type="dxa"/>
              <w:left w:w="10" w:type="dxa"/>
              <w:right w:w="10" w:type="dxa"/>
            </w:tcMar>
            <w:vAlign w:val="top"/>
          </w:tcPr>
          <w:p>
            <w:pPr>
              <w:keepNext w:val="0"/>
              <w:keepLines w:val="0"/>
              <w:widowControl/>
              <w:suppressLineNumbers w:val="0"/>
              <w:jc w:val="center"/>
              <w:textAlignment w:val="top"/>
              <w:rPr>
                <w:rFonts w:hint="default"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96.60%</w:t>
            </w:r>
          </w:p>
        </w:tc>
        <w:tc>
          <w:tcPr>
            <w:tcW w:w="907" w:type="dxa"/>
            <w:tcBorders>
              <w:top w:val="nil"/>
              <w:left w:val="single" w:color="000000" w:sz="8" w:space="0"/>
              <w:bottom w:val="single" w:color="000000" w:sz="8" w:space="0"/>
              <w:right w:val="single" w:color="000000" w:sz="8" w:space="0"/>
            </w:tcBorders>
            <w:noWrap w:val="0"/>
            <w:tcMar>
              <w:top w:w="10" w:type="dxa"/>
              <w:left w:w="10" w:type="dxa"/>
              <w:right w:w="10" w:type="dxa"/>
            </w:tcMar>
            <w:vAlign w:val="top"/>
          </w:tcPr>
          <w:p>
            <w:pPr>
              <w:keepNext w:val="0"/>
              <w:keepLines w:val="0"/>
              <w:widowControl/>
              <w:suppressLineNumbers w:val="0"/>
              <w:jc w:val="center"/>
              <w:textAlignment w:val="top"/>
              <w:rPr>
                <w:rFonts w:hint="default" w:ascii="宋体" w:hAnsi="宋体" w:eastAsia="宋体" w:cs="宋体"/>
                <w:i w:val="0"/>
                <w:color w:val="000000"/>
                <w:sz w:val="24"/>
                <w:szCs w:val="24"/>
                <w:u w:val="none"/>
                <w:lang w:val="en-US"/>
              </w:rPr>
            </w:pPr>
            <w:r>
              <w:rPr>
                <w:rFonts w:hint="eastAsia" w:ascii="宋体" w:hAnsi="宋体" w:cs="宋体"/>
                <w:i w:val="0"/>
                <w:color w:val="000000"/>
                <w:kern w:val="0"/>
                <w:sz w:val="24"/>
                <w:szCs w:val="24"/>
                <w:u w:val="none"/>
                <w:lang w:val="en-US" w:eastAsia="zh-CN" w:bidi="ar"/>
              </w:rPr>
              <w:t>1710</w:t>
            </w:r>
          </w:p>
        </w:tc>
        <w:tc>
          <w:tcPr>
            <w:tcW w:w="861" w:type="dxa"/>
            <w:tcBorders>
              <w:top w:val="nil"/>
              <w:left w:val="nil"/>
              <w:bottom w:val="single" w:color="000000" w:sz="8" w:space="0"/>
              <w:right w:val="single" w:color="000000" w:sz="8" w:space="0"/>
            </w:tcBorders>
            <w:noWrap w:val="0"/>
            <w:tcMar>
              <w:top w:w="10" w:type="dxa"/>
              <w:left w:w="10" w:type="dxa"/>
              <w:right w:w="10" w:type="dxa"/>
            </w:tcMar>
            <w:vAlign w:val="top"/>
          </w:tcPr>
          <w:p>
            <w:pPr>
              <w:keepNext w:val="0"/>
              <w:keepLines w:val="0"/>
              <w:widowControl/>
              <w:suppressLineNumbers w:val="0"/>
              <w:jc w:val="center"/>
              <w:textAlignment w:val="top"/>
              <w:rPr>
                <w:rFonts w:hint="default"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1780</w:t>
            </w:r>
          </w:p>
        </w:tc>
        <w:tc>
          <w:tcPr>
            <w:tcW w:w="1025" w:type="dxa"/>
            <w:tcBorders>
              <w:top w:val="nil"/>
              <w:left w:val="single" w:color="000000" w:sz="8" w:space="0"/>
              <w:bottom w:val="single" w:color="000000" w:sz="8" w:space="0"/>
              <w:right w:val="single" w:color="000000" w:sz="8" w:space="0"/>
            </w:tcBorders>
            <w:noWrap w:val="0"/>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100%</w:t>
            </w:r>
          </w:p>
        </w:tc>
        <w:tc>
          <w:tcPr>
            <w:tcW w:w="1241" w:type="dxa"/>
            <w:tcBorders>
              <w:top w:val="nil"/>
              <w:left w:val="nil"/>
              <w:bottom w:val="single" w:color="000000" w:sz="8" w:space="0"/>
              <w:right w:val="single" w:color="000000" w:sz="8" w:space="0"/>
            </w:tcBorders>
            <w:noWrap w:val="0"/>
            <w:tcMar>
              <w:top w:w="10" w:type="dxa"/>
              <w:left w:w="10" w:type="dxa"/>
              <w:right w:w="10"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100.00%</w:t>
            </w:r>
          </w:p>
        </w:tc>
      </w:tr>
      <w:tr>
        <w:tblPrEx>
          <w:tblCellMar>
            <w:top w:w="0" w:type="dxa"/>
            <w:left w:w="0" w:type="dxa"/>
            <w:bottom w:w="0" w:type="dxa"/>
            <w:right w:w="0" w:type="dxa"/>
          </w:tblCellMar>
        </w:tblPrEx>
        <w:trPr>
          <w:trHeight w:val="615" w:hRule="atLeast"/>
        </w:trPr>
        <w:tc>
          <w:tcPr>
            <w:tcW w:w="34" w:type="dxa"/>
            <w:tcBorders>
              <w:top w:val="nil"/>
              <w:left w:val="nil"/>
              <w:bottom w:val="nil"/>
              <w:right w:val="nil"/>
            </w:tcBorders>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822" w:type="dxa"/>
            <w:tcBorders>
              <w:top w:val="nil"/>
              <w:left w:val="single" w:color="000000" w:sz="8" w:space="0"/>
              <w:bottom w:val="single" w:color="000000" w:sz="8" w:space="0"/>
              <w:right w:val="single" w:color="000000" w:sz="8" w:space="0"/>
            </w:tcBorders>
            <w:noWrap w:val="0"/>
            <w:tcMar>
              <w:top w:w="10" w:type="dxa"/>
              <w:left w:w="10" w:type="dxa"/>
              <w:right w:w="10"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w:t>
            </w:r>
          </w:p>
        </w:tc>
        <w:tc>
          <w:tcPr>
            <w:tcW w:w="822" w:type="dxa"/>
            <w:tcBorders>
              <w:top w:val="nil"/>
              <w:left w:val="nil"/>
              <w:bottom w:val="single" w:color="000000" w:sz="8" w:space="0"/>
              <w:right w:val="single" w:color="000000" w:sz="8" w:space="0"/>
            </w:tcBorders>
            <w:noWrap w:val="0"/>
            <w:tcMar>
              <w:top w:w="10" w:type="dxa"/>
              <w:left w:w="10" w:type="dxa"/>
              <w:right w:w="10"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汽车维修</w:t>
            </w:r>
          </w:p>
        </w:tc>
        <w:tc>
          <w:tcPr>
            <w:tcW w:w="1019" w:type="dxa"/>
            <w:tcBorders>
              <w:top w:val="nil"/>
              <w:left w:val="single" w:color="000000" w:sz="8" w:space="0"/>
              <w:bottom w:val="single" w:color="000000" w:sz="8" w:space="0"/>
              <w:right w:val="single" w:color="000000" w:sz="8" w:space="0"/>
            </w:tcBorders>
            <w:noWrap w:val="0"/>
            <w:tcMar>
              <w:top w:w="10" w:type="dxa"/>
              <w:left w:w="10" w:type="dxa"/>
              <w:right w:w="10"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100%</w:t>
            </w:r>
          </w:p>
        </w:tc>
        <w:tc>
          <w:tcPr>
            <w:tcW w:w="1052" w:type="dxa"/>
            <w:tcBorders>
              <w:top w:val="nil"/>
              <w:left w:val="nil"/>
              <w:bottom w:val="single" w:color="000000" w:sz="8" w:space="0"/>
              <w:right w:val="single" w:color="000000" w:sz="8" w:space="0"/>
            </w:tcBorders>
            <w:noWrap w:val="0"/>
            <w:tcMar>
              <w:top w:w="10" w:type="dxa"/>
              <w:left w:w="10" w:type="dxa"/>
              <w:right w:w="10"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100%</w:t>
            </w:r>
          </w:p>
        </w:tc>
        <w:tc>
          <w:tcPr>
            <w:tcW w:w="1052" w:type="dxa"/>
            <w:tcBorders>
              <w:top w:val="nil"/>
              <w:left w:val="single" w:color="000000" w:sz="8" w:space="0"/>
              <w:bottom w:val="single" w:color="000000" w:sz="8" w:space="0"/>
              <w:right w:val="single" w:color="000000" w:sz="8" w:space="0"/>
            </w:tcBorders>
            <w:noWrap w:val="0"/>
            <w:tcMar>
              <w:top w:w="10" w:type="dxa"/>
              <w:left w:w="10" w:type="dxa"/>
              <w:right w:w="10"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97.30%</w:t>
            </w:r>
          </w:p>
        </w:tc>
        <w:tc>
          <w:tcPr>
            <w:tcW w:w="1025" w:type="dxa"/>
            <w:tcBorders>
              <w:top w:val="nil"/>
              <w:left w:val="nil"/>
              <w:bottom w:val="single" w:color="000000" w:sz="8" w:space="0"/>
              <w:right w:val="single" w:color="000000" w:sz="8" w:space="0"/>
            </w:tcBorders>
            <w:noWrap w:val="0"/>
            <w:tcMar>
              <w:top w:w="10" w:type="dxa"/>
              <w:left w:w="10" w:type="dxa"/>
              <w:right w:w="10" w:type="dxa"/>
            </w:tcMar>
            <w:vAlign w:val="top"/>
          </w:tcPr>
          <w:p>
            <w:pPr>
              <w:keepNext w:val="0"/>
              <w:keepLines w:val="0"/>
              <w:widowControl/>
              <w:suppressLineNumbers w:val="0"/>
              <w:jc w:val="center"/>
              <w:textAlignment w:val="top"/>
              <w:rPr>
                <w:rFonts w:hint="default"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97.40%</w:t>
            </w:r>
          </w:p>
        </w:tc>
        <w:tc>
          <w:tcPr>
            <w:tcW w:w="907" w:type="dxa"/>
            <w:tcBorders>
              <w:top w:val="nil"/>
              <w:left w:val="single" w:color="000000" w:sz="8" w:space="0"/>
              <w:bottom w:val="single" w:color="000000" w:sz="8" w:space="0"/>
              <w:right w:val="single" w:color="000000" w:sz="8" w:space="0"/>
            </w:tcBorders>
            <w:noWrap w:val="0"/>
            <w:tcMar>
              <w:top w:w="10" w:type="dxa"/>
              <w:left w:w="10" w:type="dxa"/>
              <w:right w:w="10" w:type="dxa"/>
            </w:tcMar>
            <w:vAlign w:val="top"/>
          </w:tcPr>
          <w:p>
            <w:pPr>
              <w:keepNext w:val="0"/>
              <w:keepLines w:val="0"/>
              <w:widowControl/>
              <w:suppressLineNumbers w:val="0"/>
              <w:jc w:val="center"/>
              <w:textAlignment w:val="top"/>
              <w:rPr>
                <w:rFonts w:hint="default"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950</w:t>
            </w:r>
          </w:p>
        </w:tc>
        <w:tc>
          <w:tcPr>
            <w:tcW w:w="861" w:type="dxa"/>
            <w:tcBorders>
              <w:top w:val="nil"/>
              <w:left w:val="nil"/>
              <w:bottom w:val="single" w:color="000000" w:sz="8" w:space="0"/>
              <w:right w:val="single" w:color="000000" w:sz="8" w:space="0"/>
            </w:tcBorders>
            <w:noWrap w:val="0"/>
            <w:tcMar>
              <w:top w:w="10" w:type="dxa"/>
              <w:left w:w="10" w:type="dxa"/>
              <w:right w:w="10" w:type="dxa"/>
            </w:tcMar>
            <w:vAlign w:val="top"/>
          </w:tcPr>
          <w:p>
            <w:pPr>
              <w:keepNext w:val="0"/>
              <w:keepLines w:val="0"/>
              <w:widowControl/>
              <w:suppressLineNumbers w:val="0"/>
              <w:jc w:val="center"/>
              <w:textAlignment w:val="top"/>
              <w:rPr>
                <w:rFonts w:hint="default"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980</w:t>
            </w:r>
          </w:p>
        </w:tc>
        <w:tc>
          <w:tcPr>
            <w:tcW w:w="1025" w:type="dxa"/>
            <w:tcBorders>
              <w:top w:val="nil"/>
              <w:left w:val="single" w:color="000000" w:sz="8" w:space="0"/>
              <w:bottom w:val="single" w:color="000000" w:sz="8" w:space="0"/>
              <w:right w:val="single" w:color="000000" w:sz="8" w:space="0"/>
            </w:tcBorders>
            <w:noWrap w:val="0"/>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100%</w:t>
            </w:r>
          </w:p>
        </w:tc>
        <w:tc>
          <w:tcPr>
            <w:tcW w:w="1241" w:type="dxa"/>
            <w:tcBorders>
              <w:top w:val="nil"/>
              <w:left w:val="nil"/>
              <w:bottom w:val="single" w:color="000000" w:sz="8" w:space="0"/>
              <w:right w:val="single" w:color="000000" w:sz="8" w:space="0"/>
            </w:tcBorders>
            <w:noWrap w:val="0"/>
            <w:tcMar>
              <w:top w:w="10" w:type="dxa"/>
              <w:left w:w="10" w:type="dxa"/>
              <w:right w:w="10"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100.00%</w:t>
            </w:r>
          </w:p>
        </w:tc>
      </w:tr>
      <w:tr>
        <w:tblPrEx>
          <w:tblCellMar>
            <w:top w:w="0" w:type="dxa"/>
            <w:left w:w="0" w:type="dxa"/>
            <w:bottom w:w="0" w:type="dxa"/>
            <w:right w:w="0" w:type="dxa"/>
          </w:tblCellMar>
        </w:tblPrEx>
        <w:trPr>
          <w:trHeight w:val="500" w:hRule="atLeast"/>
        </w:trPr>
        <w:tc>
          <w:tcPr>
            <w:tcW w:w="34" w:type="dxa"/>
            <w:tcBorders>
              <w:top w:val="nil"/>
              <w:left w:val="nil"/>
              <w:bottom w:val="nil"/>
              <w:right w:val="nil"/>
            </w:tcBorders>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822" w:type="dxa"/>
            <w:tcBorders>
              <w:top w:val="nil"/>
              <w:left w:val="single" w:color="000000" w:sz="8" w:space="0"/>
              <w:bottom w:val="single" w:color="000000" w:sz="8" w:space="0"/>
              <w:right w:val="single" w:color="000000" w:sz="8" w:space="0"/>
            </w:tcBorders>
            <w:noWrap w:val="0"/>
            <w:tcMar>
              <w:top w:w="10" w:type="dxa"/>
              <w:left w:w="10" w:type="dxa"/>
              <w:right w:w="10"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w:t>
            </w:r>
          </w:p>
        </w:tc>
        <w:tc>
          <w:tcPr>
            <w:tcW w:w="822" w:type="dxa"/>
            <w:tcBorders>
              <w:top w:val="nil"/>
              <w:left w:val="nil"/>
              <w:bottom w:val="single" w:color="000000" w:sz="8" w:space="0"/>
              <w:right w:val="single" w:color="000000" w:sz="8" w:space="0"/>
            </w:tcBorders>
            <w:noWrap w:val="0"/>
            <w:tcMar>
              <w:top w:w="10" w:type="dxa"/>
              <w:left w:w="10" w:type="dxa"/>
              <w:right w:w="10"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财会</w:t>
            </w:r>
          </w:p>
        </w:tc>
        <w:tc>
          <w:tcPr>
            <w:tcW w:w="1019" w:type="dxa"/>
            <w:tcBorders>
              <w:top w:val="nil"/>
              <w:left w:val="single" w:color="000000" w:sz="8" w:space="0"/>
              <w:bottom w:val="single" w:color="000000" w:sz="8" w:space="0"/>
              <w:right w:val="single" w:color="000000" w:sz="8" w:space="0"/>
            </w:tcBorders>
            <w:noWrap w:val="0"/>
            <w:tcMar>
              <w:top w:w="10" w:type="dxa"/>
              <w:left w:w="10" w:type="dxa"/>
              <w:right w:w="10"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100%</w:t>
            </w:r>
          </w:p>
        </w:tc>
        <w:tc>
          <w:tcPr>
            <w:tcW w:w="1052" w:type="dxa"/>
            <w:tcBorders>
              <w:top w:val="nil"/>
              <w:left w:val="nil"/>
              <w:bottom w:val="single" w:color="000000" w:sz="8" w:space="0"/>
              <w:right w:val="single" w:color="000000" w:sz="8" w:space="0"/>
            </w:tcBorders>
            <w:noWrap w:val="0"/>
            <w:tcMar>
              <w:top w:w="10" w:type="dxa"/>
              <w:left w:w="10" w:type="dxa"/>
              <w:right w:w="10"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100%</w:t>
            </w:r>
          </w:p>
        </w:tc>
        <w:tc>
          <w:tcPr>
            <w:tcW w:w="1052" w:type="dxa"/>
            <w:tcBorders>
              <w:top w:val="nil"/>
              <w:left w:val="single" w:color="000000" w:sz="8" w:space="0"/>
              <w:bottom w:val="single" w:color="000000" w:sz="8" w:space="0"/>
              <w:right w:val="single" w:color="000000" w:sz="8" w:space="0"/>
            </w:tcBorders>
            <w:noWrap w:val="0"/>
            <w:tcMar>
              <w:top w:w="10" w:type="dxa"/>
              <w:left w:w="10" w:type="dxa"/>
              <w:right w:w="10"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94.20%</w:t>
            </w:r>
          </w:p>
        </w:tc>
        <w:tc>
          <w:tcPr>
            <w:tcW w:w="1025" w:type="dxa"/>
            <w:tcBorders>
              <w:top w:val="nil"/>
              <w:left w:val="nil"/>
              <w:bottom w:val="single" w:color="000000" w:sz="8" w:space="0"/>
              <w:right w:val="single" w:color="000000" w:sz="8" w:space="0"/>
            </w:tcBorders>
            <w:noWrap w:val="0"/>
            <w:tcMar>
              <w:top w:w="10" w:type="dxa"/>
              <w:left w:w="10" w:type="dxa"/>
              <w:right w:w="10" w:type="dxa"/>
            </w:tcMar>
            <w:vAlign w:val="top"/>
          </w:tcPr>
          <w:p>
            <w:pPr>
              <w:keepNext w:val="0"/>
              <w:keepLines w:val="0"/>
              <w:widowControl/>
              <w:suppressLineNumbers w:val="0"/>
              <w:jc w:val="center"/>
              <w:textAlignment w:val="top"/>
              <w:rPr>
                <w:rFonts w:hint="default"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95.30%</w:t>
            </w:r>
          </w:p>
        </w:tc>
        <w:tc>
          <w:tcPr>
            <w:tcW w:w="907" w:type="dxa"/>
            <w:tcBorders>
              <w:top w:val="nil"/>
              <w:left w:val="single" w:color="000000" w:sz="8" w:space="0"/>
              <w:bottom w:val="single" w:color="000000" w:sz="8" w:space="0"/>
              <w:right w:val="single" w:color="000000" w:sz="8" w:space="0"/>
            </w:tcBorders>
            <w:noWrap w:val="0"/>
            <w:tcMar>
              <w:top w:w="10" w:type="dxa"/>
              <w:left w:w="10" w:type="dxa"/>
              <w:right w:w="10" w:type="dxa"/>
            </w:tcMar>
            <w:vAlign w:val="top"/>
          </w:tcPr>
          <w:p>
            <w:pPr>
              <w:keepNext w:val="0"/>
              <w:keepLines w:val="0"/>
              <w:widowControl/>
              <w:suppressLineNumbers w:val="0"/>
              <w:jc w:val="center"/>
              <w:textAlignment w:val="top"/>
              <w:rPr>
                <w:rFonts w:hint="default" w:ascii="宋体" w:hAnsi="宋体" w:eastAsia="宋体" w:cs="宋体"/>
                <w:i w:val="0"/>
                <w:color w:val="000000"/>
                <w:sz w:val="24"/>
                <w:szCs w:val="24"/>
                <w:u w:val="none"/>
                <w:lang w:val="en-US"/>
              </w:rPr>
            </w:pPr>
            <w:r>
              <w:rPr>
                <w:rFonts w:hint="eastAsia" w:ascii="宋体" w:hAnsi="宋体" w:cs="宋体"/>
                <w:i w:val="0"/>
                <w:color w:val="000000"/>
                <w:kern w:val="0"/>
                <w:sz w:val="24"/>
                <w:szCs w:val="24"/>
                <w:u w:val="none"/>
                <w:lang w:val="en-US" w:eastAsia="zh-CN" w:bidi="ar"/>
              </w:rPr>
              <w:t>930</w:t>
            </w:r>
          </w:p>
        </w:tc>
        <w:tc>
          <w:tcPr>
            <w:tcW w:w="861" w:type="dxa"/>
            <w:tcBorders>
              <w:top w:val="nil"/>
              <w:left w:val="nil"/>
              <w:bottom w:val="single" w:color="000000" w:sz="8" w:space="0"/>
              <w:right w:val="single" w:color="000000" w:sz="8" w:space="0"/>
            </w:tcBorders>
            <w:noWrap w:val="0"/>
            <w:tcMar>
              <w:top w:w="10" w:type="dxa"/>
              <w:left w:w="10" w:type="dxa"/>
              <w:right w:w="10" w:type="dxa"/>
            </w:tcMar>
            <w:vAlign w:val="top"/>
          </w:tcPr>
          <w:p>
            <w:pPr>
              <w:keepNext w:val="0"/>
              <w:keepLines w:val="0"/>
              <w:widowControl/>
              <w:suppressLineNumbers w:val="0"/>
              <w:jc w:val="center"/>
              <w:textAlignment w:val="top"/>
              <w:rPr>
                <w:rFonts w:hint="default"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1050</w:t>
            </w:r>
          </w:p>
        </w:tc>
        <w:tc>
          <w:tcPr>
            <w:tcW w:w="1025" w:type="dxa"/>
            <w:tcBorders>
              <w:top w:val="nil"/>
              <w:left w:val="single" w:color="000000" w:sz="8" w:space="0"/>
              <w:bottom w:val="single" w:color="000000" w:sz="8" w:space="0"/>
              <w:right w:val="single" w:color="000000" w:sz="8" w:space="0"/>
            </w:tcBorders>
            <w:noWrap w:val="0"/>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100%</w:t>
            </w:r>
          </w:p>
        </w:tc>
        <w:tc>
          <w:tcPr>
            <w:tcW w:w="1241" w:type="dxa"/>
            <w:tcBorders>
              <w:top w:val="nil"/>
              <w:left w:val="nil"/>
              <w:bottom w:val="single" w:color="000000" w:sz="8" w:space="0"/>
              <w:right w:val="single" w:color="000000" w:sz="8" w:space="0"/>
            </w:tcBorders>
            <w:noWrap w:val="0"/>
            <w:tcMar>
              <w:top w:w="10" w:type="dxa"/>
              <w:left w:w="10" w:type="dxa"/>
              <w:right w:w="10"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100.00%</w:t>
            </w:r>
          </w:p>
        </w:tc>
      </w:tr>
      <w:tr>
        <w:tblPrEx>
          <w:tblCellMar>
            <w:top w:w="0" w:type="dxa"/>
            <w:left w:w="0" w:type="dxa"/>
            <w:bottom w:w="0" w:type="dxa"/>
            <w:right w:w="0" w:type="dxa"/>
          </w:tblCellMar>
        </w:tblPrEx>
        <w:trPr>
          <w:trHeight w:val="615" w:hRule="atLeast"/>
        </w:trPr>
        <w:tc>
          <w:tcPr>
            <w:tcW w:w="34" w:type="dxa"/>
            <w:tcBorders>
              <w:top w:val="nil"/>
              <w:left w:val="nil"/>
              <w:bottom w:val="nil"/>
              <w:right w:val="nil"/>
            </w:tcBorders>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822" w:type="dxa"/>
            <w:tcBorders>
              <w:top w:val="nil"/>
              <w:left w:val="single" w:color="000000" w:sz="8" w:space="0"/>
              <w:bottom w:val="single" w:color="000000" w:sz="8" w:space="0"/>
              <w:right w:val="single" w:color="000000" w:sz="8" w:space="0"/>
            </w:tcBorders>
            <w:noWrap w:val="0"/>
            <w:tcMar>
              <w:top w:w="10" w:type="dxa"/>
              <w:left w:w="10" w:type="dxa"/>
              <w:right w:w="10"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w:t>
            </w:r>
          </w:p>
        </w:tc>
        <w:tc>
          <w:tcPr>
            <w:tcW w:w="822" w:type="dxa"/>
            <w:tcBorders>
              <w:top w:val="nil"/>
              <w:left w:val="nil"/>
              <w:bottom w:val="single" w:color="000000" w:sz="8" w:space="0"/>
              <w:right w:val="single" w:color="000000" w:sz="8" w:space="0"/>
            </w:tcBorders>
            <w:noWrap w:val="0"/>
            <w:tcMar>
              <w:top w:w="10" w:type="dxa"/>
              <w:left w:w="10" w:type="dxa"/>
              <w:right w:w="10"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电子商务</w:t>
            </w:r>
          </w:p>
        </w:tc>
        <w:tc>
          <w:tcPr>
            <w:tcW w:w="1019" w:type="dxa"/>
            <w:tcBorders>
              <w:top w:val="nil"/>
              <w:left w:val="single" w:color="000000" w:sz="8" w:space="0"/>
              <w:bottom w:val="single" w:color="000000" w:sz="8" w:space="0"/>
              <w:right w:val="single" w:color="000000" w:sz="8" w:space="0"/>
            </w:tcBorders>
            <w:noWrap w:val="0"/>
            <w:tcMar>
              <w:top w:w="10" w:type="dxa"/>
              <w:left w:w="10" w:type="dxa"/>
              <w:right w:w="10"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100%</w:t>
            </w:r>
          </w:p>
        </w:tc>
        <w:tc>
          <w:tcPr>
            <w:tcW w:w="1052" w:type="dxa"/>
            <w:tcBorders>
              <w:top w:val="nil"/>
              <w:left w:val="nil"/>
              <w:bottom w:val="single" w:color="000000" w:sz="8" w:space="0"/>
              <w:right w:val="single" w:color="000000" w:sz="8" w:space="0"/>
            </w:tcBorders>
            <w:noWrap w:val="0"/>
            <w:tcMar>
              <w:top w:w="10" w:type="dxa"/>
              <w:left w:w="10" w:type="dxa"/>
              <w:right w:w="10"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100%</w:t>
            </w:r>
          </w:p>
        </w:tc>
        <w:tc>
          <w:tcPr>
            <w:tcW w:w="1052" w:type="dxa"/>
            <w:tcBorders>
              <w:top w:val="nil"/>
              <w:left w:val="single" w:color="000000" w:sz="8" w:space="0"/>
              <w:bottom w:val="single" w:color="000000" w:sz="8" w:space="0"/>
              <w:right w:val="single" w:color="000000" w:sz="8" w:space="0"/>
            </w:tcBorders>
            <w:noWrap w:val="0"/>
            <w:tcMar>
              <w:top w:w="10" w:type="dxa"/>
              <w:left w:w="10" w:type="dxa"/>
              <w:right w:w="10"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98.30%</w:t>
            </w:r>
          </w:p>
        </w:tc>
        <w:tc>
          <w:tcPr>
            <w:tcW w:w="1025" w:type="dxa"/>
            <w:tcBorders>
              <w:top w:val="nil"/>
              <w:left w:val="nil"/>
              <w:bottom w:val="single" w:color="000000" w:sz="8" w:space="0"/>
              <w:right w:val="single" w:color="000000" w:sz="8" w:space="0"/>
            </w:tcBorders>
            <w:noWrap w:val="0"/>
            <w:tcMar>
              <w:top w:w="10" w:type="dxa"/>
              <w:left w:w="10" w:type="dxa"/>
              <w:right w:w="10" w:type="dxa"/>
            </w:tcMar>
            <w:vAlign w:val="top"/>
          </w:tcPr>
          <w:p>
            <w:pPr>
              <w:keepNext w:val="0"/>
              <w:keepLines w:val="0"/>
              <w:widowControl/>
              <w:suppressLineNumbers w:val="0"/>
              <w:jc w:val="center"/>
              <w:textAlignment w:val="top"/>
              <w:rPr>
                <w:rFonts w:hint="default"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99.00%</w:t>
            </w:r>
          </w:p>
        </w:tc>
        <w:tc>
          <w:tcPr>
            <w:tcW w:w="907" w:type="dxa"/>
            <w:tcBorders>
              <w:top w:val="nil"/>
              <w:left w:val="single" w:color="000000" w:sz="8" w:space="0"/>
              <w:bottom w:val="single" w:color="000000" w:sz="8" w:space="0"/>
              <w:right w:val="single" w:color="000000" w:sz="8" w:space="0"/>
            </w:tcBorders>
            <w:noWrap w:val="0"/>
            <w:tcMar>
              <w:top w:w="10" w:type="dxa"/>
              <w:left w:w="10" w:type="dxa"/>
              <w:right w:w="10"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r>
              <w:rPr>
                <w:rFonts w:hint="eastAsia" w:ascii="宋体" w:hAnsi="宋体" w:cs="宋体"/>
                <w:i w:val="0"/>
                <w:color w:val="000000"/>
                <w:kern w:val="0"/>
                <w:sz w:val="24"/>
                <w:szCs w:val="24"/>
                <w:u w:val="none"/>
                <w:lang w:val="en-US" w:eastAsia="zh-CN" w:bidi="ar"/>
              </w:rPr>
              <w:t>6</w:t>
            </w:r>
            <w:r>
              <w:rPr>
                <w:rFonts w:hint="eastAsia" w:ascii="宋体" w:hAnsi="宋体" w:eastAsia="宋体" w:cs="宋体"/>
                <w:i w:val="0"/>
                <w:color w:val="000000"/>
                <w:kern w:val="0"/>
                <w:sz w:val="24"/>
                <w:szCs w:val="24"/>
                <w:u w:val="none"/>
                <w:lang w:val="en-US" w:eastAsia="zh-CN" w:bidi="ar"/>
              </w:rPr>
              <w:t>00</w:t>
            </w:r>
          </w:p>
        </w:tc>
        <w:tc>
          <w:tcPr>
            <w:tcW w:w="861" w:type="dxa"/>
            <w:tcBorders>
              <w:top w:val="nil"/>
              <w:left w:val="nil"/>
              <w:bottom w:val="single" w:color="000000" w:sz="8" w:space="0"/>
              <w:right w:val="single" w:color="000000" w:sz="8" w:space="0"/>
            </w:tcBorders>
            <w:noWrap w:val="0"/>
            <w:tcMar>
              <w:top w:w="10" w:type="dxa"/>
              <w:left w:w="10" w:type="dxa"/>
              <w:right w:w="10" w:type="dxa"/>
            </w:tcMar>
            <w:vAlign w:val="top"/>
          </w:tcPr>
          <w:p>
            <w:pPr>
              <w:keepNext w:val="0"/>
              <w:keepLines w:val="0"/>
              <w:widowControl/>
              <w:suppressLineNumbers w:val="0"/>
              <w:jc w:val="center"/>
              <w:textAlignment w:val="top"/>
              <w:rPr>
                <w:rFonts w:hint="default"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1650</w:t>
            </w:r>
          </w:p>
        </w:tc>
        <w:tc>
          <w:tcPr>
            <w:tcW w:w="1025" w:type="dxa"/>
            <w:tcBorders>
              <w:top w:val="nil"/>
              <w:left w:val="single" w:color="000000" w:sz="8" w:space="0"/>
              <w:bottom w:val="single" w:color="000000" w:sz="8" w:space="0"/>
              <w:right w:val="single" w:color="000000" w:sz="8" w:space="0"/>
            </w:tcBorders>
            <w:noWrap w:val="0"/>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100%</w:t>
            </w:r>
          </w:p>
        </w:tc>
        <w:tc>
          <w:tcPr>
            <w:tcW w:w="1241" w:type="dxa"/>
            <w:tcBorders>
              <w:top w:val="nil"/>
              <w:left w:val="nil"/>
              <w:bottom w:val="single" w:color="000000" w:sz="8" w:space="0"/>
              <w:right w:val="single" w:color="000000" w:sz="8" w:space="0"/>
            </w:tcBorders>
            <w:noWrap w:val="0"/>
            <w:tcMar>
              <w:top w:w="10" w:type="dxa"/>
              <w:left w:w="10" w:type="dxa"/>
              <w:right w:w="10"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100.00%</w:t>
            </w:r>
          </w:p>
        </w:tc>
      </w:tr>
      <w:tr>
        <w:tblPrEx>
          <w:tblCellMar>
            <w:top w:w="0" w:type="dxa"/>
            <w:left w:w="0" w:type="dxa"/>
            <w:bottom w:w="0" w:type="dxa"/>
            <w:right w:w="0" w:type="dxa"/>
          </w:tblCellMar>
        </w:tblPrEx>
        <w:trPr>
          <w:trHeight w:val="575" w:hRule="atLeast"/>
        </w:trPr>
        <w:tc>
          <w:tcPr>
            <w:tcW w:w="34" w:type="dxa"/>
            <w:tcBorders>
              <w:top w:val="nil"/>
              <w:left w:val="nil"/>
              <w:bottom w:val="nil"/>
              <w:right w:val="nil"/>
            </w:tcBorders>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822" w:type="dxa"/>
            <w:tcBorders>
              <w:top w:val="nil"/>
              <w:left w:val="single" w:color="000000" w:sz="8" w:space="0"/>
              <w:bottom w:val="single" w:color="000000" w:sz="8" w:space="0"/>
              <w:right w:val="single" w:color="000000" w:sz="8" w:space="0"/>
            </w:tcBorders>
            <w:noWrap w:val="0"/>
            <w:tcMar>
              <w:top w:w="10" w:type="dxa"/>
              <w:left w:w="10" w:type="dxa"/>
              <w:right w:w="10"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w:t>
            </w:r>
          </w:p>
        </w:tc>
        <w:tc>
          <w:tcPr>
            <w:tcW w:w="822" w:type="dxa"/>
            <w:tcBorders>
              <w:top w:val="nil"/>
              <w:left w:val="nil"/>
              <w:bottom w:val="single" w:color="000000" w:sz="8" w:space="0"/>
              <w:right w:val="single" w:color="000000" w:sz="8" w:space="0"/>
            </w:tcBorders>
            <w:noWrap w:val="0"/>
            <w:tcMar>
              <w:top w:w="10" w:type="dxa"/>
              <w:left w:w="10" w:type="dxa"/>
              <w:right w:w="10" w:type="dxa"/>
            </w:tcMar>
            <w:vAlign w:val="top"/>
          </w:tcPr>
          <w:p>
            <w:pPr>
              <w:keepNext w:val="0"/>
              <w:keepLines w:val="0"/>
              <w:widowControl/>
              <w:suppressLineNumbers w:val="0"/>
              <w:jc w:val="center"/>
              <w:textAlignment w:val="top"/>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计算机应用</w:t>
            </w:r>
          </w:p>
        </w:tc>
        <w:tc>
          <w:tcPr>
            <w:tcW w:w="1019" w:type="dxa"/>
            <w:tcBorders>
              <w:top w:val="nil"/>
              <w:left w:val="single" w:color="000000" w:sz="8" w:space="0"/>
              <w:bottom w:val="single" w:color="000000" w:sz="8" w:space="0"/>
              <w:right w:val="single" w:color="000000" w:sz="8" w:space="0"/>
            </w:tcBorders>
            <w:noWrap w:val="0"/>
            <w:tcMar>
              <w:top w:w="10" w:type="dxa"/>
              <w:left w:w="10" w:type="dxa"/>
              <w:right w:w="10"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100%</w:t>
            </w:r>
          </w:p>
        </w:tc>
        <w:tc>
          <w:tcPr>
            <w:tcW w:w="1052" w:type="dxa"/>
            <w:tcBorders>
              <w:top w:val="nil"/>
              <w:left w:val="nil"/>
              <w:bottom w:val="single" w:color="000000" w:sz="8" w:space="0"/>
              <w:right w:val="single" w:color="000000" w:sz="8" w:space="0"/>
            </w:tcBorders>
            <w:noWrap w:val="0"/>
            <w:tcMar>
              <w:top w:w="10" w:type="dxa"/>
              <w:left w:w="10" w:type="dxa"/>
              <w:right w:w="10"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100%</w:t>
            </w:r>
          </w:p>
        </w:tc>
        <w:tc>
          <w:tcPr>
            <w:tcW w:w="1052" w:type="dxa"/>
            <w:tcBorders>
              <w:top w:val="nil"/>
              <w:left w:val="single" w:color="000000" w:sz="8" w:space="0"/>
              <w:bottom w:val="single" w:color="000000" w:sz="8" w:space="0"/>
              <w:right w:val="single" w:color="000000" w:sz="8" w:space="0"/>
            </w:tcBorders>
            <w:noWrap w:val="0"/>
            <w:tcMar>
              <w:top w:w="10" w:type="dxa"/>
              <w:left w:w="10" w:type="dxa"/>
              <w:right w:w="10"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94.40%</w:t>
            </w:r>
          </w:p>
        </w:tc>
        <w:tc>
          <w:tcPr>
            <w:tcW w:w="1025" w:type="dxa"/>
            <w:tcBorders>
              <w:top w:val="nil"/>
              <w:left w:val="nil"/>
              <w:bottom w:val="single" w:color="000000" w:sz="8" w:space="0"/>
              <w:right w:val="single" w:color="000000" w:sz="8" w:space="0"/>
            </w:tcBorders>
            <w:noWrap w:val="0"/>
            <w:tcMar>
              <w:top w:w="10" w:type="dxa"/>
              <w:left w:w="10" w:type="dxa"/>
              <w:right w:w="10" w:type="dxa"/>
            </w:tcMar>
            <w:vAlign w:val="top"/>
          </w:tcPr>
          <w:p>
            <w:pPr>
              <w:keepNext w:val="0"/>
              <w:keepLines w:val="0"/>
              <w:widowControl/>
              <w:suppressLineNumbers w:val="0"/>
              <w:jc w:val="center"/>
              <w:textAlignment w:val="top"/>
              <w:rPr>
                <w:rFonts w:hint="default"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95.00%</w:t>
            </w:r>
          </w:p>
        </w:tc>
        <w:tc>
          <w:tcPr>
            <w:tcW w:w="907" w:type="dxa"/>
            <w:tcBorders>
              <w:top w:val="nil"/>
              <w:left w:val="single" w:color="000000" w:sz="8" w:space="0"/>
              <w:bottom w:val="single" w:color="000000" w:sz="8" w:space="0"/>
              <w:right w:val="single" w:color="000000" w:sz="8" w:space="0"/>
            </w:tcBorders>
            <w:noWrap w:val="0"/>
            <w:tcMar>
              <w:top w:w="10" w:type="dxa"/>
              <w:left w:w="10" w:type="dxa"/>
              <w:right w:w="10"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13</w:t>
            </w:r>
            <w:r>
              <w:rPr>
                <w:rFonts w:hint="eastAsia" w:ascii="宋体" w:hAnsi="宋体" w:cs="宋体"/>
                <w:i w:val="0"/>
                <w:color w:val="000000"/>
                <w:kern w:val="0"/>
                <w:sz w:val="24"/>
                <w:szCs w:val="24"/>
                <w:u w:val="none"/>
                <w:lang w:val="en-US" w:eastAsia="zh-CN" w:bidi="ar"/>
              </w:rPr>
              <w:t>4</w:t>
            </w:r>
            <w:r>
              <w:rPr>
                <w:rFonts w:hint="eastAsia" w:ascii="宋体" w:hAnsi="宋体" w:eastAsia="宋体" w:cs="宋体"/>
                <w:i w:val="0"/>
                <w:color w:val="000000"/>
                <w:kern w:val="0"/>
                <w:sz w:val="24"/>
                <w:szCs w:val="24"/>
                <w:u w:val="none"/>
                <w:lang w:val="en-US" w:eastAsia="zh-CN" w:bidi="ar"/>
              </w:rPr>
              <w:t>0</w:t>
            </w:r>
          </w:p>
        </w:tc>
        <w:tc>
          <w:tcPr>
            <w:tcW w:w="861" w:type="dxa"/>
            <w:tcBorders>
              <w:top w:val="nil"/>
              <w:left w:val="nil"/>
              <w:bottom w:val="single" w:color="000000" w:sz="8" w:space="0"/>
              <w:right w:val="single" w:color="000000" w:sz="8" w:space="0"/>
            </w:tcBorders>
            <w:noWrap w:val="0"/>
            <w:tcMar>
              <w:top w:w="10" w:type="dxa"/>
              <w:left w:w="10" w:type="dxa"/>
              <w:right w:w="10" w:type="dxa"/>
            </w:tcMar>
            <w:vAlign w:val="top"/>
          </w:tcPr>
          <w:p>
            <w:pPr>
              <w:keepNext w:val="0"/>
              <w:keepLines w:val="0"/>
              <w:widowControl/>
              <w:suppressLineNumbers w:val="0"/>
              <w:jc w:val="center"/>
              <w:textAlignment w:val="top"/>
              <w:rPr>
                <w:rFonts w:hint="default"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1350</w:t>
            </w:r>
          </w:p>
        </w:tc>
        <w:tc>
          <w:tcPr>
            <w:tcW w:w="1025" w:type="dxa"/>
            <w:tcBorders>
              <w:top w:val="nil"/>
              <w:left w:val="single" w:color="000000" w:sz="8" w:space="0"/>
              <w:bottom w:val="single" w:color="000000" w:sz="8" w:space="0"/>
              <w:right w:val="single" w:color="000000" w:sz="8" w:space="0"/>
            </w:tcBorders>
            <w:noWrap w:val="0"/>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95.45%</w:t>
            </w:r>
          </w:p>
        </w:tc>
        <w:tc>
          <w:tcPr>
            <w:tcW w:w="1241" w:type="dxa"/>
            <w:tcBorders>
              <w:top w:val="nil"/>
              <w:left w:val="nil"/>
              <w:bottom w:val="single" w:color="000000" w:sz="8" w:space="0"/>
              <w:right w:val="single" w:color="000000" w:sz="8" w:space="0"/>
            </w:tcBorders>
            <w:noWrap w:val="0"/>
            <w:tcMar>
              <w:top w:w="10" w:type="dxa"/>
              <w:left w:w="10" w:type="dxa"/>
              <w:right w:w="10"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100.00%</w:t>
            </w:r>
          </w:p>
        </w:tc>
      </w:tr>
      <w:tr>
        <w:tblPrEx>
          <w:tblCellMar>
            <w:top w:w="0" w:type="dxa"/>
            <w:left w:w="0" w:type="dxa"/>
            <w:bottom w:w="0" w:type="dxa"/>
            <w:right w:w="0" w:type="dxa"/>
          </w:tblCellMar>
        </w:tblPrEx>
        <w:trPr>
          <w:trHeight w:val="615" w:hRule="atLeast"/>
        </w:trPr>
        <w:tc>
          <w:tcPr>
            <w:tcW w:w="34" w:type="dxa"/>
            <w:tcBorders>
              <w:top w:val="nil"/>
              <w:left w:val="nil"/>
              <w:bottom w:val="nil"/>
              <w:right w:val="nil"/>
            </w:tcBorders>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822" w:type="dxa"/>
            <w:tcBorders>
              <w:top w:val="nil"/>
              <w:left w:val="single" w:color="000000" w:sz="8" w:space="0"/>
              <w:bottom w:val="single" w:color="000000" w:sz="8" w:space="0"/>
              <w:right w:val="single" w:color="000000" w:sz="8" w:space="0"/>
            </w:tcBorders>
            <w:noWrap w:val="0"/>
            <w:tcMar>
              <w:top w:w="10" w:type="dxa"/>
              <w:left w:w="10" w:type="dxa"/>
              <w:right w:w="10"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w:t>
            </w:r>
          </w:p>
        </w:tc>
        <w:tc>
          <w:tcPr>
            <w:tcW w:w="822" w:type="dxa"/>
            <w:tcBorders>
              <w:top w:val="nil"/>
              <w:left w:val="nil"/>
              <w:bottom w:val="single" w:color="000000" w:sz="8" w:space="0"/>
              <w:right w:val="single" w:color="000000" w:sz="8" w:space="0"/>
            </w:tcBorders>
            <w:noWrap w:val="0"/>
            <w:tcMar>
              <w:top w:w="10" w:type="dxa"/>
              <w:left w:w="10" w:type="dxa"/>
              <w:right w:w="10"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学前教育</w:t>
            </w:r>
          </w:p>
        </w:tc>
        <w:tc>
          <w:tcPr>
            <w:tcW w:w="1019" w:type="dxa"/>
            <w:tcBorders>
              <w:top w:val="nil"/>
              <w:left w:val="single" w:color="000000" w:sz="8" w:space="0"/>
              <w:bottom w:val="single" w:color="000000" w:sz="8" w:space="0"/>
              <w:right w:val="single" w:color="000000" w:sz="8" w:space="0"/>
            </w:tcBorders>
            <w:noWrap w:val="0"/>
            <w:tcMar>
              <w:top w:w="10" w:type="dxa"/>
              <w:left w:w="10" w:type="dxa"/>
              <w:right w:w="10"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100%</w:t>
            </w:r>
          </w:p>
        </w:tc>
        <w:tc>
          <w:tcPr>
            <w:tcW w:w="1052" w:type="dxa"/>
            <w:tcBorders>
              <w:top w:val="nil"/>
              <w:left w:val="nil"/>
              <w:bottom w:val="single" w:color="000000" w:sz="8" w:space="0"/>
              <w:right w:val="single" w:color="000000" w:sz="8" w:space="0"/>
            </w:tcBorders>
            <w:noWrap w:val="0"/>
            <w:tcMar>
              <w:top w:w="10" w:type="dxa"/>
              <w:left w:w="10" w:type="dxa"/>
              <w:right w:w="10"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100%</w:t>
            </w:r>
          </w:p>
        </w:tc>
        <w:tc>
          <w:tcPr>
            <w:tcW w:w="1052" w:type="dxa"/>
            <w:tcBorders>
              <w:top w:val="nil"/>
              <w:left w:val="single" w:color="000000" w:sz="8" w:space="0"/>
              <w:bottom w:val="single" w:color="000000" w:sz="8" w:space="0"/>
              <w:right w:val="single" w:color="000000" w:sz="8" w:space="0"/>
            </w:tcBorders>
            <w:noWrap w:val="0"/>
            <w:tcMar>
              <w:top w:w="10" w:type="dxa"/>
              <w:left w:w="10" w:type="dxa"/>
              <w:right w:w="10"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99.50%</w:t>
            </w:r>
          </w:p>
        </w:tc>
        <w:tc>
          <w:tcPr>
            <w:tcW w:w="1025" w:type="dxa"/>
            <w:tcBorders>
              <w:top w:val="nil"/>
              <w:left w:val="nil"/>
              <w:bottom w:val="single" w:color="000000" w:sz="8" w:space="0"/>
              <w:right w:val="single" w:color="000000" w:sz="8" w:space="0"/>
            </w:tcBorders>
            <w:noWrap w:val="0"/>
            <w:tcMar>
              <w:top w:w="10" w:type="dxa"/>
              <w:left w:w="10" w:type="dxa"/>
              <w:right w:w="10" w:type="dxa"/>
            </w:tcMar>
            <w:vAlign w:val="top"/>
          </w:tcPr>
          <w:p>
            <w:pPr>
              <w:keepNext w:val="0"/>
              <w:keepLines w:val="0"/>
              <w:widowControl/>
              <w:suppressLineNumbers w:val="0"/>
              <w:jc w:val="center"/>
              <w:textAlignment w:val="top"/>
              <w:rPr>
                <w:rFonts w:hint="default"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100%</w:t>
            </w:r>
          </w:p>
        </w:tc>
        <w:tc>
          <w:tcPr>
            <w:tcW w:w="907" w:type="dxa"/>
            <w:tcBorders>
              <w:top w:val="nil"/>
              <w:left w:val="single" w:color="000000" w:sz="8" w:space="0"/>
              <w:bottom w:val="single" w:color="000000" w:sz="8" w:space="0"/>
              <w:right w:val="single" w:color="000000" w:sz="8" w:space="0"/>
            </w:tcBorders>
            <w:noWrap w:val="0"/>
            <w:tcMar>
              <w:top w:w="10" w:type="dxa"/>
              <w:left w:w="10" w:type="dxa"/>
              <w:right w:w="10" w:type="dxa"/>
            </w:tcMar>
            <w:vAlign w:val="top"/>
          </w:tcPr>
          <w:p>
            <w:pPr>
              <w:keepNext w:val="0"/>
              <w:keepLines w:val="0"/>
              <w:widowControl/>
              <w:suppressLineNumbers w:val="0"/>
              <w:jc w:val="center"/>
              <w:textAlignment w:val="top"/>
              <w:rPr>
                <w:rFonts w:hint="default" w:ascii="宋体" w:hAnsi="宋体" w:eastAsia="宋体" w:cs="宋体"/>
                <w:i w:val="0"/>
                <w:color w:val="000000"/>
                <w:sz w:val="24"/>
                <w:szCs w:val="24"/>
                <w:u w:val="none"/>
                <w:lang w:val="en-US"/>
              </w:rPr>
            </w:pPr>
            <w:r>
              <w:rPr>
                <w:rFonts w:hint="eastAsia" w:ascii="宋体" w:hAnsi="宋体" w:cs="宋体"/>
                <w:i w:val="0"/>
                <w:color w:val="000000"/>
                <w:kern w:val="0"/>
                <w:sz w:val="24"/>
                <w:szCs w:val="24"/>
                <w:u w:val="none"/>
                <w:lang w:val="en-US" w:eastAsia="zh-CN" w:bidi="ar"/>
              </w:rPr>
              <w:t>1300</w:t>
            </w:r>
          </w:p>
        </w:tc>
        <w:tc>
          <w:tcPr>
            <w:tcW w:w="861" w:type="dxa"/>
            <w:tcBorders>
              <w:top w:val="nil"/>
              <w:left w:val="nil"/>
              <w:bottom w:val="single" w:color="000000" w:sz="8" w:space="0"/>
              <w:right w:val="single" w:color="000000" w:sz="8" w:space="0"/>
            </w:tcBorders>
            <w:noWrap w:val="0"/>
            <w:tcMar>
              <w:top w:w="10" w:type="dxa"/>
              <w:left w:w="10" w:type="dxa"/>
              <w:right w:w="10" w:type="dxa"/>
            </w:tcMar>
            <w:vAlign w:val="top"/>
          </w:tcPr>
          <w:p>
            <w:pPr>
              <w:keepNext w:val="0"/>
              <w:keepLines w:val="0"/>
              <w:widowControl/>
              <w:suppressLineNumbers w:val="0"/>
              <w:jc w:val="center"/>
              <w:textAlignment w:val="top"/>
              <w:rPr>
                <w:rFonts w:hint="default"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1310</w:t>
            </w:r>
          </w:p>
        </w:tc>
        <w:tc>
          <w:tcPr>
            <w:tcW w:w="1025" w:type="dxa"/>
            <w:tcBorders>
              <w:top w:val="nil"/>
              <w:left w:val="single" w:color="000000" w:sz="8" w:space="0"/>
              <w:bottom w:val="single" w:color="000000" w:sz="8" w:space="0"/>
              <w:right w:val="single" w:color="000000" w:sz="8" w:space="0"/>
            </w:tcBorders>
            <w:noWrap w:val="0"/>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78.95%</w:t>
            </w:r>
          </w:p>
        </w:tc>
        <w:tc>
          <w:tcPr>
            <w:tcW w:w="1241" w:type="dxa"/>
            <w:tcBorders>
              <w:top w:val="nil"/>
              <w:left w:val="nil"/>
              <w:bottom w:val="single" w:color="000000" w:sz="8" w:space="0"/>
              <w:right w:val="single" w:color="000000" w:sz="8" w:space="0"/>
            </w:tcBorders>
            <w:noWrap w:val="0"/>
            <w:tcMar>
              <w:top w:w="10" w:type="dxa"/>
              <w:left w:w="10" w:type="dxa"/>
              <w:right w:w="10"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100.00%</w:t>
            </w:r>
          </w:p>
        </w:tc>
      </w:tr>
      <w:tr>
        <w:tblPrEx>
          <w:tblCellMar>
            <w:top w:w="0" w:type="dxa"/>
            <w:left w:w="0" w:type="dxa"/>
            <w:bottom w:w="0" w:type="dxa"/>
            <w:right w:w="0" w:type="dxa"/>
          </w:tblCellMar>
        </w:tblPrEx>
        <w:trPr>
          <w:trHeight w:val="615" w:hRule="atLeast"/>
        </w:trPr>
        <w:tc>
          <w:tcPr>
            <w:tcW w:w="34" w:type="dxa"/>
            <w:tcBorders>
              <w:top w:val="nil"/>
              <w:left w:val="nil"/>
              <w:bottom w:val="nil"/>
              <w:right w:val="nil"/>
            </w:tcBorders>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822" w:type="dxa"/>
            <w:tcBorders>
              <w:top w:val="nil"/>
              <w:left w:val="single" w:color="000000" w:sz="8" w:space="0"/>
              <w:bottom w:val="single" w:color="000000" w:sz="8" w:space="0"/>
              <w:right w:val="single" w:color="000000" w:sz="8" w:space="0"/>
            </w:tcBorders>
            <w:noWrap w:val="0"/>
            <w:tcMar>
              <w:top w:w="10" w:type="dxa"/>
              <w:left w:w="10" w:type="dxa"/>
              <w:right w:w="10"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9</w:t>
            </w:r>
          </w:p>
        </w:tc>
        <w:tc>
          <w:tcPr>
            <w:tcW w:w="822" w:type="dxa"/>
            <w:tcBorders>
              <w:top w:val="nil"/>
              <w:left w:val="nil"/>
              <w:bottom w:val="single" w:color="000000" w:sz="8" w:space="0"/>
              <w:right w:val="single" w:color="000000" w:sz="8" w:space="0"/>
            </w:tcBorders>
            <w:noWrap w:val="0"/>
            <w:tcMar>
              <w:top w:w="10" w:type="dxa"/>
              <w:left w:w="10" w:type="dxa"/>
              <w:right w:w="10"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现代农业</w:t>
            </w:r>
          </w:p>
        </w:tc>
        <w:tc>
          <w:tcPr>
            <w:tcW w:w="1019" w:type="dxa"/>
            <w:tcBorders>
              <w:top w:val="nil"/>
              <w:left w:val="single" w:color="000000" w:sz="8" w:space="0"/>
              <w:bottom w:val="single" w:color="000000" w:sz="8" w:space="0"/>
              <w:right w:val="single" w:color="000000" w:sz="8" w:space="0"/>
            </w:tcBorders>
            <w:noWrap w:val="0"/>
            <w:tcMar>
              <w:top w:w="10" w:type="dxa"/>
              <w:left w:w="10" w:type="dxa"/>
              <w:right w:w="10"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没有毕业生</w:t>
            </w:r>
          </w:p>
        </w:tc>
        <w:tc>
          <w:tcPr>
            <w:tcW w:w="1052" w:type="dxa"/>
            <w:tcBorders>
              <w:top w:val="nil"/>
              <w:left w:val="single" w:color="000000" w:sz="8" w:space="0"/>
              <w:bottom w:val="single" w:color="000000" w:sz="8" w:space="0"/>
              <w:right w:val="single" w:color="000000" w:sz="8" w:space="0"/>
            </w:tcBorders>
            <w:noWrap w:val="0"/>
            <w:tcMar>
              <w:top w:w="10" w:type="dxa"/>
              <w:left w:w="10" w:type="dxa"/>
              <w:right w:w="10"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没有毕业生</w:t>
            </w:r>
          </w:p>
        </w:tc>
        <w:tc>
          <w:tcPr>
            <w:tcW w:w="1052" w:type="dxa"/>
            <w:tcBorders>
              <w:top w:val="nil"/>
              <w:left w:val="single" w:color="000000" w:sz="8" w:space="0"/>
              <w:bottom w:val="single" w:color="000000" w:sz="8" w:space="0"/>
              <w:right w:val="single" w:color="000000" w:sz="8" w:space="0"/>
            </w:tcBorders>
            <w:noWrap w:val="0"/>
            <w:tcMar>
              <w:top w:w="10" w:type="dxa"/>
              <w:left w:w="10" w:type="dxa"/>
              <w:right w:w="10"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没有毕业生</w:t>
            </w:r>
          </w:p>
        </w:tc>
        <w:tc>
          <w:tcPr>
            <w:tcW w:w="1025" w:type="dxa"/>
            <w:tcBorders>
              <w:top w:val="nil"/>
              <w:left w:val="single" w:color="000000" w:sz="8" w:space="0"/>
              <w:bottom w:val="single" w:color="000000" w:sz="8" w:space="0"/>
              <w:right w:val="single" w:color="000000" w:sz="8" w:space="0"/>
            </w:tcBorders>
            <w:noWrap w:val="0"/>
            <w:tcMar>
              <w:top w:w="10" w:type="dxa"/>
              <w:left w:w="10" w:type="dxa"/>
              <w:right w:w="10"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没有毕业生</w:t>
            </w:r>
          </w:p>
        </w:tc>
        <w:tc>
          <w:tcPr>
            <w:tcW w:w="907" w:type="dxa"/>
            <w:tcBorders>
              <w:top w:val="nil"/>
              <w:left w:val="single" w:color="000000" w:sz="8" w:space="0"/>
              <w:bottom w:val="single" w:color="000000" w:sz="8" w:space="0"/>
              <w:right w:val="single" w:color="000000" w:sz="8" w:space="0"/>
            </w:tcBorders>
            <w:noWrap w:val="0"/>
            <w:tcMar>
              <w:top w:w="10" w:type="dxa"/>
              <w:left w:w="10" w:type="dxa"/>
              <w:right w:w="10"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没有毕业生</w:t>
            </w:r>
          </w:p>
        </w:tc>
        <w:tc>
          <w:tcPr>
            <w:tcW w:w="861" w:type="dxa"/>
            <w:tcBorders>
              <w:top w:val="nil"/>
              <w:left w:val="single" w:color="000000" w:sz="8" w:space="0"/>
              <w:bottom w:val="single" w:color="000000" w:sz="8" w:space="0"/>
              <w:right w:val="single" w:color="000000" w:sz="8" w:space="0"/>
            </w:tcBorders>
            <w:noWrap w:val="0"/>
            <w:tcMar>
              <w:top w:w="10" w:type="dxa"/>
              <w:left w:w="10" w:type="dxa"/>
              <w:right w:w="10"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没有毕业生</w:t>
            </w:r>
          </w:p>
        </w:tc>
        <w:tc>
          <w:tcPr>
            <w:tcW w:w="1025" w:type="dxa"/>
            <w:tcBorders>
              <w:top w:val="nil"/>
              <w:left w:val="single" w:color="000000" w:sz="8" w:space="0"/>
              <w:bottom w:val="single" w:color="000000" w:sz="8" w:space="0"/>
              <w:right w:val="single" w:color="000000" w:sz="8" w:space="0"/>
            </w:tcBorders>
            <w:noWrap w:val="0"/>
            <w:tcMar>
              <w:top w:w="10" w:type="dxa"/>
              <w:left w:w="10" w:type="dxa"/>
              <w:right w:w="10"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没有毕业生</w:t>
            </w:r>
          </w:p>
        </w:tc>
        <w:tc>
          <w:tcPr>
            <w:tcW w:w="1241" w:type="dxa"/>
            <w:tcBorders>
              <w:top w:val="nil"/>
              <w:left w:val="single" w:color="000000" w:sz="8" w:space="0"/>
              <w:bottom w:val="single" w:color="000000" w:sz="8" w:space="0"/>
              <w:right w:val="single" w:color="000000" w:sz="8" w:space="0"/>
            </w:tcBorders>
            <w:noWrap w:val="0"/>
            <w:tcMar>
              <w:top w:w="10" w:type="dxa"/>
              <w:left w:w="10" w:type="dxa"/>
              <w:right w:w="10"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没有毕业生</w:t>
            </w:r>
          </w:p>
        </w:tc>
      </w:tr>
      <w:tr>
        <w:tblPrEx>
          <w:tblCellMar>
            <w:top w:w="0" w:type="dxa"/>
            <w:left w:w="0" w:type="dxa"/>
            <w:bottom w:w="0" w:type="dxa"/>
            <w:right w:w="0" w:type="dxa"/>
          </w:tblCellMar>
        </w:tblPrEx>
        <w:trPr>
          <w:trHeight w:val="615" w:hRule="atLeast"/>
        </w:trPr>
        <w:tc>
          <w:tcPr>
            <w:tcW w:w="34" w:type="dxa"/>
            <w:tcBorders>
              <w:top w:val="nil"/>
              <w:left w:val="nil"/>
              <w:bottom w:val="nil"/>
              <w:right w:val="nil"/>
            </w:tcBorders>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822" w:type="dxa"/>
            <w:tcBorders>
              <w:top w:val="nil"/>
              <w:left w:val="single" w:color="000000" w:sz="8" w:space="0"/>
              <w:bottom w:val="single" w:color="000000" w:sz="8" w:space="0"/>
              <w:right w:val="single" w:color="000000" w:sz="8" w:space="0"/>
            </w:tcBorders>
            <w:noWrap w:val="0"/>
            <w:tcMar>
              <w:top w:w="10" w:type="dxa"/>
              <w:left w:w="10" w:type="dxa"/>
              <w:right w:w="10"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w:t>
            </w:r>
          </w:p>
        </w:tc>
        <w:tc>
          <w:tcPr>
            <w:tcW w:w="822" w:type="dxa"/>
            <w:tcBorders>
              <w:top w:val="nil"/>
              <w:left w:val="nil"/>
              <w:bottom w:val="single" w:color="000000" w:sz="8" w:space="0"/>
              <w:right w:val="single" w:color="000000" w:sz="8" w:space="0"/>
            </w:tcBorders>
            <w:noWrap w:val="0"/>
            <w:tcMar>
              <w:top w:w="10" w:type="dxa"/>
              <w:left w:w="10" w:type="dxa"/>
              <w:right w:w="10" w:type="dxa"/>
            </w:tcMar>
            <w:vAlign w:val="top"/>
          </w:tcPr>
          <w:p>
            <w:pPr>
              <w:keepNext w:val="0"/>
              <w:keepLines w:val="0"/>
              <w:widowControl/>
              <w:suppressLineNumbers w:val="0"/>
              <w:jc w:val="both"/>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水晶工艺</w:t>
            </w:r>
          </w:p>
        </w:tc>
        <w:tc>
          <w:tcPr>
            <w:tcW w:w="1019" w:type="dxa"/>
            <w:tcBorders>
              <w:top w:val="nil"/>
              <w:left w:val="single" w:color="000000" w:sz="8" w:space="0"/>
              <w:bottom w:val="single" w:color="000000" w:sz="8" w:space="0"/>
              <w:right w:val="single" w:color="000000" w:sz="8" w:space="0"/>
            </w:tcBorders>
            <w:noWrap w:val="0"/>
            <w:tcMar>
              <w:top w:w="10" w:type="dxa"/>
              <w:left w:w="10" w:type="dxa"/>
              <w:right w:w="10"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97.20%</w:t>
            </w:r>
          </w:p>
        </w:tc>
        <w:tc>
          <w:tcPr>
            <w:tcW w:w="1052" w:type="dxa"/>
            <w:tcBorders>
              <w:top w:val="nil"/>
              <w:left w:val="nil"/>
              <w:bottom w:val="single" w:color="000000" w:sz="8" w:space="0"/>
              <w:right w:val="single" w:color="000000" w:sz="8" w:space="0"/>
            </w:tcBorders>
            <w:noWrap w:val="0"/>
            <w:tcMar>
              <w:top w:w="10" w:type="dxa"/>
              <w:left w:w="10" w:type="dxa"/>
              <w:right w:w="10" w:type="dxa"/>
            </w:tcMar>
            <w:vAlign w:val="top"/>
          </w:tcPr>
          <w:p>
            <w:pPr>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98.0%</w:t>
            </w:r>
          </w:p>
        </w:tc>
        <w:tc>
          <w:tcPr>
            <w:tcW w:w="1052" w:type="dxa"/>
            <w:tcBorders>
              <w:top w:val="nil"/>
              <w:left w:val="single" w:color="000000" w:sz="8" w:space="0"/>
              <w:bottom w:val="single" w:color="000000" w:sz="8" w:space="0"/>
              <w:right w:val="single" w:color="000000" w:sz="8" w:space="0"/>
            </w:tcBorders>
            <w:noWrap w:val="0"/>
            <w:tcMar>
              <w:top w:w="10" w:type="dxa"/>
              <w:left w:w="10" w:type="dxa"/>
              <w:right w:w="10" w:type="dxa"/>
            </w:tcMar>
            <w:vAlign w:val="top"/>
          </w:tcPr>
          <w:p>
            <w:pPr>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95.4%</w:t>
            </w:r>
          </w:p>
        </w:tc>
        <w:tc>
          <w:tcPr>
            <w:tcW w:w="1025" w:type="dxa"/>
            <w:tcBorders>
              <w:top w:val="nil"/>
              <w:left w:val="nil"/>
              <w:bottom w:val="single" w:color="000000" w:sz="8" w:space="0"/>
              <w:right w:val="single" w:color="000000" w:sz="8" w:space="0"/>
            </w:tcBorders>
            <w:noWrap w:val="0"/>
            <w:tcMar>
              <w:top w:w="10" w:type="dxa"/>
              <w:left w:w="10" w:type="dxa"/>
              <w:right w:w="10" w:type="dxa"/>
            </w:tcMar>
            <w:vAlign w:val="top"/>
          </w:tcPr>
          <w:p>
            <w:pPr>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96.1%</w:t>
            </w:r>
          </w:p>
        </w:tc>
        <w:tc>
          <w:tcPr>
            <w:tcW w:w="907" w:type="dxa"/>
            <w:tcBorders>
              <w:top w:val="nil"/>
              <w:left w:val="single" w:color="000000" w:sz="8" w:space="0"/>
              <w:bottom w:val="single" w:color="000000" w:sz="8" w:space="0"/>
              <w:right w:val="single" w:color="000000" w:sz="8" w:space="0"/>
            </w:tcBorders>
            <w:noWrap w:val="0"/>
            <w:tcMar>
              <w:top w:w="10" w:type="dxa"/>
              <w:left w:w="10" w:type="dxa"/>
              <w:right w:w="10" w:type="dxa"/>
            </w:tcMar>
            <w:vAlign w:val="top"/>
          </w:tcPr>
          <w:p>
            <w:pPr>
              <w:jc w:val="center"/>
              <w:rPr>
                <w:rFonts w:hint="default"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1230</w:t>
            </w:r>
          </w:p>
        </w:tc>
        <w:tc>
          <w:tcPr>
            <w:tcW w:w="861" w:type="dxa"/>
            <w:tcBorders>
              <w:top w:val="nil"/>
              <w:left w:val="nil"/>
              <w:bottom w:val="single" w:color="000000" w:sz="8" w:space="0"/>
              <w:right w:val="single" w:color="000000" w:sz="8" w:space="0"/>
            </w:tcBorders>
            <w:noWrap w:val="0"/>
            <w:tcMar>
              <w:top w:w="10" w:type="dxa"/>
              <w:left w:w="10" w:type="dxa"/>
              <w:right w:w="10" w:type="dxa"/>
            </w:tcMar>
            <w:vAlign w:val="top"/>
          </w:tcPr>
          <w:p>
            <w:pPr>
              <w:jc w:val="center"/>
              <w:rPr>
                <w:rFonts w:hint="default"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1400</w:t>
            </w:r>
          </w:p>
        </w:tc>
        <w:tc>
          <w:tcPr>
            <w:tcW w:w="1025" w:type="dxa"/>
            <w:tcBorders>
              <w:top w:val="nil"/>
              <w:left w:val="single" w:color="000000" w:sz="8" w:space="0"/>
              <w:bottom w:val="single" w:color="000000" w:sz="8" w:space="0"/>
              <w:right w:val="single" w:color="000000" w:sz="8" w:space="0"/>
            </w:tcBorders>
            <w:noWrap w:val="0"/>
            <w:tcMar>
              <w:top w:w="10" w:type="dxa"/>
              <w:left w:w="10" w:type="dxa"/>
              <w:right w:w="10" w:type="dxa"/>
            </w:tcMar>
            <w:vAlign w:val="top"/>
          </w:tcPr>
          <w:p>
            <w:pPr>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100%</w:t>
            </w:r>
          </w:p>
        </w:tc>
        <w:tc>
          <w:tcPr>
            <w:tcW w:w="1241" w:type="dxa"/>
            <w:tcBorders>
              <w:top w:val="nil"/>
              <w:left w:val="nil"/>
              <w:bottom w:val="single" w:color="000000" w:sz="8" w:space="0"/>
              <w:right w:val="single" w:color="000000" w:sz="8" w:space="0"/>
            </w:tcBorders>
            <w:noWrap w:val="0"/>
            <w:tcMar>
              <w:top w:w="10" w:type="dxa"/>
              <w:left w:w="10" w:type="dxa"/>
              <w:right w:w="10" w:type="dxa"/>
            </w:tcMar>
            <w:vAlign w:val="top"/>
          </w:tcPr>
          <w:p>
            <w:pPr>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100%</w:t>
            </w:r>
          </w:p>
        </w:tc>
      </w:tr>
      <w:tr>
        <w:tblPrEx>
          <w:tblCellMar>
            <w:top w:w="0" w:type="dxa"/>
            <w:left w:w="0" w:type="dxa"/>
            <w:bottom w:w="0" w:type="dxa"/>
            <w:right w:w="0" w:type="dxa"/>
          </w:tblCellMar>
        </w:tblPrEx>
        <w:trPr>
          <w:trHeight w:val="315" w:hRule="atLeast"/>
        </w:trPr>
        <w:tc>
          <w:tcPr>
            <w:tcW w:w="34" w:type="dxa"/>
            <w:tcBorders>
              <w:top w:val="nil"/>
              <w:left w:val="nil"/>
              <w:bottom w:val="nil"/>
              <w:right w:val="nil"/>
            </w:tcBorders>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822" w:type="dxa"/>
            <w:tcBorders>
              <w:top w:val="nil"/>
              <w:left w:val="single" w:color="000000" w:sz="8" w:space="0"/>
              <w:bottom w:val="single" w:color="000000" w:sz="8" w:space="0"/>
              <w:right w:val="single" w:color="000000" w:sz="8" w:space="0"/>
            </w:tcBorders>
            <w:noWrap w:val="0"/>
            <w:tcMar>
              <w:top w:w="10" w:type="dxa"/>
              <w:left w:w="10" w:type="dxa"/>
              <w:right w:w="10" w:type="dxa"/>
            </w:tcMar>
            <w:vAlign w:val="top"/>
          </w:tcPr>
          <w:p>
            <w:pPr>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11</w:t>
            </w:r>
          </w:p>
        </w:tc>
        <w:tc>
          <w:tcPr>
            <w:tcW w:w="822" w:type="dxa"/>
            <w:tcBorders>
              <w:top w:val="nil"/>
              <w:left w:val="nil"/>
              <w:bottom w:val="single" w:color="000000" w:sz="8" w:space="0"/>
              <w:right w:val="single" w:color="000000" w:sz="8" w:space="0"/>
            </w:tcBorders>
            <w:noWrap w:val="0"/>
            <w:tcMar>
              <w:top w:w="10" w:type="dxa"/>
              <w:left w:w="10" w:type="dxa"/>
              <w:right w:w="10" w:type="dxa"/>
            </w:tcMar>
            <w:vAlign w:val="top"/>
          </w:tcPr>
          <w:p>
            <w:pPr>
              <w:jc w:val="both"/>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烹饪</w:t>
            </w:r>
          </w:p>
        </w:tc>
        <w:tc>
          <w:tcPr>
            <w:tcW w:w="1019" w:type="dxa"/>
            <w:tcBorders>
              <w:top w:val="nil"/>
              <w:left w:val="nil"/>
              <w:bottom w:val="single" w:color="000000" w:sz="8" w:space="0"/>
              <w:right w:val="single" w:color="000000" w:sz="8" w:space="0"/>
            </w:tcBorders>
            <w:noWrap w:val="0"/>
            <w:tcMar>
              <w:top w:w="10" w:type="dxa"/>
              <w:left w:w="10" w:type="dxa"/>
              <w:right w:w="10" w:type="dxa"/>
            </w:tcMar>
            <w:vAlign w:val="top"/>
          </w:tcPr>
          <w:p>
            <w:pPr>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100%</w:t>
            </w:r>
          </w:p>
        </w:tc>
        <w:tc>
          <w:tcPr>
            <w:tcW w:w="1052" w:type="dxa"/>
            <w:tcBorders>
              <w:top w:val="nil"/>
              <w:left w:val="nil"/>
              <w:bottom w:val="single" w:color="000000" w:sz="8" w:space="0"/>
              <w:right w:val="single" w:color="000000" w:sz="8" w:space="0"/>
            </w:tcBorders>
            <w:noWrap w:val="0"/>
            <w:tcMar>
              <w:top w:w="10" w:type="dxa"/>
              <w:left w:w="10" w:type="dxa"/>
              <w:right w:w="10" w:type="dxa"/>
            </w:tcMar>
            <w:vAlign w:val="top"/>
          </w:tcPr>
          <w:p>
            <w:pPr>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100%</w:t>
            </w:r>
          </w:p>
        </w:tc>
        <w:tc>
          <w:tcPr>
            <w:tcW w:w="1052" w:type="dxa"/>
            <w:tcBorders>
              <w:top w:val="nil"/>
              <w:left w:val="single" w:color="000000" w:sz="8" w:space="0"/>
              <w:bottom w:val="single" w:color="000000" w:sz="8" w:space="0"/>
              <w:right w:val="single" w:color="000000" w:sz="8" w:space="0"/>
            </w:tcBorders>
            <w:noWrap/>
            <w:tcMar>
              <w:top w:w="10" w:type="dxa"/>
              <w:left w:w="10" w:type="dxa"/>
              <w:right w:w="10" w:type="dxa"/>
            </w:tcMar>
            <w:vAlign w:val="center"/>
          </w:tcPr>
          <w:p>
            <w:pPr>
              <w:jc w:val="center"/>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98.8%</w:t>
            </w:r>
          </w:p>
        </w:tc>
        <w:tc>
          <w:tcPr>
            <w:tcW w:w="1025" w:type="dxa"/>
            <w:tcBorders>
              <w:top w:val="nil"/>
              <w:left w:val="nil"/>
              <w:bottom w:val="single" w:color="000000" w:sz="8" w:space="0"/>
              <w:right w:val="single" w:color="000000" w:sz="8" w:space="0"/>
            </w:tcBorders>
            <w:noWrap w:val="0"/>
            <w:tcMar>
              <w:top w:w="10" w:type="dxa"/>
              <w:left w:w="10" w:type="dxa"/>
              <w:right w:w="10" w:type="dxa"/>
            </w:tcMar>
            <w:vAlign w:val="top"/>
          </w:tcPr>
          <w:p>
            <w:pPr>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99.1%</w:t>
            </w:r>
          </w:p>
        </w:tc>
        <w:tc>
          <w:tcPr>
            <w:tcW w:w="907" w:type="dxa"/>
            <w:tcBorders>
              <w:top w:val="nil"/>
              <w:left w:val="single" w:color="000000" w:sz="8" w:space="0"/>
              <w:bottom w:val="single" w:color="000000" w:sz="8" w:space="0"/>
              <w:right w:val="single" w:color="000000" w:sz="8" w:space="0"/>
            </w:tcBorders>
            <w:noWrap/>
            <w:tcMar>
              <w:top w:w="10" w:type="dxa"/>
              <w:left w:w="10" w:type="dxa"/>
              <w:right w:w="10" w:type="dxa"/>
            </w:tcMar>
            <w:vAlign w:val="center"/>
          </w:tcPr>
          <w:p>
            <w:pPr>
              <w:jc w:val="center"/>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2</w:t>
            </w:r>
            <w:r>
              <w:rPr>
                <w:rFonts w:hint="eastAsia" w:ascii="宋体" w:hAnsi="宋体" w:cs="宋体"/>
                <w:i w:val="0"/>
                <w:color w:val="000000"/>
                <w:sz w:val="22"/>
                <w:szCs w:val="22"/>
                <w:u w:val="none"/>
                <w:lang w:val="en-US" w:eastAsia="zh-CN"/>
              </w:rPr>
              <w:t>100</w:t>
            </w:r>
          </w:p>
        </w:tc>
        <w:tc>
          <w:tcPr>
            <w:tcW w:w="861" w:type="dxa"/>
            <w:tcBorders>
              <w:top w:val="nil"/>
              <w:left w:val="nil"/>
              <w:bottom w:val="single" w:color="000000" w:sz="8" w:space="0"/>
              <w:right w:val="single" w:color="000000" w:sz="8" w:space="0"/>
            </w:tcBorders>
            <w:noWrap w:val="0"/>
            <w:tcMar>
              <w:top w:w="10" w:type="dxa"/>
              <w:left w:w="10" w:type="dxa"/>
              <w:right w:w="10" w:type="dxa"/>
            </w:tcMar>
            <w:vAlign w:val="top"/>
          </w:tcPr>
          <w:p>
            <w:pPr>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2</w:t>
            </w:r>
            <w:r>
              <w:rPr>
                <w:rFonts w:hint="eastAsia" w:ascii="宋体" w:hAnsi="宋体" w:cs="宋体"/>
                <w:i w:val="0"/>
                <w:color w:val="000000"/>
                <w:sz w:val="24"/>
                <w:szCs w:val="24"/>
                <w:u w:val="none"/>
                <w:lang w:val="en-US" w:eastAsia="zh-CN"/>
              </w:rPr>
              <w:t>200</w:t>
            </w:r>
          </w:p>
        </w:tc>
        <w:tc>
          <w:tcPr>
            <w:tcW w:w="1025" w:type="dxa"/>
            <w:tcBorders>
              <w:top w:val="nil"/>
              <w:left w:val="single" w:color="000000" w:sz="8" w:space="0"/>
              <w:bottom w:val="single" w:color="000000" w:sz="8" w:space="0"/>
              <w:right w:val="single" w:color="000000" w:sz="8" w:space="0"/>
            </w:tcBorders>
            <w:noWrap/>
            <w:tcMar>
              <w:top w:w="10" w:type="dxa"/>
              <w:left w:w="10" w:type="dxa"/>
              <w:right w:w="10" w:type="dxa"/>
            </w:tcMar>
            <w:vAlign w:val="center"/>
          </w:tcPr>
          <w:p>
            <w:pPr>
              <w:jc w:val="center"/>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90%</w:t>
            </w:r>
          </w:p>
        </w:tc>
        <w:tc>
          <w:tcPr>
            <w:tcW w:w="1241" w:type="dxa"/>
            <w:tcBorders>
              <w:top w:val="nil"/>
              <w:left w:val="nil"/>
              <w:bottom w:val="single" w:color="000000" w:sz="8" w:space="0"/>
              <w:right w:val="single" w:color="000000" w:sz="8" w:space="0"/>
            </w:tcBorders>
            <w:noWrap/>
            <w:tcMar>
              <w:top w:w="10" w:type="dxa"/>
              <w:left w:w="10" w:type="dxa"/>
              <w:right w:w="10" w:type="dxa"/>
            </w:tcMar>
            <w:vAlign w:val="center"/>
          </w:tcPr>
          <w:p>
            <w:pPr>
              <w:jc w:val="center"/>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100%</w:t>
            </w:r>
          </w:p>
        </w:tc>
      </w:tr>
    </w:tbl>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right="0" w:rightChars="0"/>
        <w:textAlignment w:val="auto"/>
        <w:outlineLvl w:val="9"/>
        <w:rPr>
          <w:rFonts w:hint="eastAsia"/>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right="0" w:rightChars="0" w:firstLine="480" w:firstLineChars="20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在学校全体领导班子的齐心协力下，随着学校师资力量的不断加强，学校对教学设施、设备、人才培养的不断投入，无论是学生的动手能力还是升学率都逐年提高，学生初次就业的就业率、就业对口率、初次就业薪资也在不断提高。</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right="0" w:rightChars="0"/>
        <w:textAlignment w:val="auto"/>
        <w:outlineLvl w:val="1"/>
        <w:rPr>
          <w:rFonts w:hint="eastAsia" w:ascii="宋体" w:hAnsi="宋体" w:eastAsia="宋体" w:cs="宋体"/>
          <w:b/>
          <w:bCs/>
          <w:color w:val="000000"/>
          <w:kern w:val="0"/>
          <w:sz w:val="24"/>
          <w:szCs w:val="24"/>
          <w:lang w:val="en-US" w:eastAsia="zh-CN" w:bidi="ar-SA"/>
        </w:rPr>
      </w:pPr>
      <w:bookmarkStart w:id="10" w:name="_Toc16503"/>
      <w:r>
        <w:rPr>
          <w:rFonts w:hint="eastAsia"/>
          <w:b/>
          <w:bCs/>
          <w:color w:val="auto"/>
          <w:sz w:val="28"/>
          <w:szCs w:val="28"/>
          <w:lang w:val="en-US" w:eastAsia="zh-CN"/>
        </w:rPr>
        <w:t>5.职业发展</w:t>
      </w:r>
      <w:bookmarkEnd w:id="10"/>
    </w:p>
    <w:p>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学校始终坚持以培养学生的职业能力、职业素养为主线，通过选择性课改，点亮学生兴趣之灯，激发学生学习潜能，进而形成良好的学习能力；通过以学校为主导、以学生为主体、以企业为辅助来提升学生的职业能力与职业素养，提高学生的岗位适应能力与岗位迁移能力和创新创业能力。</w:t>
      </w:r>
    </w:p>
    <w:p>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从学校方面，将专业学生的职业素养培养纳入教学目标，从学生入学第一天起，就让他们明白学校与社会的关系、学习与职业的关系、自己与职业的关系；在选择性改课的自由选修课中开设与职业素养、岗位适应能力与岗位迁移能力和创新创业能力相关的课程供学生选择，如：服务礼仪、趣味心理学、职业规划、文学欣赏、跨境电商英语、围棋、创新课、健康养生等，并保证足够的课时，充分发挥语文、德育等体现人文素养的文化课的育人作用，还创立李文建创新工作室和郑洛宜电商创业工作室提供给学生更多的创新和创业体验及实践，不断加强中职学生的职业素养，培养了学生的学习能力、岗位迁移能力和创新创业能力。</w:t>
      </w:r>
    </w:p>
    <w:p>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从学生方面，紧抓学校的教学资源（如在自由选修课中开设非遗传承人的课程、实训室环境布置体现出工匠精神），一方面完成专业知识、技能等职业素养的培养；另一方面通过学校的各种活动（如始业教育、社会实践、专家讲座、劳模进校园、首届班主任节等），培养集体荣誉感、团队精神、独立性、与人沟通的交际能力等隐性的职业素养，从而树立正确的人生观、世界观和价值观，为将来顺利就业创业打下基础。</w:t>
      </w:r>
    </w:p>
    <w:p>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从企业方面，让企业积极地参与到专业学生的培养中来，（比如请企业专家来讲座，带学生参观企业感知企业文化，了解企业制度，参与企业实践等）使他们融入企业，在潜移默化中提升他们的职业素养，培养学生的岗位适应能力。</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lang w:val="en-US" w:eastAsia="zh-CN"/>
        </w:rPr>
      </w:pPr>
    </w:p>
    <w:p>
      <w:pPr>
        <w:keepNext w:val="0"/>
        <w:keepLines w:val="0"/>
        <w:pageBreakBefore w:val="0"/>
        <w:numPr>
          <w:ilvl w:val="0"/>
          <w:numId w:val="4"/>
        </w:numPr>
        <w:kinsoku/>
        <w:wordWrap/>
        <w:overflowPunct/>
        <w:topLinePunct w:val="0"/>
        <w:autoSpaceDE/>
        <w:autoSpaceDN/>
        <w:bidi w:val="0"/>
        <w:adjustRightInd/>
        <w:spacing w:beforeAutospacing="0" w:afterAutospacing="0" w:line="360" w:lineRule="auto"/>
        <w:ind w:left="0" w:leftChars="0" w:right="0" w:rightChars="0" w:firstLine="0" w:firstLineChars="0"/>
        <w:textAlignment w:val="auto"/>
        <w:outlineLvl w:val="0"/>
        <w:rPr>
          <w:rFonts w:hint="eastAsia"/>
          <w:b/>
          <w:bCs/>
          <w:sz w:val="32"/>
          <w:szCs w:val="32"/>
          <w:lang w:val="en-US" w:eastAsia="zh-CN"/>
        </w:rPr>
      </w:pPr>
      <w:bookmarkStart w:id="11" w:name="_Toc26322"/>
      <w:r>
        <w:rPr>
          <w:rFonts w:hint="eastAsia"/>
          <w:b/>
          <w:bCs/>
          <w:sz w:val="32"/>
          <w:szCs w:val="32"/>
          <w:lang w:val="en-US" w:eastAsia="zh-CN"/>
        </w:rPr>
        <w:t>质量保障措施</w:t>
      </w:r>
      <w:bookmarkEnd w:id="11"/>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right="0" w:rightChars="0" w:firstLine="562" w:firstLineChars="200"/>
        <w:textAlignment w:val="auto"/>
        <w:outlineLvl w:val="9"/>
        <w:rPr>
          <w:rFonts w:hint="eastAsia"/>
          <w:b/>
          <w:bCs/>
          <w:color w:val="auto"/>
          <w:sz w:val="28"/>
          <w:szCs w:val="28"/>
          <w:lang w:val="en-US" w:eastAsia="zh-CN"/>
        </w:rPr>
      </w:pPr>
      <w:r>
        <w:rPr>
          <w:rFonts w:hint="eastAsia"/>
          <w:b/>
          <w:bCs/>
          <w:color w:val="auto"/>
          <w:sz w:val="28"/>
          <w:szCs w:val="28"/>
          <w:lang w:val="en-US" w:eastAsia="zh-CN"/>
        </w:rPr>
        <w:t>1.专业动态调整</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firstLine="0" w:firstLineChars="0"/>
        <w:textAlignment w:val="auto"/>
        <w:outlineLvl w:val="9"/>
        <w:rPr>
          <w:rFonts w:hint="default"/>
          <w:color w:val="auto"/>
          <w:sz w:val="24"/>
          <w:szCs w:val="24"/>
          <w:lang w:val="en-US" w:eastAsia="zh-CN"/>
        </w:rPr>
      </w:pPr>
      <w:r>
        <w:rPr>
          <w:rFonts w:hint="eastAsia"/>
          <w:color w:val="auto"/>
          <w:sz w:val="24"/>
          <w:szCs w:val="24"/>
          <w:lang w:val="en-US" w:eastAsia="zh-CN"/>
        </w:rPr>
        <w:t xml:space="preserve">    （1）积极申报浙江省双高专业建设工程，我校工艺美术专业和电子电工专业均入选双高建设项目名单。</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firstLine="480" w:firstLineChars="200"/>
        <w:textAlignment w:val="auto"/>
        <w:outlineLvl w:val="9"/>
        <w:rPr>
          <w:rFonts w:hint="eastAsia"/>
          <w:color w:val="auto"/>
          <w:sz w:val="24"/>
          <w:szCs w:val="24"/>
          <w:lang w:val="en-US" w:eastAsia="zh-CN"/>
        </w:rPr>
      </w:pPr>
      <w:r>
        <w:rPr>
          <w:rFonts w:hint="eastAsia"/>
          <w:color w:val="auto"/>
          <w:sz w:val="24"/>
          <w:szCs w:val="24"/>
          <w:lang w:val="en-US" w:eastAsia="zh-CN"/>
        </w:rPr>
        <w:t>（2）紧跟地方产业，调整专业结构</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firstLine="0" w:firstLineChars="0"/>
        <w:textAlignment w:val="auto"/>
        <w:outlineLvl w:val="9"/>
        <w:rPr>
          <w:rFonts w:hint="default"/>
          <w:color w:val="auto"/>
          <w:sz w:val="24"/>
          <w:szCs w:val="24"/>
          <w:lang w:val="en-US" w:eastAsia="zh-CN"/>
        </w:rPr>
      </w:pPr>
      <w:r>
        <w:rPr>
          <w:rFonts w:hint="eastAsia"/>
          <w:color w:val="auto"/>
          <w:sz w:val="24"/>
          <w:szCs w:val="24"/>
          <w:lang w:val="en-US" w:eastAsia="zh-CN"/>
        </w:rPr>
        <w:t xml:space="preserve">    学校始终紧密围绕区域水晶、绗缝工艺、制锁、电商产业发展，专业设置根据地方经济和人民的需求，专业建设不断加强，专业特色更加鲜明，在开设有工艺美术、水晶工艺与设计、学前教育、电子商务、计算机应用、财会、旅游、烹饪、电子电工、数控机械、汽车维修、健康养生等专业的基础上，伴随县域智能制造产业的发展，扩大了智能制造专业的招生规模。目前省级示范专业2个（水晶工艺与设计、电子电工）、省级实训基地1个（数控机械），初步形成了以艺术类为主体，智能制造类和商贸服务类为两翼的专业群结构。</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firstLine="0" w:firstLineChars="0"/>
        <w:textAlignment w:val="auto"/>
        <w:outlineLvl w:val="9"/>
        <w:rPr>
          <w:rFonts w:hint="eastAsia"/>
          <w:color w:val="auto"/>
          <w:sz w:val="24"/>
          <w:szCs w:val="24"/>
          <w:lang w:val="en-US" w:eastAsia="zh-CN"/>
        </w:rPr>
      </w:pPr>
      <w:r>
        <w:rPr>
          <w:rFonts w:hint="eastAsia"/>
          <w:color w:val="auto"/>
          <w:sz w:val="24"/>
          <w:szCs w:val="24"/>
          <w:lang w:val="en-US" w:eastAsia="zh-CN"/>
        </w:rPr>
        <w:t xml:space="preserve">    （3）结合专业特色，完善人才培养模式</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firstLine="480" w:firstLineChars="0"/>
        <w:textAlignment w:val="auto"/>
        <w:outlineLvl w:val="9"/>
        <w:rPr>
          <w:rFonts w:hint="eastAsia"/>
          <w:color w:val="auto"/>
          <w:sz w:val="24"/>
          <w:szCs w:val="24"/>
          <w:lang w:val="en-US" w:eastAsia="zh-CN"/>
        </w:rPr>
      </w:pPr>
      <w:r>
        <w:rPr>
          <w:rFonts w:hint="eastAsia"/>
          <w:color w:val="auto"/>
          <w:sz w:val="24"/>
          <w:szCs w:val="24"/>
          <w:lang w:val="en-US" w:eastAsia="zh-CN"/>
        </w:rPr>
        <w:t>通过广泛调研当地企业用人需求，结合学校实际，加大了工学结合融合度，提升了专业与产业、岗位与课程的对接度，经行业、企业、学校专家多方论证，形成了各具专业特色的人才培养模式。例如：工艺美术专业建设——“以就业为导向、以职业能力为本位”的人才培养模式；电子商务专业建设——“感知实践、项目实践和角色实践”的人才培养模式。</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right="0" w:rightChars="0" w:firstLine="562" w:firstLineChars="200"/>
        <w:textAlignment w:val="auto"/>
        <w:outlineLvl w:val="9"/>
        <w:rPr>
          <w:rFonts w:hint="eastAsia"/>
          <w:b/>
          <w:bCs/>
          <w:color w:val="auto"/>
          <w:sz w:val="28"/>
          <w:szCs w:val="28"/>
          <w:lang w:val="en-US" w:eastAsia="zh-CN"/>
        </w:rPr>
      </w:pPr>
      <w:r>
        <w:rPr>
          <w:rFonts w:hint="eastAsia"/>
          <w:b/>
          <w:bCs/>
          <w:color w:val="auto"/>
          <w:sz w:val="28"/>
          <w:szCs w:val="28"/>
          <w:lang w:val="en-US" w:eastAsia="zh-CN"/>
        </w:rPr>
        <w:t>2.教育教学改革</w:t>
      </w:r>
    </w:p>
    <w:p>
      <w:pPr>
        <w:pStyle w:val="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tabs>
          <w:tab w:val="left" w:pos="778"/>
          <w:tab w:val="clear" w:pos="9160"/>
          <w:tab w:val="clear" w:pos="10992"/>
          <w:tab w:val="clear" w:pos="12824"/>
          <w:tab w:val="clear" w:pos="14656"/>
        </w:tabs>
        <w:kinsoku/>
        <w:wordWrap/>
        <w:overflowPunct/>
        <w:topLinePunct w:val="0"/>
        <w:autoSpaceDE/>
        <w:autoSpaceDN/>
        <w:bidi w:val="0"/>
        <w:adjustRightInd/>
        <w:snapToGrid/>
        <w:spacing w:beforeAutospacing="0" w:afterAutospacing="0" w:line="440" w:lineRule="exact"/>
        <w:ind w:right="0" w:rightChars="0" w:firstLine="481"/>
        <w:jc w:val="both"/>
        <w:textAlignment w:val="auto"/>
        <w:outlineLvl w:val="9"/>
        <w:rPr>
          <w:rFonts w:hint="default" w:cs="宋体"/>
          <w:b w:val="0"/>
          <w:bCs w:val="0"/>
          <w:i w:val="0"/>
          <w:caps w:val="0"/>
          <w:color w:val="auto"/>
          <w:spacing w:val="0"/>
          <w:sz w:val="24"/>
          <w:szCs w:val="24"/>
          <w:shd w:val="clear" w:color="auto" w:fill="FFFFFF"/>
          <w:lang w:val="en-US" w:eastAsia="zh-CN"/>
        </w:rPr>
      </w:pPr>
      <w:r>
        <w:rPr>
          <w:rFonts w:hint="eastAsia" w:cs="宋体"/>
          <w:b w:val="0"/>
          <w:bCs w:val="0"/>
          <w:i w:val="0"/>
          <w:caps w:val="0"/>
          <w:color w:val="auto"/>
          <w:spacing w:val="0"/>
          <w:sz w:val="24"/>
          <w:szCs w:val="24"/>
          <w:shd w:val="clear" w:color="auto" w:fill="FFFFFF"/>
          <w:lang w:val="en-US" w:eastAsia="zh-CN"/>
        </w:rPr>
        <w:t>学校紧紧围绕浙江省中职改革“增加学生选择性”这一指导思想，多举措实践，将“专业选择、方向选择、课程选择、学制选择权”交给学生，有效点亮学生的兴趣之灯，取得良好成效。在原有措施的基础上，更加注重课程的内涵和质量。</w:t>
      </w:r>
    </w:p>
    <w:p>
      <w:pPr>
        <w:numPr>
          <w:ilvl w:val="0"/>
          <w:numId w:val="0"/>
        </w:numPr>
        <w:tabs>
          <w:tab w:val="left" w:pos="901"/>
        </w:tabs>
        <w:spacing w:beforeLines="50" w:afterLines="50" w:line="460" w:lineRule="exact"/>
        <w:ind w:left="562" w:leftChars="0"/>
        <w:rPr>
          <w:rFonts w:hint="eastAsia" w:ascii="黑体" w:hAnsi="宋体" w:eastAsia="黑体"/>
          <w:b/>
          <w:kern w:val="0"/>
          <w:sz w:val="28"/>
          <w:szCs w:val="28"/>
          <w:lang w:val="en-US" w:eastAsia="zh-CN"/>
        </w:rPr>
      </w:pPr>
      <w:r>
        <w:rPr>
          <w:rFonts w:hint="eastAsia" w:ascii="黑体" w:hAnsi="宋体" w:eastAsia="黑体"/>
          <w:b/>
          <w:kern w:val="0"/>
          <w:sz w:val="28"/>
          <w:szCs w:val="28"/>
          <w:lang w:val="en-US" w:eastAsia="zh-CN"/>
        </w:rPr>
        <w:t>（1）学科组推课程提选修课程质量</w:t>
      </w:r>
    </w:p>
    <w:p>
      <w:pPr>
        <w:keepNext w:val="0"/>
        <w:keepLines w:val="0"/>
        <w:pageBreakBefore w:val="0"/>
        <w:kinsoku/>
        <w:wordWrap/>
        <w:overflowPunct/>
        <w:topLinePunct w:val="0"/>
        <w:bidi w:val="0"/>
        <w:adjustRightInd w:val="0"/>
        <w:snapToGrid w:val="0"/>
        <w:spacing w:line="420" w:lineRule="exact"/>
        <w:ind w:right="0" w:rightChars="0" w:firstLine="600" w:firstLineChars="250"/>
        <w:textAlignment w:val="auto"/>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每个学科组推出1-2门选择性课程，并制定课程标准，供学生开展自由选修。语数英学科组，对于推出的课程设置统一标准，不同教师上同一门课程，以不断提升选择性课程的质量，形成优质的学生喜欢的自由选修课。</w:t>
      </w:r>
    </w:p>
    <w:p>
      <w:pPr>
        <w:numPr>
          <w:ilvl w:val="0"/>
          <w:numId w:val="0"/>
        </w:numPr>
        <w:spacing w:beforeLines="50" w:afterLines="50" w:line="460" w:lineRule="exact"/>
        <w:ind w:left="562" w:leftChars="0"/>
        <w:rPr>
          <w:rFonts w:hint="eastAsia" w:ascii="黑体" w:hAnsi="宋体" w:eastAsia="黑体"/>
          <w:b/>
          <w:kern w:val="0"/>
          <w:sz w:val="28"/>
          <w:szCs w:val="28"/>
          <w:lang w:val="en-US" w:eastAsia="zh-CN"/>
        </w:rPr>
      </w:pPr>
      <w:r>
        <w:rPr>
          <w:rFonts w:hint="eastAsia" w:ascii="黑体" w:hAnsi="宋体" w:eastAsia="黑体"/>
          <w:b/>
          <w:kern w:val="0"/>
          <w:sz w:val="28"/>
          <w:szCs w:val="28"/>
          <w:lang w:val="en-US" w:eastAsia="zh-CN"/>
        </w:rPr>
        <w:t>（2）新增两门与产业对接的第二技能课程</w:t>
      </w:r>
    </w:p>
    <w:p>
      <w:pPr>
        <w:keepNext w:val="0"/>
        <w:keepLines w:val="0"/>
        <w:pageBreakBefore w:val="0"/>
        <w:kinsoku/>
        <w:wordWrap/>
        <w:overflowPunct/>
        <w:topLinePunct w:val="0"/>
        <w:bidi w:val="0"/>
        <w:adjustRightInd w:val="0"/>
        <w:snapToGrid w:val="0"/>
        <w:spacing w:line="420" w:lineRule="exact"/>
        <w:ind w:right="0" w:rightChars="0" w:firstLine="600" w:firstLineChars="250"/>
        <w:textAlignment w:val="auto"/>
        <w:rPr>
          <w:rFonts w:hint="eastAsia" w:ascii="黑体" w:hAnsi="宋体" w:eastAsia="黑体"/>
          <w:b/>
          <w:kern w:val="0"/>
          <w:sz w:val="28"/>
          <w:szCs w:val="28"/>
          <w:lang w:val="en-US" w:eastAsia="zh-CN"/>
        </w:rPr>
      </w:pPr>
      <w:r>
        <w:rPr>
          <w:rFonts w:hint="eastAsia" w:ascii="宋体" w:hAnsi="宋体" w:eastAsia="宋体" w:cs="宋体"/>
          <w:kern w:val="0"/>
          <w:sz w:val="24"/>
          <w:szCs w:val="24"/>
          <w:lang w:val="en-US" w:eastAsia="zh-CN"/>
        </w:rPr>
        <w:t>根据国务院印发的《国家职业教育改革实施方案》》（国发〔2019〕4号）精神，学校将深入贯彻“1+X”的人才培养模式，在去年初步尝试民宿小管家和连锁小店长的基础上，增加平面模特和电梯维修工两门与产业对接的第二技能课程，使得学生一专多能，拓宽其就业渠道，满足实体经济发展需要。</w:t>
      </w:r>
    </w:p>
    <w:p>
      <w:pPr>
        <w:numPr>
          <w:ilvl w:val="0"/>
          <w:numId w:val="0"/>
        </w:numPr>
        <w:spacing w:beforeLines="50" w:afterLines="50" w:line="460" w:lineRule="exact"/>
        <w:ind w:left="562" w:leftChars="0"/>
        <w:rPr>
          <w:rFonts w:hint="eastAsia" w:ascii="黑体" w:hAnsi="宋体" w:eastAsia="黑体"/>
          <w:b/>
          <w:kern w:val="0"/>
          <w:sz w:val="28"/>
          <w:szCs w:val="28"/>
          <w:lang w:val="en-US" w:eastAsia="zh-CN"/>
        </w:rPr>
      </w:pPr>
      <w:r>
        <w:rPr>
          <w:rFonts w:hint="eastAsia" w:ascii="黑体" w:hAnsi="宋体" w:eastAsia="黑体"/>
          <w:b/>
          <w:kern w:val="0"/>
          <w:sz w:val="28"/>
          <w:szCs w:val="28"/>
          <w:lang w:val="en-US" w:eastAsia="zh-CN"/>
        </w:rPr>
        <w:t>（3）开设非遗大讲堂传播工匠精神</w:t>
      </w:r>
    </w:p>
    <w:p>
      <w:pPr>
        <w:pStyle w:val="9"/>
        <w:keepNext w:val="0"/>
        <w:keepLines w:val="0"/>
        <w:pageBreakBefore w:val="0"/>
        <w:shd w:val="clear" w:color="auto" w:fill="FFFFFF"/>
        <w:kinsoku/>
        <w:wordWrap/>
        <w:overflowPunct/>
        <w:topLinePunct w:val="0"/>
        <w:bidi w:val="0"/>
        <w:spacing w:before="0" w:beforeAutospacing="0" w:after="0" w:afterAutospacing="0" w:line="420" w:lineRule="exact"/>
        <w:ind w:right="0" w:rightChars="0" w:firstLine="480" w:firstLineChars="200"/>
        <w:jc w:val="both"/>
        <w:textAlignment w:val="auto"/>
        <w:rPr>
          <w:rFonts w:hint="default" w:ascii="黑体" w:hAnsi="宋体" w:eastAsia="黑体"/>
          <w:b/>
          <w:kern w:val="0"/>
          <w:sz w:val="28"/>
          <w:szCs w:val="28"/>
          <w:lang w:val="en-US" w:eastAsia="zh-CN"/>
        </w:rPr>
      </w:pPr>
      <w:r>
        <w:rPr>
          <w:rFonts w:hint="eastAsia" w:ascii="宋体" w:hAnsi="宋体" w:eastAsia="宋体" w:cs="宋体"/>
          <w:sz w:val="24"/>
          <w:szCs w:val="24"/>
          <w:lang w:val="en-US" w:eastAsia="zh-CN"/>
        </w:rPr>
        <w:t>学校为了丰富选择性课程资源，结合地方的非物质文化遗产，利用学校资源，通过外引民间大师，内育技能大师，先后建立了</w:t>
      </w:r>
      <w:r>
        <w:rPr>
          <w:rFonts w:hint="eastAsia" w:ascii="宋体" w:hAnsi="宋体" w:eastAsia="宋体" w:cs="宋体"/>
          <w:sz w:val="24"/>
          <w:szCs w:val="24"/>
        </w:rPr>
        <w:t>非遗传承滚地龙工作室、非遗传承麦秆贴工作室、郑洛宜工作室（电商创业）、篾匠工作室、木工工作室、石雕工作室等工作室16个</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为了让更多的学生了解我县非遗项目以及培养学生的工匠精神，本学期开始开设非遗大讲堂。</w:t>
      </w:r>
    </w:p>
    <w:p>
      <w:pPr>
        <w:numPr>
          <w:ilvl w:val="0"/>
          <w:numId w:val="0"/>
        </w:numPr>
        <w:spacing w:beforeLines="50" w:afterLines="50" w:line="460" w:lineRule="exact"/>
        <w:ind w:left="562" w:leftChars="0"/>
        <w:rPr>
          <w:rFonts w:hint="eastAsia" w:ascii="黑体" w:hAnsi="宋体" w:eastAsia="黑体"/>
          <w:b/>
          <w:kern w:val="0"/>
          <w:sz w:val="28"/>
          <w:szCs w:val="28"/>
          <w:lang w:val="en-US" w:eastAsia="zh-CN"/>
        </w:rPr>
      </w:pPr>
      <w:r>
        <w:rPr>
          <w:rFonts w:hint="eastAsia" w:ascii="黑体" w:hAnsi="宋体" w:eastAsia="黑体"/>
          <w:b/>
          <w:kern w:val="0"/>
          <w:sz w:val="28"/>
          <w:szCs w:val="28"/>
          <w:lang w:val="en-US" w:eastAsia="zh-CN"/>
        </w:rPr>
        <w:t>（4）开设创新创业大讲堂培养学生创新创业意识</w:t>
      </w:r>
    </w:p>
    <w:p>
      <w:pPr>
        <w:numPr>
          <w:ilvl w:val="0"/>
          <w:numId w:val="0"/>
        </w:numPr>
        <w:spacing w:beforeLines="50" w:afterLines="50" w:line="460" w:lineRule="exact"/>
        <w:ind w:firstLine="480" w:firstLineChars="200"/>
        <w:rPr>
          <w:rFonts w:hint="default" w:eastAsia="宋体" w:cs="Arial"/>
          <w:color w:val="000000"/>
          <w:kern w:val="0"/>
          <w:sz w:val="24"/>
          <w:lang w:val="en-US" w:eastAsia="zh-CN"/>
        </w:rPr>
      </w:pPr>
      <w:r>
        <w:rPr>
          <w:rFonts w:hint="eastAsia" w:cs="Arial"/>
          <w:color w:val="000000"/>
          <w:kern w:val="0"/>
          <w:sz w:val="24"/>
          <w:lang w:val="en-US" w:eastAsia="zh-CN"/>
        </w:rPr>
        <w:t>为了有针对性的培养学生的创新创业意识，学校在自由选修课程中开设创新创业大讲堂，让有创新意识和创业目标的学生能够系统的学习创新创业知识，奠定创新创业的基础理论知识。同时能发现有创新创业意识的学生进行有针对性的重点培养，为其就业创业奠定良好的基础。</w:t>
      </w:r>
    </w:p>
    <w:p>
      <w:pPr>
        <w:numPr>
          <w:ilvl w:val="0"/>
          <w:numId w:val="0"/>
        </w:numPr>
        <w:spacing w:beforeLines="50" w:afterLines="50" w:line="460" w:lineRule="exact"/>
        <w:ind w:left="562" w:leftChars="0"/>
        <w:rPr>
          <w:rFonts w:hint="default" w:ascii="黑体" w:hAnsi="宋体" w:eastAsia="黑体"/>
          <w:b/>
          <w:kern w:val="0"/>
          <w:sz w:val="28"/>
          <w:szCs w:val="28"/>
          <w:lang w:val="en-US" w:eastAsia="zh-CN"/>
        </w:rPr>
      </w:pPr>
      <w:r>
        <w:rPr>
          <w:rFonts w:hint="eastAsia" w:ascii="黑体" w:hAnsi="宋体" w:eastAsia="黑体"/>
          <w:b/>
          <w:kern w:val="0"/>
          <w:sz w:val="28"/>
          <w:szCs w:val="28"/>
          <w:lang w:val="en-US" w:eastAsia="zh-CN"/>
        </w:rPr>
        <w:t>（5）规划创新创业实训室为创新创业教育奠定基础</w:t>
      </w:r>
    </w:p>
    <w:p>
      <w:pPr>
        <w:numPr>
          <w:ilvl w:val="0"/>
          <w:numId w:val="0"/>
        </w:numPr>
        <w:spacing w:beforeLines="50" w:afterLines="50" w:line="460" w:lineRule="exact"/>
        <w:ind w:firstLine="480" w:firstLineChars="200"/>
        <w:rPr>
          <w:rFonts w:hint="default" w:cs="Arial"/>
          <w:color w:val="000000"/>
          <w:kern w:val="0"/>
          <w:sz w:val="24"/>
          <w:lang w:val="en-US" w:eastAsia="zh-CN"/>
        </w:rPr>
      </w:pPr>
      <w:r>
        <w:rPr>
          <w:rFonts w:hint="eastAsia" w:cs="Arial"/>
          <w:color w:val="000000"/>
          <w:kern w:val="0"/>
          <w:sz w:val="24"/>
          <w:lang w:val="en-US" w:eastAsia="zh-CN"/>
        </w:rPr>
        <w:t>创新创业是中职教育的重要环节，除了意识的培养，应该让学生的创新思维和创业计划得到体验，因此本学期应该规划好创新创业实训室。让学生的想法变成现实，体现过程教育，同时规划进智能化元素，以培养学生的智能素养。</w:t>
      </w:r>
    </w:p>
    <w:p>
      <w:pPr>
        <w:numPr>
          <w:ilvl w:val="0"/>
          <w:numId w:val="0"/>
        </w:numPr>
        <w:spacing w:beforeLines="50" w:afterLines="50" w:line="460" w:lineRule="exact"/>
        <w:ind w:left="562" w:leftChars="0"/>
        <w:rPr>
          <w:rFonts w:hint="default" w:ascii="黑体" w:hAnsi="宋体" w:eastAsia="黑体"/>
          <w:b/>
          <w:kern w:val="0"/>
          <w:sz w:val="28"/>
          <w:szCs w:val="28"/>
          <w:lang w:val="en-US" w:eastAsia="zh-CN"/>
        </w:rPr>
      </w:pPr>
      <w:r>
        <w:rPr>
          <w:rFonts w:hint="eastAsia" w:ascii="黑体" w:hAnsi="宋体" w:eastAsia="黑体"/>
          <w:b/>
          <w:kern w:val="0"/>
          <w:sz w:val="28"/>
          <w:szCs w:val="28"/>
          <w:lang w:val="en-US" w:eastAsia="zh-CN"/>
        </w:rPr>
        <w:t>（6）继续优化学生选修课的展示舞台</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Chars="0" w:right="0" w:rightChars="0" w:firstLine="480" w:firstLineChars="200"/>
        <w:textAlignment w:val="auto"/>
        <w:outlineLvl w:val="9"/>
        <w:rPr>
          <w:rFonts w:hint="eastAsia"/>
          <w:b/>
          <w:bCs/>
          <w:sz w:val="28"/>
          <w:szCs w:val="28"/>
          <w:lang w:val="en-US" w:eastAsia="zh-CN"/>
        </w:rPr>
      </w:pPr>
      <w:r>
        <w:rPr>
          <w:rFonts w:hint="eastAsia" w:ascii="宋体" w:hAnsi="宋体" w:eastAsia="宋体" w:cs="宋体"/>
          <w:kern w:val="0"/>
          <w:sz w:val="24"/>
          <w:szCs w:val="24"/>
          <w:lang w:val="en-US" w:eastAsia="zh-CN"/>
        </w:rPr>
        <w:t>选择性课程改革，不仅仅是让学生根据自己的兴趣爱好进行选择，还应该让学生的兴趣爱好在进行学习之后的成效展现出来。给学生一个展示的舞台，让学生从中体验成功。学校将借助下半年校园文化艺术节作为主要的展示舞台。让学生的兴趣特长、个人素养在展示中得到自信优雅的绽放。</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right="0" w:rightChars="0" w:firstLine="562" w:firstLineChars="200"/>
        <w:textAlignment w:val="auto"/>
        <w:outlineLvl w:val="9"/>
        <w:rPr>
          <w:rFonts w:hint="eastAsia"/>
          <w:b/>
          <w:bCs/>
          <w:sz w:val="28"/>
          <w:szCs w:val="28"/>
          <w:lang w:val="en-US" w:eastAsia="zh-CN"/>
        </w:rPr>
      </w:pPr>
      <w:r>
        <w:rPr>
          <w:rFonts w:hint="eastAsia"/>
          <w:b/>
          <w:bCs/>
          <w:sz w:val="28"/>
          <w:szCs w:val="28"/>
          <w:lang w:val="en-US" w:eastAsia="zh-CN"/>
        </w:rPr>
        <w:t>3.教师培养培训</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right="0" w:rightChars="0" w:firstLine="480" w:firstLineChars="200"/>
        <w:textAlignment w:val="auto"/>
        <w:outlineLvl w:val="9"/>
        <w:rPr>
          <w:rFonts w:hint="eastAsia"/>
          <w:b w:val="0"/>
          <w:bCs w:val="0"/>
          <w:sz w:val="24"/>
          <w:szCs w:val="24"/>
          <w:lang w:val="en-US" w:eastAsia="zh-CN"/>
        </w:rPr>
      </w:pPr>
      <w:r>
        <w:rPr>
          <w:rFonts w:hint="eastAsia"/>
          <w:b w:val="0"/>
          <w:bCs w:val="0"/>
          <w:sz w:val="24"/>
          <w:szCs w:val="24"/>
          <w:lang w:val="en-US" w:eastAsia="zh-CN"/>
        </w:rPr>
        <w:t>（1）实施三大攻坚改革。推进双师攻坚，聚焦“1+X”证书制度和模块化教学改革，将专业课程与“X”证书融合，开展教师全员培训。坚持“立足培养，积极引进”的方针，充分利用现有条件，挖掘潜力，采取“内聘外训”等多项措施，开拓“双师型”教师队伍建设的有效途经。搭建四个平台：教师专业发展培训平台，名师引领平台，企业实践平台，成果展示平台，提升教师“双师”水平。推进双化攻坚，多维度打造跨学科结构化教学创新团队，重构课程内容、教学场景，预制板式培养人才。对专业课程体系构成及课程改革提出领先设想，建成一支“校企混编，专兼结合”的结构化教师教学团队，把教师培养成具备“思政导师、劳动导师、专业教师、职业培训师、企业设计师”五师能力的教学能手，促进教师教学方式从单打独斗向模块化、团队化分工协作转型。推进双向攻坚，引导学校和企业人才双向流通，专兼结合，校企双向流动，共享共育。落实“一新一师”“一师一企”计划，引聘企业带头人、产业导师、高校教授；选派专业教师下企业学习锻炼。大胆创新，打破区域、部门、行业、身份限制，采取项目合作，技术顾问，挂职兼职，远程教学等方式，把校外的技能大师请进校。</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right="0" w:rightChars="0" w:firstLine="480" w:firstLineChars="200"/>
        <w:textAlignment w:val="auto"/>
        <w:outlineLvl w:val="9"/>
        <w:rPr>
          <w:rFonts w:hint="eastAsia"/>
          <w:b w:val="0"/>
          <w:bCs w:val="0"/>
          <w:sz w:val="24"/>
          <w:szCs w:val="24"/>
          <w:lang w:val="en-US" w:eastAsia="zh-CN"/>
        </w:rPr>
      </w:pPr>
      <w:r>
        <w:rPr>
          <w:rFonts w:hint="eastAsia"/>
          <w:b w:val="0"/>
          <w:bCs w:val="0"/>
          <w:sz w:val="24"/>
          <w:szCs w:val="24"/>
          <w:lang w:val="en-US" w:eastAsia="zh-CN"/>
        </w:rPr>
        <w:t>（2）完善五项活力机制。县管校聘、专任教师分类管理，优秀人才优先发展、绩效激励、师德师风建设等五项改革，建立“能进能出”“能上能下”的保障机制。</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right="0" w:rightChars="0" w:firstLine="480" w:firstLineChars="200"/>
        <w:textAlignment w:val="auto"/>
        <w:outlineLvl w:val="9"/>
        <w:rPr>
          <w:rFonts w:hint="eastAsia"/>
          <w:b w:val="0"/>
          <w:bCs w:val="0"/>
          <w:sz w:val="24"/>
          <w:szCs w:val="24"/>
          <w:lang w:val="en-US" w:eastAsia="zh-CN"/>
        </w:rPr>
      </w:pPr>
      <w:r>
        <w:rPr>
          <w:rFonts w:hint="eastAsia"/>
          <w:b w:val="0"/>
          <w:bCs w:val="0"/>
          <w:sz w:val="24"/>
          <w:szCs w:val="24"/>
          <w:lang w:val="en-US" w:eastAsia="zh-CN"/>
        </w:rPr>
        <w:t>（3）推进六项提升工程。分类培育高端创新团队、高水平专业带头人、骨干教师、新入职教师、兼职教师、管理人员六类队伍，形成名师大师名匠引领、骨干教师支撑、青年教师跟进、专兼结合的双师队伍。开展能力提升工程，举办朝阳班、中天班、骨干班、班主任班、研究生俱乐部、薪火传承活动，打造一支师德高尚、技艺精湛、校企互通的“双师型”教师队伍。</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right="0" w:rightChars="0" w:firstLine="562" w:firstLineChars="200"/>
        <w:textAlignment w:val="auto"/>
        <w:outlineLvl w:val="9"/>
        <w:rPr>
          <w:rFonts w:hint="eastAsia"/>
          <w:b/>
          <w:bCs/>
          <w:color w:val="auto"/>
          <w:sz w:val="28"/>
          <w:szCs w:val="28"/>
          <w:lang w:val="en-US" w:eastAsia="zh-CN"/>
        </w:rPr>
      </w:pPr>
      <w:r>
        <w:rPr>
          <w:rFonts w:hint="eastAsia"/>
          <w:b/>
          <w:bCs/>
          <w:sz w:val="28"/>
          <w:szCs w:val="28"/>
          <w:lang w:val="en-US" w:eastAsia="zh-CN"/>
        </w:rPr>
        <w:t>4.规范管理情况</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firstLine="0" w:firstLineChars="0"/>
        <w:textAlignment w:val="auto"/>
        <w:outlineLvl w:val="9"/>
        <w:rPr>
          <w:rFonts w:hint="eastAsia"/>
          <w:color w:val="auto"/>
          <w:sz w:val="24"/>
          <w:szCs w:val="24"/>
          <w:lang w:val="en-US" w:eastAsia="zh-CN"/>
        </w:rPr>
      </w:pPr>
      <w:r>
        <w:rPr>
          <w:rFonts w:hint="eastAsia"/>
          <w:color w:val="auto"/>
          <w:sz w:val="24"/>
          <w:szCs w:val="24"/>
          <w:lang w:val="en-US" w:eastAsia="zh-CN"/>
        </w:rPr>
        <w:t xml:space="preserve">    ①教学管理</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firstLine="0" w:firstLineChars="0"/>
        <w:textAlignment w:val="auto"/>
        <w:outlineLvl w:val="9"/>
        <w:rPr>
          <w:rFonts w:hint="eastAsia"/>
          <w:sz w:val="24"/>
          <w:szCs w:val="24"/>
          <w:lang w:val="en-US" w:eastAsia="zh-CN"/>
        </w:rPr>
      </w:pPr>
      <w:r>
        <w:rPr>
          <w:rFonts w:hint="eastAsia"/>
          <w:color w:val="auto"/>
          <w:sz w:val="24"/>
          <w:szCs w:val="24"/>
          <w:lang w:val="en-US" w:eastAsia="zh-CN"/>
        </w:rPr>
        <w:t xml:space="preserve">    为了进一步改进学校教学管理工作，建立科学、有效的教学管理体系，规范教学工作程序，提高工作效率和水平，对教务处智能范围的各项管理工作进行梳理，初步制定了《教学质量管理、监控与评价体系》、《课程考核与多元评价管理规定》、《教师教学质量标准》、《主要教学环节质量标准》、《课堂仪式标准》、《学生学习质量多元评价方法》、《教学质量社会评价办法》、《课程多元考核评价方案》等规范。针对实训室教学制定了《实训室7S管理规范》，针对教师制定了《专业带头人、骨干教师培养方案》等10余个有关师资队伍建设的方案、管理办法等。</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firstLine="480" w:firstLineChars="0"/>
        <w:textAlignment w:val="auto"/>
        <w:outlineLvl w:val="9"/>
        <w:rPr>
          <w:rFonts w:hint="eastAsia"/>
          <w:sz w:val="24"/>
          <w:szCs w:val="24"/>
          <w:lang w:val="en-US" w:eastAsia="zh-CN"/>
        </w:rPr>
      </w:pPr>
      <w:r>
        <w:rPr>
          <w:rFonts w:hint="eastAsia"/>
          <w:sz w:val="24"/>
          <w:szCs w:val="24"/>
          <w:lang w:val="en-US" w:eastAsia="zh-CN"/>
        </w:rPr>
        <w:t>②学生管理</w:t>
      </w:r>
    </w:p>
    <w:p>
      <w:pPr>
        <w:pStyle w:val="14"/>
        <w:keepNext w:val="0"/>
        <w:keepLines w:val="0"/>
        <w:pageBreakBefore w:val="0"/>
        <w:kinsoku/>
        <w:wordWrap/>
        <w:overflowPunct/>
        <w:topLinePunct w:val="0"/>
        <w:bidi w:val="0"/>
        <w:snapToGrid/>
        <w:spacing w:line="360" w:lineRule="auto"/>
        <w:ind w:firstLine="640"/>
        <w:contextualSpacing/>
        <w:textAlignment w:val="auto"/>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学生管理创新开展有特色。一是加强德育队伍建设。学校进一步加强德育队伍建设，健全班主任岗位职责、工作条例、班主任工作量化考评激励机制，完善了政</w:t>
      </w:r>
      <w:r>
        <w:rPr>
          <w:rFonts w:hint="eastAsia" w:ascii="新宋体" w:hAnsi="新宋体" w:eastAsia="新宋体" w:cs="新宋体"/>
          <w:color w:val="auto"/>
          <w:sz w:val="24"/>
          <w:szCs w:val="24"/>
          <w:lang w:val="en-US" w:eastAsia="zh-CN"/>
        </w:rPr>
        <w:t>教</w:t>
      </w:r>
      <w:r>
        <w:rPr>
          <w:rFonts w:hint="eastAsia" w:ascii="新宋体" w:hAnsi="新宋体" w:eastAsia="新宋体" w:cs="新宋体"/>
          <w:color w:val="auto"/>
          <w:sz w:val="24"/>
          <w:szCs w:val="24"/>
        </w:rPr>
        <w:t>例会和班主任例会制度。结合我校德育工作实际情况,狠抓德育常规管理,积极研究德育方法,不断增强德育工作的主动性、实效性,</w:t>
      </w:r>
      <w:r>
        <w:rPr>
          <w:rFonts w:hint="eastAsia" w:ascii="新宋体" w:hAnsi="新宋体" w:eastAsia="新宋体" w:cs="新宋体"/>
          <w:b/>
          <w:color w:val="auto"/>
          <w:sz w:val="24"/>
          <w:szCs w:val="24"/>
        </w:rPr>
        <w:t xml:space="preserve"> </w:t>
      </w:r>
      <w:r>
        <w:rPr>
          <w:rFonts w:hint="eastAsia" w:ascii="新宋体" w:hAnsi="新宋体" w:eastAsia="新宋体" w:cs="新宋体"/>
          <w:color w:val="auto"/>
          <w:sz w:val="24"/>
          <w:szCs w:val="24"/>
        </w:rPr>
        <w:t>构建“三位一体”和“八个一”德育体系。</w:t>
      </w:r>
      <w:r>
        <w:rPr>
          <w:rFonts w:hint="eastAsia" w:ascii="新宋体" w:hAnsi="新宋体" w:eastAsia="新宋体" w:cs="新宋体"/>
          <w:b/>
          <w:color w:val="auto"/>
          <w:sz w:val="24"/>
          <w:szCs w:val="24"/>
        </w:rPr>
        <w:t>（1）</w:t>
      </w:r>
      <w:r>
        <w:rPr>
          <w:rFonts w:hint="eastAsia" w:ascii="新宋体" w:hAnsi="新宋体" w:eastAsia="新宋体" w:cs="新宋体"/>
          <w:color w:val="auto"/>
          <w:sz w:val="24"/>
          <w:szCs w:val="24"/>
        </w:rPr>
        <w:t>以学校为中心，成立家长委员会（家长代表全程参与学校开学典礼、教育教学成果表彰大会、班主任节等大型活动），邀请关工委、检察院、派出所和律师协会等社会组织</w:t>
      </w:r>
      <w:r>
        <w:rPr>
          <w:rFonts w:hint="eastAsia" w:ascii="新宋体" w:hAnsi="新宋体" w:eastAsia="新宋体" w:cs="新宋体"/>
          <w:color w:val="auto"/>
          <w:sz w:val="24"/>
          <w:szCs w:val="24"/>
          <w:lang w:val="en-US" w:eastAsia="zh-CN"/>
        </w:rPr>
        <w:t>与</w:t>
      </w:r>
      <w:r>
        <w:rPr>
          <w:rFonts w:hint="eastAsia" w:ascii="新宋体" w:hAnsi="新宋体" w:eastAsia="新宋体" w:cs="新宋体"/>
          <w:color w:val="auto"/>
          <w:sz w:val="24"/>
          <w:szCs w:val="24"/>
        </w:rPr>
        <w:t>团体参与，形成了学校、家庭、社会“三位一体”的德育教育网络</w:t>
      </w:r>
      <w:r>
        <w:rPr>
          <w:rFonts w:hint="eastAsia" w:ascii="新宋体" w:hAnsi="新宋体" w:eastAsia="新宋体" w:cs="新宋体"/>
          <w:b/>
          <w:color w:val="auto"/>
          <w:sz w:val="24"/>
          <w:szCs w:val="24"/>
        </w:rPr>
        <w:t>。（2）</w:t>
      </w:r>
      <w:r>
        <w:rPr>
          <w:rFonts w:hint="eastAsia" w:ascii="新宋体" w:hAnsi="新宋体" w:eastAsia="新宋体" w:cs="新宋体"/>
          <w:color w:val="auto"/>
          <w:sz w:val="24"/>
          <w:szCs w:val="24"/>
        </w:rPr>
        <w:t>同时建构具有本校特色的“一班（国旗班）、一校（党团校）、一室（心理辅导室）、一站（广播站）、一队（文明卫生监督队）、一报（校报、黑板报）、一栏（宣传栏）、一课（班团活动课）”等“八个一”德育教育体系。</w:t>
      </w:r>
      <w:r>
        <w:rPr>
          <w:rFonts w:hint="eastAsia" w:ascii="新宋体" w:hAnsi="新宋体" w:eastAsia="新宋体" w:cs="新宋体"/>
          <w:b/>
          <w:color w:val="auto"/>
          <w:sz w:val="24"/>
          <w:szCs w:val="24"/>
        </w:rPr>
        <w:t>（3）</w:t>
      </w:r>
      <w:r>
        <w:rPr>
          <w:rFonts w:hint="eastAsia" w:ascii="新宋体" w:hAnsi="新宋体" w:eastAsia="新宋体" w:cs="新宋体"/>
          <w:color w:val="auto"/>
          <w:kern w:val="0"/>
          <w:sz w:val="24"/>
          <w:szCs w:val="24"/>
        </w:rPr>
        <w:t>深入开展普法教育，</w:t>
      </w:r>
      <w:r>
        <w:rPr>
          <w:rFonts w:hint="eastAsia" w:ascii="新宋体" w:hAnsi="新宋体" w:eastAsia="新宋体" w:cs="新宋体"/>
          <w:color w:val="auto"/>
          <w:sz w:val="24"/>
          <w:szCs w:val="24"/>
        </w:rPr>
        <w:t>全面实施“六个一”工程，即每年至少召开一次学校法制教育工作专题会议，研究制定普法宣传教育工作计划；每学期至少举行一场法制教育报告会；每学期至少进行一次升旗仪式法制教育主题讲话；每学期至少召开一次法制教育主题班会；宣传栏每月刊出一期法制教育内容；每学期组织一次法律知识考试。</w:t>
      </w:r>
      <w:r>
        <w:rPr>
          <w:rFonts w:hint="eastAsia" w:ascii="新宋体" w:hAnsi="新宋体" w:eastAsia="新宋体" w:cs="新宋体"/>
          <w:color w:val="auto"/>
          <w:sz w:val="24"/>
          <w:szCs w:val="24"/>
          <w:lang w:val="en-US" w:eastAsia="zh-CN"/>
        </w:rPr>
        <w:t>4月与10月为学校法制教育宣传月，开展内容丰富、形式多样的普法宣传活动的同时，邀</w:t>
      </w:r>
      <w:r>
        <w:rPr>
          <w:rFonts w:hint="eastAsia" w:ascii="新宋体" w:hAnsi="新宋体" w:eastAsia="新宋体" w:cs="新宋体"/>
          <w:color w:val="auto"/>
          <w:sz w:val="24"/>
          <w:szCs w:val="24"/>
        </w:rPr>
        <w:t>请县司法局、仙华派出所、县纪委、县检察院</w:t>
      </w:r>
      <w:r>
        <w:rPr>
          <w:rFonts w:hint="eastAsia" w:ascii="新宋体" w:hAnsi="新宋体" w:eastAsia="新宋体" w:cs="新宋体"/>
          <w:color w:val="auto"/>
          <w:sz w:val="24"/>
          <w:szCs w:val="24"/>
          <w:lang w:eastAsia="zh-CN"/>
        </w:rPr>
        <w:t>、</w:t>
      </w:r>
      <w:r>
        <w:rPr>
          <w:rFonts w:hint="eastAsia" w:ascii="新宋体" w:hAnsi="新宋体" w:eastAsia="新宋体" w:cs="新宋体"/>
          <w:color w:val="auto"/>
          <w:sz w:val="24"/>
          <w:szCs w:val="24"/>
          <w:lang w:val="en-US" w:eastAsia="zh-CN"/>
        </w:rPr>
        <w:t>县律协</w:t>
      </w:r>
      <w:r>
        <w:rPr>
          <w:rFonts w:hint="eastAsia" w:ascii="新宋体" w:hAnsi="新宋体" w:eastAsia="新宋体" w:cs="新宋体"/>
          <w:color w:val="auto"/>
          <w:sz w:val="24"/>
          <w:szCs w:val="24"/>
        </w:rPr>
        <w:t>等专家来校作报告；挂牌建立青少年普法维权咨询服务岗，检察官定期到学校接受现场咨询和服务。</w:t>
      </w:r>
      <w:r>
        <w:rPr>
          <w:rFonts w:hint="eastAsia" w:ascii="新宋体" w:hAnsi="新宋体" w:eastAsia="新宋体" w:cs="新宋体"/>
          <w:b/>
          <w:color w:val="auto"/>
          <w:sz w:val="24"/>
          <w:szCs w:val="24"/>
        </w:rPr>
        <w:t>（4）</w:t>
      </w:r>
      <w:r>
        <w:rPr>
          <w:rFonts w:hint="eastAsia" w:ascii="新宋体" w:hAnsi="新宋体" w:eastAsia="新宋体" w:cs="新宋体"/>
          <w:color w:val="auto"/>
          <w:sz w:val="24"/>
          <w:szCs w:val="24"/>
        </w:rPr>
        <w:t>实施德育导师制，学校聘任全体中层以上干部、班主任、课任教师、共产党员为德育导师。每位导师结对1-3名受导学生，按照对学生“思想引导、心理疏导、生活指导、学习辅导”的要求开展一对一的结对教育帮扶。</w:t>
      </w:r>
      <w:r>
        <w:rPr>
          <w:rFonts w:hint="eastAsia" w:ascii="新宋体" w:hAnsi="新宋体" w:eastAsia="新宋体" w:cs="新宋体"/>
          <w:b/>
          <w:color w:val="auto"/>
          <w:sz w:val="24"/>
          <w:szCs w:val="24"/>
        </w:rPr>
        <w:t>（5）</w:t>
      </w:r>
      <w:r>
        <w:rPr>
          <w:rFonts w:hint="eastAsia" w:ascii="新宋体" w:hAnsi="新宋体" w:eastAsia="新宋体" w:cs="新宋体"/>
          <w:color w:val="auto"/>
          <w:sz w:val="24"/>
          <w:szCs w:val="24"/>
        </w:rPr>
        <w:t>学校实行学部值周班制度，在工作中体现“看到垃圾要捡，看到水电开着要关，看到公物损坏或安全隐患要报，看到学生违纪要劝”的“四看四为”作风。</w:t>
      </w:r>
      <w:r>
        <w:rPr>
          <w:rFonts w:hint="eastAsia" w:ascii="新宋体" w:hAnsi="新宋体" w:eastAsia="新宋体" w:cs="新宋体"/>
          <w:b/>
          <w:color w:val="auto"/>
          <w:sz w:val="24"/>
          <w:szCs w:val="24"/>
        </w:rPr>
        <w:t>（6）</w:t>
      </w:r>
      <w:r>
        <w:rPr>
          <w:rFonts w:hint="eastAsia" w:ascii="新宋体" w:hAnsi="新宋体" w:eastAsia="新宋体" w:cs="新宋体"/>
          <w:bCs/>
          <w:color w:val="auto"/>
          <w:sz w:val="24"/>
          <w:szCs w:val="24"/>
        </w:rPr>
        <w:t>以活动为载体，提高德育效果。</w:t>
      </w:r>
      <w:r>
        <w:rPr>
          <w:rFonts w:hint="eastAsia" w:ascii="新宋体" w:hAnsi="新宋体" w:eastAsia="新宋体" w:cs="新宋体"/>
          <w:color w:val="auto"/>
          <w:sz w:val="24"/>
          <w:szCs w:val="24"/>
        </w:rPr>
        <w:t>学校始终把立德树人作为德育工作的宗旨，把学生的学做人和学技能有机结合起来。学校根据学生身心发展规律特点，开展“争做最美学生，争创最美班级，共建最美校园”系列教育活动。开展清明节扫墓爱国主义活动，“红五月”系列活动、“文明风采”竞赛活动、“向国旗敬礼、做有道德的人”系列活动、《弘扬最美精神 共筑中国梦》宣传活动。组织千名师生到新光村、东山公园，开展便民服务、才艺展示，专业成果展学生积极开展广播社、电商社、健美操社团、手工社、舞蹈社、文学社、舞龙社团、风筝社团等社团活动。</w:t>
      </w:r>
      <w:r>
        <w:rPr>
          <w:rFonts w:hint="eastAsia" w:ascii="新宋体" w:hAnsi="新宋体" w:eastAsia="新宋体" w:cs="新宋体"/>
          <w:color w:val="auto"/>
          <w:sz w:val="24"/>
          <w:szCs w:val="24"/>
          <w:lang w:val="zh-CN"/>
        </w:rPr>
        <w:t>有针对性地做好学生的思想教育工作，尤其是后进生的转化工作，成效显著。实践证明，活动比单纯的说教更有意义、更有成效。</w:t>
      </w:r>
      <w:r>
        <w:rPr>
          <w:rFonts w:hint="eastAsia" w:ascii="新宋体" w:hAnsi="新宋体" w:eastAsia="新宋体" w:cs="新宋体"/>
          <w:b/>
          <w:color w:val="auto"/>
          <w:sz w:val="24"/>
          <w:szCs w:val="24"/>
        </w:rPr>
        <w:t>（7）</w:t>
      </w:r>
      <w:r>
        <w:rPr>
          <w:rFonts w:hint="eastAsia" w:ascii="新宋体" w:hAnsi="新宋体" w:eastAsia="新宋体" w:cs="新宋体"/>
          <w:color w:val="auto"/>
          <w:sz w:val="24"/>
          <w:szCs w:val="24"/>
        </w:rPr>
        <w:t>办好家长学校，做到目标明确，计划落实，内容有针对性、实用性强，并且认真做好资料搜集、积累工作</w:t>
      </w:r>
      <w:r>
        <w:rPr>
          <w:rFonts w:hint="eastAsia" w:ascii="新宋体" w:hAnsi="新宋体" w:eastAsia="新宋体" w:cs="新宋体"/>
          <w:color w:val="auto"/>
          <w:sz w:val="24"/>
          <w:szCs w:val="24"/>
          <w:lang w:eastAsia="zh-CN"/>
        </w:rPr>
        <w:t>；</w:t>
      </w:r>
      <w:r>
        <w:rPr>
          <w:rFonts w:hint="eastAsia" w:ascii="新宋体" w:hAnsi="新宋体" w:eastAsia="新宋体" w:cs="新宋体"/>
          <w:color w:val="auto"/>
          <w:sz w:val="24"/>
          <w:szCs w:val="24"/>
        </w:rPr>
        <w:t>每学期组织召开全校学生家长会</w:t>
      </w:r>
      <w:r>
        <w:rPr>
          <w:rFonts w:hint="eastAsia" w:ascii="新宋体" w:hAnsi="新宋体" w:eastAsia="新宋体" w:cs="新宋体"/>
          <w:color w:val="auto"/>
          <w:sz w:val="24"/>
          <w:szCs w:val="24"/>
          <w:lang w:eastAsia="zh-CN"/>
        </w:rPr>
        <w:t>，</w:t>
      </w:r>
      <w:r>
        <w:rPr>
          <w:rFonts w:hint="eastAsia" w:ascii="新宋体" w:hAnsi="新宋体" w:eastAsia="新宋体" w:cs="新宋体"/>
          <w:color w:val="auto"/>
          <w:sz w:val="24"/>
          <w:szCs w:val="24"/>
          <w:lang w:val="en-US" w:eastAsia="zh-CN"/>
        </w:rPr>
        <w:t>开展“家长开放日”与“家长节”活动，</w:t>
      </w:r>
      <w:r>
        <w:rPr>
          <w:rFonts w:hint="eastAsia" w:ascii="新宋体" w:hAnsi="新宋体" w:eastAsia="新宋体" w:cs="新宋体"/>
          <w:color w:val="auto"/>
          <w:sz w:val="24"/>
          <w:szCs w:val="24"/>
        </w:rPr>
        <w:t>同时保质保量地用好家校联系本，做到每学期同每位学生家长均有一定程度的书面联系，特别重视做好与后进生家长的经常性联系；加强对教师家访工作的组织管理，近</w:t>
      </w:r>
      <w:r>
        <w:rPr>
          <w:rFonts w:hint="eastAsia" w:ascii="新宋体" w:hAnsi="新宋体" w:eastAsia="新宋体" w:cs="新宋体"/>
          <w:color w:val="auto"/>
          <w:sz w:val="24"/>
          <w:szCs w:val="24"/>
          <w:lang w:val="en-US" w:eastAsia="zh-CN"/>
        </w:rPr>
        <w:t>三</w:t>
      </w:r>
      <w:r>
        <w:rPr>
          <w:rFonts w:hint="eastAsia" w:ascii="新宋体" w:hAnsi="新宋体" w:eastAsia="新宋体" w:cs="新宋体"/>
          <w:color w:val="auto"/>
          <w:sz w:val="24"/>
          <w:szCs w:val="24"/>
        </w:rPr>
        <w:t>年，每年实施“百师进千户”大家访活动，并把家访工作纳入教师的考核之中，使家长能比较深入地了解学校、了解子女在校的学习情况，取得了良好的社会效益。</w:t>
      </w:r>
      <w:r>
        <w:rPr>
          <w:rFonts w:hint="eastAsia" w:ascii="新宋体" w:hAnsi="新宋体" w:eastAsia="新宋体" w:cs="新宋体"/>
          <w:b/>
          <w:color w:val="auto"/>
          <w:sz w:val="24"/>
          <w:szCs w:val="24"/>
          <w:shd w:val="clear" w:color="auto" w:fill="FFFFFF"/>
        </w:rPr>
        <w:t>（8）</w:t>
      </w:r>
      <w:r>
        <w:rPr>
          <w:rFonts w:hint="eastAsia" w:ascii="新宋体" w:hAnsi="新宋体" w:eastAsia="新宋体" w:cs="新宋体"/>
          <w:color w:val="auto"/>
          <w:sz w:val="24"/>
          <w:szCs w:val="24"/>
          <w:shd w:val="clear" w:color="auto" w:fill="FFFFFF"/>
        </w:rPr>
        <w:t>创新驱动计划。学校设立学生创业园（电商、烹饪、汽修、机械、非遗、手工艺、跳蚤市场等）（创业体验）；为学生提供更多的锻炼成才机会，让学生在收获与成功中实现价值，提升自我。</w:t>
      </w:r>
      <w:r>
        <w:rPr>
          <w:rFonts w:hint="eastAsia" w:ascii="新宋体" w:hAnsi="新宋体" w:eastAsia="新宋体" w:cs="新宋体"/>
          <w:color w:val="auto"/>
          <w:sz w:val="24"/>
          <w:szCs w:val="24"/>
        </w:rPr>
        <w:t>通过校友节（分享成长经历和创业故事激励学弟学妹——成长励志教育）；道德模范、劳动模范进校园（曹龙水、楼耕读、李家庆等美德教育）；学雷锋做好事、远离陋习</w:t>
      </w:r>
      <w:r>
        <w:rPr>
          <w:rFonts w:hint="eastAsia" w:ascii="新宋体" w:hAnsi="新宋体" w:eastAsia="新宋体" w:cs="新宋体"/>
          <w:color w:val="auto"/>
          <w:sz w:val="24"/>
          <w:szCs w:val="24"/>
          <w:lang w:val="en-US" w:eastAsia="zh-CN"/>
        </w:rPr>
        <w:t>承诺</w:t>
      </w:r>
      <w:r>
        <w:rPr>
          <w:rFonts w:hint="eastAsia" w:ascii="新宋体" w:hAnsi="新宋体" w:eastAsia="新宋体" w:cs="新宋体"/>
          <w:color w:val="auto"/>
          <w:sz w:val="24"/>
          <w:szCs w:val="24"/>
        </w:rPr>
        <w:t>书上墙(行为习惯教育)；首创以感恩、感动、感谢为主题的班主任节（感恩教育）等一系列活动来提高学生的思想道德水准，尤其是开展“最美教室”、“十佳十差”寝室评比活动，有力地促进了校园文化建设，取得很大的成效，近年来学校的美誉度越来越高。流生率连年下降，学校的德育工作得到了学生、家长和社会的广泛认同与肯定。</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firstLine="480" w:firstLineChars="0"/>
        <w:textAlignment w:val="auto"/>
        <w:outlineLvl w:val="9"/>
        <w:rPr>
          <w:rFonts w:hint="eastAsia"/>
          <w:sz w:val="24"/>
          <w:szCs w:val="24"/>
          <w:lang w:val="en-US" w:eastAsia="zh-CN"/>
        </w:rPr>
      </w:pPr>
      <w:r>
        <w:rPr>
          <w:rFonts w:hint="eastAsia"/>
          <w:sz w:val="24"/>
          <w:szCs w:val="24"/>
          <w:lang w:val="en-US" w:eastAsia="zh-CN"/>
        </w:rPr>
        <w:t>③财务、后勤管理</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firstLine="480" w:firstLineChars="0"/>
        <w:textAlignment w:val="auto"/>
        <w:outlineLvl w:val="9"/>
        <w:rPr>
          <w:rFonts w:hint="eastAsia"/>
          <w:sz w:val="24"/>
          <w:szCs w:val="24"/>
          <w:lang w:val="en-US" w:eastAsia="zh-CN"/>
        </w:rPr>
      </w:pPr>
      <w:r>
        <w:rPr>
          <w:rFonts w:hint="eastAsia"/>
          <w:sz w:val="24"/>
          <w:szCs w:val="24"/>
          <w:lang w:val="en-US" w:eastAsia="zh-CN"/>
        </w:rPr>
        <w:t>（1）树立为教育教学服务和师生服务的思想，全心全意做好学校后勤保障工作，执行上级教育行政部门规定，按时完成学校布置的任务。</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firstLine="480" w:firstLineChars="0"/>
        <w:textAlignment w:val="auto"/>
        <w:outlineLvl w:val="9"/>
        <w:rPr>
          <w:rFonts w:hint="eastAsia"/>
          <w:sz w:val="24"/>
          <w:szCs w:val="24"/>
          <w:lang w:val="en-US" w:eastAsia="zh-CN"/>
        </w:rPr>
      </w:pPr>
      <w:r>
        <w:rPr>
          <w:rFonts w:hint="eastAsia"/>
          <w:sz w:val="24"/>
          <w:szCs w:val="24"/>
          <w:lang w:val="en-US" w:eastAsia="zh-CN"/>
        </w:rPr>
        <w:t>（2）按计划采购教学实习设备、并监督管理使用。提供教师办公用品、教学、体育，实习等仪器设备。</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firstLine="480" w:firstLineChars="0"/>
        <w:textAlignment w:val="auto"/>
        <w:outlineLvl w:val="9"/>
        <w:rPr>
          <w:rFonts w:hint="eastAsia"/>
          <w:sz w:val="24"/>
          <w:szCs w:val="24"/>
          <w:lang w:val="en-US" w:eastAsia="zh-CN"/>
        </w:rPr>
      </w:pPr>
      <w:r>
        <w:rPr>
          <w:rFonts w:hint="eastAsia"/>
          <w:sz w:val="24"/>
          <w:szCs w:val="24"/>
          <w:lang w:val="en-US" w:eastAsia="zh-CN"/>
        </w:rPr>
        <w:t>（3）严格采购制度。建立校产的采购、验收、领用、出借、报损、报废、调拨及仓库管理制度。实行校产的登记、管理、维修，执行校产的使用和保管、报废制度。</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firstLine="480" w:firstLineChars="0"/>
        <w:textAlignment w:val="auto"/>
        <w:outlineLvl w:val="9"/>
        <w:rPr>
          <w:rFonts w:hint="eastAsia"/>
          <w:sz w:val="24"/>
          <w:szCs w:val="24"/>
          <w:lang w:val="en-US" w:eastAsia="zh-CN"/>
        </w:rPr>
      </w:pPr>
      <w:r>
        <w:rPr>
          <w:rFonts w:hint="eastAsia"/>
          <w:sz w:val="24"/>
          <w:szCs w:val="24"/>
          <w:lang w:val="en-US" w:eastAsia="zh-CN"/>
        </w:rPr>
        <w:t>（4）负责管理财务，做好学生学杂费的收缴工作，严格财经纪律，做好财务工作，年终提交决算报告，严密财务手续，管理好财务档案，定期搞好审计。</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firstLine="480" w:firstLineChars="0"/>
        <w:textAlignment w:val="auto"/>
        <w:outlineLvl w:val="9"/>
        <w:rPr>
          <w:rFonts w:hint="eastAsia"/>
          <w:sz w:val="24"/>
          <w:szCs w:val="24"/>
          <w:lang w:val="en-US" w:eastAsia="zh-CN"/>
        </w:rPr>
      </w:pPr>
      <w:r>
        <w:rPr>
          <w:rFonts w:hint="eastAsia"/>
          <w:sz w:val="24"/>
          <w:szCs w:val="24"/>
          <w:lang w:val="en-US" w:eastAsia="zh-CN"/>
        </w:rPr>
        <w:t>（5）服务师生的生活，管好学校食堂、超市，宿舍以及其他后勤保障工作。</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firstLine="480" w:firstLineChars="0"/>
        <w:textAlignment w:val="auto"/>
        <w:outlineLvl w:val="9"/>
        <w:rPr>
          <w:rFonts w:hint="eastAsia"/>
          <w:sz w:val="24"/>
          <w:szCs w:val="24"/>
          <w:lang w:val="en-US" w:eastAsia="zh-CN"/>
        </w:rPr>
      </w:pPr>
      <w:r>
        <w:rPr>
          <w:rFonts w:hint="eastAsia"/>
          <w:sz w:val="24"/>
          <w:szCs w:val="24"/>
          <w:lang w:val="en-US" w:eastAsia="zh-CN"/>
        </w:rPr>
        <w:t>（6）积极开展爱国卫生运动，组织学校的绿化美化工作，改善教学条件和学习环境。</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firstLine="480" w:firstLineChars="0"/>
        <w:textAlignment w:val="auto"/>
        <w:outlineLvl w:val="9"/>
        <w:rPr>
          <w:rFonts w:hint="eastAsia"/>
          <w:sz w:val="24"/>
          <w:szCs w:val="24"/>
          <w:lang w:val="en-US" w:eastAsia="zh-CN"/>
        </w:rPr>
      </w:pPr>
      <w:r>
        <w:rPr>
          <w:rFonts w:hint="eastAsia"/>
          <w:sz w:val="24"/>
          <w:szCs w:val="24"/>
          <w:lang w:val="en-US" w:eastAsia="zh-CN"/>
        </w:rPr>
        <w:t>（7）定期对各种建筑物、用电、用水、用气进行安全检查，并采取措施，防止意外事故的发生。</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firstLine="480" w:firstLineChars="0"/>
        <w:textAlignment w:val="auto"/>
        <w:outlineLvl w:val="9"/>
        <w:rPr>
          <w:rFonts w:hint="eastAsia"/>
          <w:sz w:val="24"/>
          <w:szCs w:val="24"/>
          <w:lang w:val="en-US" w:eastAsia="zh-CN"/>
        </w:rPr>
      </w:pPr>
      <w:r>
        <w:rPr>
          <w:rFonts w:hint="eastAsia"/>
          <w:sz w:val="24"/>
          <w:szCs w:val="24"/>
          <w:lang w:val="en-US" w:eastAsia="zh-CN"/>
        </w:rPr>
        <w:t>（8）坚持勤俭节约办学的理念。光盘行动和食品安全教育。</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firstLine="480" w:firstLineChars="0"/>
        <w:textAlignment w:val="auto"/>
        <w:outlineLvl w:val="9"/>
        <w:rPr>
          <w:rFonts w:hint="eastAsia"/>
          <w:sz w:val="24"/>
          <w:szCs w:val="24"/>
          <w:lang w:val="en-US" w:eastAsia="zh-CN"/>
        </w:rPr>
      </w:pPr>
      <w:r>
        <w:rPr>
          <w:rFonts w:hint="eastAsia"/>
          <w:sz w:val="24"/>
          <w:szCs w:val="24"/>
          <w:lang w:val="en-US" w:eastAsia="zh-CN"/>
        </w:rPr>
        <w:t>（9）在示范校建设中，完成各实训室，场馆，舞台等基建工作。</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firstLine="0" w:firstLineChars="0"/>
        <w:textAlignment w:val="auto"/>
        <w:outlineLvl w:val="9"/>
        <w:rPr>
          <w:rFonts w:hint="eastAsia"/>
          <w:sz w:val="24"/>
          <w:szCs w:val="24"/>
          <w:lang w:val="en-US" w:eastAsia="zh-CN"/>
        </w:rPr>
      </w:pPr>
      <w:r>
        <w:rPr>
          <w:rFonts w:hint="eastAsia"/>
          <w:sz w:val="24"/>
          <w:szCs w:val="24"/>
          <w:lang w:val="en-US" w:eastAsia="zh-CN"/>
        </w:rPr>
        <w:t xml:space="preserve">    ④安全管理</w:t>
      </w:r>
    </w:p>
    <w:p>
      <w:pPr>
        <w:keepNext w:val="0"/>
        <w:keepLines w:val="0"/>
        <w:pageBreakBefore w:val="0"/>
        <w:kinsoku/>
        <w:wordWrap/>
        <w:overflowPunct/>
        <w:topLinePunct w:val="0"/>
        <w:bidi w:val="0"/>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 xml:space="preserve">   </w:t>
      </w:r>
      <w:r>
        <w:rPr>
          <w:rFonts w:hint="eastAsia" w:ascii="新宋体" w:hAnsi="新宋体" w:eastAsia="新宋体" w:cs="新宋体"/>
          <w:color w:val="auto"/>
          <w:sz w:val="24"/>
          <w:szCs w:val="24"/>
        </w:rPr>
        <w:t>强化安全教育。</w:t>
      </w:r>
      <w:r>
        <w:rPr>
          <w:rFonts w:hint="eastAsia" w:ascii="新宋体" w:hAnsi="新宋体" w:eastAsia="新宋体" w:cs="新宋体"/>
          <w:color w:val="auto"/>
          <w:sz w:val="24"/>
          <w:szCs w:val="24"/>
          <w:lang w:val="en-US" w:eastAsia="zh-CN"/>
        </w:rPr>
        <w:t>疫情期间保证学校正常教学，</w:t>
      </w:r>
      <w:r>
        <w:rPr>
          <w:rFonts w:hint="eastAsia" w:ascii="新宋体" w:hAnsi="新宋体" w:eastAsia="新宋体" w:cs="新宋体"/>
          <w:color w:val="auto"/>
          <w:sz w:val="24"/>
          <w:szCs w:val="24"/>
        </w:rPr>
        <w:t>学校坚持“常防不懈”的安全稳定工作原则，先后</w:t>
      </w:r>
      <w:r>
        <w:rPr>
          <w:rFonts w:hint="eastAsia" w:ascii="新宋体" w:hAnsi="新宋体" w:eastAsia="新宋体" w:cs="新宋体"/>
          <w:color w:val="auto"/>
          <w:sz w:val="24"/>
          <w:szCs w:val="24"/>
          <w:lang w:val="en-US" w:eastAsia="zh-CN"/>
        </w:rPr>
        <w:t>多次组织了疫情研判会、</w:t>
      </w:r>
      <w:r>
        <w:rPr>
          <w:rFonts w:hint="eastAsia" w:ascii="新宋体" w:hAnsi="新宋体" w:eastAsia="新宋体" w:cs="新宋体"/>
          <w:color w:val="auto"/>
          <w:sz w:val="24"/>
          <w:szCs w:val="24"/>
        </w:rPr>
        <w:t>消防安全、防灾减灾日、全国中小学生安全教育日、防溺水、安全生产月、食品安全宣传周、“百师千生查隐患”等专题教育活动。在迎接多部门开展的安全工作大检查活动中，我校安全工作获充分肯定。学校进一步强化依法治校和综合治理工作意识，先后组织开展了法治教育宣传、国家安全、抵制校园欺凌、禁毒、防艾、反邪教等专题教育活动，师生违法犯罪率为零。学校通过了“浦江县5A级平安校园”评估验收，被评为“</w:t>
      </w:r>
      <w:r>
        <w:rPr>
          <w:rFonts w:hint="eastAsia" w:ascii="新宋体" w:hAnsi="新宋体" w:eastAsia="新宋体" w:cs="新宋体"/>
          <w:color w:val="auto"/>
          <w:sz w:val="24"/>
          <w:szCs w:val="24"/>
          <w:lang w:val="en-US" w:eastAsia="zh-CN"/>
        </w:rPr>
        <w:t>浙江省六五普法先进单位</w:t>
      </w:r>
      <w:r>
        <w:rPr>
          <w:rFonts w:hint="eastAsia" w:ascii="新宋体" w:hAnsi="新宋体" w:eastAsia="新宋体" w:cs="新宋体"/>
          <w:color w:val="auto"/>
          <w:sz w:val="24"/>
          <w:szCs w:val="24"/>
        </w:rPr>
        <w:t>”、“</w:t>
      </w:r>
      <w:r>
        <w:rPr>
          <w:rFonts w:hint="eastAsia" w:ascii="新宋体" w:hAnsi="新宋体" w:eastAsia="新宋体" w:cs="新宋体"/>
          <w:color w:val="auto"/>
          <w:sz w:val="24"/>
          <w:szCs w:val="24"/>
          <w:lang w:val="en-US" w:eastAsia="zh-CN"/>
        </w:rPr>
        <w:t>金华市反邪教先进单位</w:t>
      </w:r>
      <w:r>
        <w:rPr>
          <w:rFonts w:hint="eastAsia" w:ascii="新宋体" w:hAnsi="新宋体" w:eastAsia="新宋体" w:cs="新宋体"/>
          <w:color w:val="auto"/>
          <w:sz w:val="24"/>
          <w:szCs w:val="24"/>
        </w:rPr>
        <w:t>”</w:t>
      </w:r>
      <w:r>
        <w:rPr>
          <w:rFonts w:hint="eastAsia" w:ascii="新宋体" w:hAnsi="新宋体" w:eastAsia="新宋体" w:cs="新宋体"/>
          <w:color w:val="auto"/>
          <w:sz w:val="24"/>
          <w:szCs w:val="24"/>
          <w:lang w:eastAsia="zh-CN"/>
        </w:rPr>
        <w:t>、“</w:t>
      </w:r>
      <w:r>
        <w:rPr>
          <w:rFonts w:hint="eastAsia" w:ascii="新宋体" w:hAnsi="新宋体" w:eastAsia="新宋体" w:cs="新宋体"/>
          <w:color w:val="auto"/>
          <w:sz w:val="24"/>
          <w:szCs w:val="24"/>
          <w:lang w:val="en-US" w:eastAsia="zh-CN"/>
        </w:rPr>
        <w:t>浦江县依法治校先进学校</w:t>
      </w:r>
      <w:r>
        <w:rPr>
          <w:rFonts w:hint="eastAsia" w:ascii="新宋体" w:hAnsi="新宋体" w:eastAsia="新宋体" w:cs="新宋体"/>
          <w:color w:val="auto"/>
          <w:sz w:val="24"/>
          <w:szCs w:val="24"/>
          <w:lang w:eastAsia="zh-CN"/>
        </w:rPr>
        <w:t>”</w:t>
      </w:r>
      <w:r>
        <w:rPr>
          <w:rFonts w:hint="eastAsia" w:ascii="新宋体" w:hAnsi="新宋体" w:eastAsia="新宋体" w:cs="新宋体"/>
          <w:color w:val="auto"/>
          <w:sz w:val="24"/>
          <w:szCs w:val="24"/>
        </w:rPr>
        <w:t>等。</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firstLine="480" w:firstLineChars="0"/>
        <w:textAlignment w:val="auto"/>
        <w:outlineLvl w:val="9"/>
        <w:rPr>
          <w:rFonts w:hint="eastAsia"/>
          <w:sz w:val="24"/>
          <w:szCs w:val="24"/>
          <w:lang w:val="en-US" w:eastAsia="zh-CN"/>
        </w:rPr>
      </w:pPr>
      <w:r>
        <w:rPr>
          <w:rFonts w:hint="eastAsia"/>
          <w:sz w:val="24"/>
          <w:szCs w:val="24"/>
          <w:lang w:val="en-US" w:eastAsia="zh-CN"/>
        </w:rPr>
        <w:t>⑤科研管理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1.学校高度重视教科研工作，</w:t>
      </w:r>
      <w:r>
        <w:rPr>
          <w:rFonts w:hint="eastAsia" w:ascii="宋体" w:hAnsi="宋体" w:cs="宋体"/>
          <w:sz w:val="24"/>
          <w:szCs w:val="24"/>
          <w:lang w:val="en-US" w:eastAsia="zh-CN"/>
        </w:rPr>
        <w:t>设立专门分管领导（张序安副书记）分管教科研工作，</w:t>
      </w:r>
      <w:r>
        <w:rPr>
          <w:rFonts w:hint="eastAsia" w:ascii="宋体" w:hAnsi="宋体" w:eastAsia="宋体" w:cs="宋体"/>
          <w:sz w:val="24"/>
          <w:szCs w:val="24"/>
          <w:lang w:val="en-US" w:eastAsia="zh-CN"/>
        </w:rPr>
        <w:t>每学期召开教科研工作会议，每学期组织至少一次以上外出学习考察省内优秀教科研先进学校</w:t>
      </w:r>
      <w:r>
        <w:rPr>
          <w:rFonts w:hint="eastAsia" w:ascii="宋体" w:hAnsi="宋体" w:cs="宋体"/>
          <w:sz w:val="24"/>
          <w:szCs w:val="24"/>
          <w:lang w:val="en-US" w:eastAsia="zh-CN"/>
        </w:rPr>
        <w:t>，提高教科研骨干教师教科研能力与工作水平</w:t>
      </w:r>
      <w:r>
        <w:rPr>
          <w:rFonts w:hint="eastAsia" w:ascii="宋体" w:hAnsi="宋体" w:eastAsia="宋体" w:cs="宋体"/>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设立教科室正（郑晓敏）、副（张秀兰）两位主任，教科室主任重视教科研管理，成立教科研骨干教师队伍，专门进行教科研工作培训，制订年度课题研究计划与学期工作计划；教科室主任亲自参加课题研究，郑晓敏主任执笔的课题《范例式培训：中职青年教师校本培养新样式研究》获省级立项，副主任张秀兰执笔省级规划课题《四阶段·八载体：依托非遗工作室培育中职生工匠精神》</w:t>
      </w:r>
      <w:r>
        <w:rPr>
          <w:rFonts w:hint="eastAsia" w:ascii="宋体" w:hAnsi="宋体" w:cs="宋体"/>
          <w:sz w:val="24"/>
          <w:szCs w:val="24"/>
          <w:lang w:val="en-US" w:eastAsia="zh-CN"/>
        </w:rPr>
        <w:t>获浙江省教育科学研究优秀成果一等奖，入选浙江省中职教育教学成果精品化项目。同时获第五届中国（青岛）世界职业技术大会优秀案例奖。</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有专门办公用房，学校为教科室征订《中国教育报》、《浙江教育报》、《中国职业技术教育》、《职教论坛》、《上海教育》等十余本教育教学专业杂志期刊；每年邀请省市县级教科研专家指导教科研工作，花费大约五万余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重视《教研与师训》投稿，发动全校教师积极投稿，第58期共有5篇文章刊出。在全校会议上组织大家认真学校《教研与师训》，组织教科研骨干教师专题学习文章，学习论文与教学案例、教育教学叙事写作方法，使今年的论文质量与获奖等第获得较大提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szCs w:val="24"/>
          <w:lang w:val="en-US" w:eastAsia="zh-CN"/>
        </w:rPr>
      </w:pPr>
      <w:r>
        <w:rPr>
          <w:rFonts w:hint="eastAsia" w:ascii="宋体" w:hAnsi="宋体" w:cs="宋体"/>
          <w:sz w:val="24"/>
          <w:szCs w:val="24"/>
          <w:lang w:val="en-US" w:eastAsia="zh-CN"/>
        </w:rPr>
        <w:t>教科研成果汇总：</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firstLine="480" w:firstLineChars="200"/>
        <w:textAlignment w:val="auto"/>
        <w:outlineLvl w:val="9"/>
        <w:rPr>
          <w:rFonts w:hint="eastAsia"/>
          <w:sz w:val="24"/>
          <w:szCs w:val="24"/>
          <w:lang w:val="en-US" w:eastAsia="zh-CN"/>
        </w:rPr>
      </w:pPr>
      <w:r>
        <w:rPr>
          <w:rFonts w:hint="eastAsia"/>
          <w:sz w:val="24"/>
          <w:szCs w:val="24"/>
          <w:lang w:val="en-US" w:eastAsia="zh-CN"/>
        </w:rPr>
        <w:t>1.获浙江省教育成果一等奖一项。立项并结题1项省级规划课题，2项厅级课题，1项市级规划课题，1项市级家庭教育专项课题，3个县级规划课题，3个县级名师课题。在县教科室主任会议上做教科研工作经验分享；</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firstLine="480" w:firstLineChars="200"/>
        <w:textAlignment w:val="auto"/>
        <w:outlineLvl w:val="9"/>
        <w:rPr>
          <w:rFonts w:hint="eastAsia"/>
          <w:sz w:val="24"/>
          <w:szCs w:val="24"/>
          <w:lang w:val="en-US" w:eastAsia="zh-CN"/>
        </w:rPr>
      </w:pPr>
      <w:r>
        <w:rPr>
          <w:rFonts w:hint="eastAsia"/>
          <w:sz w:val="24"/>
          <w:szCs w:val="24"/>
          <w:lang w:val="en-US" w:eastAsia="zh-CN"/>
        </w:rPr>
        <w:t>2.论文方面：4篇论文省级获奖9篇论文获市级一等奖，共计70余篇论文县市省级获奖；1个案例国家级获奖，1项成果国家级获奖，1个案例省级入选优秀案例，2个案例市级获二等奖。</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right="0" w:rightChars="0" w:firstLine="480" w:firstLineChars="200"/>
        <w:textAlignment w:val="auto"/>
        <w:outlineLvl w:val="9"/>
        <w:rPr>
          <w:rFonts w:hint="eastAsia"/>
          <w:sz w:val="24"/>
          <w:szCs w:val="24"/>
          <w:lang w:val="en-US" w:eastAsia="zh-CN"/>
        </w:rPr>
      </w:pPr>
      <w:r>
        <w:rPr>
          <w:rFonts w:hint="eastAsia"/>
          <w:sz w:val="24"/>
          <w:szCs w:val="24"/>
          <w:lang w:val="en-US" w:eastAsia="zh-CN"/>
        </w:rPr>
        <w:t>⑥管理队伍建设、信息化管理水平</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firstLine="0" w:firstLineChars="0"/>
        <w:textAlignment w:val="auto"/>
        <w:outlineLvl w:val="9"/>
        <w:rPr>
          <w:rFonts w:hint="eastAsia"/>
          <w:sz w:val="24"/>
          <w:szCs w:val="24"/>
          <w:lang w:val="en-US" w:eastAsia="zh-CN"/>
        </w:rPr>
      </w:pPr>
      <w:r>
        <w:rPr>
          <w:rFonts w:hint="eastAsia"/>
          <w:sz w:val="24"/>
          <w:szCs w:val="24"/>
          <w:lang w:val="en-US" w:eastAsia="zh-CN"/>
        </w:rPr>
        <w:t xml:space="preserve">    充分发掘教师自身教学课件、教学素材、电子教案等信息化教学资源自建学校精品课程与共享资源库；同时为了紧跟职教信息化发展的新形势和新要求，每年租用中职教学资源库，实现教师信息化教学资源的共享和学生在线学习。根据职教信息化发展的新形势和新要求，通过调查分析、深入了解各专业师生信息化教学和学习迫切需求，以优质、实用信息化教学资源建设为重点，。新增了T3畅捷通会计电算化软件、南京奥派高职考软件，且通过与厦门凤凰创壹软件有限公司合作，通过技术引进，自主开发等方法，建成包括教学素材、试题库、多媒体课件、电子教案等多种形式的动态信息化教学资源，初步建成了开放性、智能化、个性化的专业动态信息化教学资源库，为专业教学拓展了学习的时间和空间</w:t>
      </w:r>
      <w:r>
        <w:rPr>
          <w:rFonts w:hint="eastAsia" w:ascii="宋体" w:hAnsi="宋体"/>
          <w:color w:val="000000"/>
          <w:sz w:val="24"/>
          <w:szCs w:val="30"/>
        </w:rPr>
        <w:t>在开发教学资源的同时，办公系统使用钉钉软件运行公文流转、请假、审批等，初步实现办公无纸化。学校已改造</w:t>
      </w:r>
      <w:r>
        <w:rPr>
          <w:rFonts w:hint="eastAsia" w:ascii="宋体" w:hAnsi="宋体"/>
          <w:color w:val="000000"/>
          <w:sz w:val="24"/>
          <w:szCs w:val="30"/>
          <w:lang w:val="en-US" w:eastAsia="zh-CN"/>
        </w:rPr>
        <w:t>部分</w:t>
      </w:r>
      <w:r>
        <w:rPr>
          <w:rFonts w:hint="eastAsia" w:ascii="宋体" w:hAnsi="宋体"/>
          <w:color w:val="000000"/>
          <w:sz w:val="24"/>
          <w:szCs w:val="30"/>
        </w:rPr>
        <w:t>基础设施，</w:t>
      </w:r>
      <w:r>
        <w:rPr>
          <w:rFonts w:hint="eastAsia" w:ascii="宋体" w:hAnsi="宋体"/>
          <w:color w:val="000000"/>
          <w:sz w:val="24"/>
          <w:szCs w:val="30"/>
          <w:lang w:val="en-US" w:eastAsia="zh-CN"/>
        </w:rPr>
        <w:t>基本</w:t>
      </w:r>
      <w:r>
        <w:rPr>
          <w:rFonts w:hint="eastAsia" w:ascii="宋体" w:hAnsi="宋体"/>
          <w:color w:val="000000"/>
          <w:sz w:val="24"/>
          <w:szCs w:val="30"/>
        </w:rPr>
        <w:t>实现了用水管理智能化</w:t>
      </w:r>
      <w:r>
        <w:rPr>
          <w:rFonts w:hint="eastAsia" w:ascii="宋体" w:hAnsi="宋体"/>
          <w:color w:val="000000"/>
          <w:sz w:val="24"/>
          <w:szCs w:val="30"/>
          <w:lang w:eastAsia="zh-CN"/>
        </w:rPr>
        <w:t>，</w:t>
      </w:r>
      <w:r>
        <w:rPr>
          <w:rFonts w:hint="eastAsia" w:ascii="宋体" w:hAnsi="宋体"/>
          <w:color w:val="000000"/>
          <w:sz w:val="24"/>
          <w:szCs w:val="30"/>
          <w:lang w:val="en-US" w:eastAsia="zh-CN"/>
        </w:rPr>
        <w:t>车辆管理识别智能化，节约管理成本</w:t>
      </w:r>
      <w:r>
        <w:rPr>
          <w:rFonts w:hint="eastAsia" w:ascii="宋体" w:hAnsi="宋体"/>
          <w:color w:val="000000"/>
          <w:sz w:val="24"/>
          <w:szCs w:val="30"/>
        </w:rPr>
        <w:t>。</w:t>
      </w:r>
      <w:r>
        <w:rPr>
          <w:rFonts w:hint="eastAsia" w:ascii="宋体" w:hAnsi="宋体"/>
          <w:color w:val="000000"/>
          <w:sz w:val="24"/>
          <w:szCs w:val="30"/>
          <w:lang w:val="en-US" w:eastAsia="zh-CN"/>
        </w:rPr>
        <w:t>教务处采用全国中等职业学校学生管理系统进行学籍管理。</w:t>
      </w:r>
      <w:r>
        <w:rPr>
          <w:rFonts w:ascii="Arial" w:hAnsi="Arial" w:eastAsia="宋体" w:cs="Arial"/>
          <w:i w:val="0"/>
          <w:caps w:val="0"/>
          <w:color w:val="auto"/>
          <w:spacing w:val="0"/>
          <w:sz w:val="24"/>
          <w:szCs w:val="24"/>
          <w:shd w:val="clear" w:color="auto" w:fill="FFFFFF"/>
        </w:rPr>
        <w:t>实现</w:t>
      </w:r>
      <w:r>
        <w:rPr>
          <w:rFonts w:hint="eastAsia" w:ascii="Arial" w:hAnsi="Arial" w:cs="Arial"/>
          <w:i w:val="0"/>
          <w:caps w:val="0"/>
          <w:color w:val="auto"/>
          <w:spacing w:val="0"/>
          <w:sz w:val="24"/>
          <w:szCs w:val="24"/>
          <w:shd w:val="clear" w:color="auto" w:fill="FFFFFF"/>
          <w:lang w:val="en-US" w:eastAsia="zh-CN"/>
        </w:rPr>
        <w:t>了</w:t>
      </w:r>
      <w:r>
        <w:rPr>
          <w:rFonts w:ascii="Arial" w:hAnsi="Arial" w:eastAsia="宋体" w:cs="Arial"/>
          <w:i w:val="0"/>
          <w:caps w:val="0"/>
          <w:color w:val="auto"/>
          <w:spacing w:val="0"/>
          <w:sz w:val="24"/>
          <w:szCs w:val="24"/>
          <w:shd w:val="clear" w:color="auto" w:fill="FFFFFF"/>
        </w:rPr>
        <w:t>学生信息关系的系统化、科学化、规范化和自动化，</w:t>
      </w:r>
      <w:r>
        <w:rPr>
          <w:rFonts w:hint="eastAsia" w:ascii="Arial" w:hAnsi="Arial" w:cs="Arial"/>
          <w:i w:val="0"/>
          <w:caps w:val="0"/>
          <w:color w:val="auto"/>
          <w:spacing w:val="0"/>
          <w:sz w:val="24"/>
          <w:szCs w:val="24"/>
          <w:shd w:val="clear" w:color="auto" w:fill="FFFFFF"/>
          <w:lang w:val="en-US" w:eastAsia="zh-CN"/>
        </w:rPr>
        <w:t>使</w:t>
      </w:r>
      <w:r>
        <w:rPr>
          <w:rFonts w:ascii="Arial" w:hAnsi="Arial" w:eastAsia="宋体" w:cs="Arial"/>
          <w:i w:val="0"/>
          <w:caps w:val="0"/>
          <w:color w:val="auto"/>
          <w:spacing w:val="0"/>
          <w:sz w:val="24"/>
          <w:szCs w:val="24"/>
          <w:shd w:val="clear" w:color="auto" w:fill="FFFFFF"/>
        </w:rPr>
        <w:t>学籍管理规范化、电子化、控制辍学</w:t>
      </w:r>
      <w:r>
        <w:rPr>
          <w:rFonts w:hint="eastAsia" w:ascii="Arial" w:hAnsi="Arial" w:cs="Arial"/>
          <w:i w:val="0"/>
          <w:caps w:val="0"/>
          <w:color w:val="auto"/>
          <w:spacing w:val="0"/>
          <w:sz w:val="24"/>
          <w:szCs w:val="24"/>
          <w:shd w:val="clear" w:color="auto" w:fill="FFFFFF"/>
          <w:lang w:val="en-US" w:eastAsia="zh-CN"/>
        </w:rPr>
        <w:t>率</w:t>
      </w:r>
      <w:r>
        <w:rPr>
          <w:rFonts w:ascii="Arial" w:hAnsi="Arial" w:eastAsia="宋体" w:cs="Arial"/>
          <w:i w:val="0"/>
          <w:caps w:val="0"/>
          <w:color w:val="auto"/>
          <w:spacing w:val="0"/>
          <w:sz w:val="24"/>
          <w:szCs w:val="24"/>
          <w:shd w:val="clear" w:color="auto" w:fill="FFFFFF"/>
        </w:rPr>
        <w:t>。</w:t>
      </w:r>
      <w:r>
        <w:rPr>
          <w:rFonts w:hint="eastAsia" w:ascii="Arial" w:hAnsi="Arial" w:cs="Arial"/>
          <w:i w:val="0"/>
          <w:caps w:val="0"/>
          <w:color w:val="auto"/>
          <w:spacing w:val="0"/>
          <w:sz w:val="24"/>
          <w:szCs w:val="24"/>
          <w:shd w:val="clear" w:color="auto" w:fill="FFFFFF"/>
          <w:lang w:val="en-US" w:eastAsia="zh-CN"/>
        </w:rPr>
        <w:t>通过浙江省中职课改选课及管理系统实现了学生选课更加方便快捷、管理更有效。促进了校本课程法人开发和质量的提升。</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Chars="0" w:right="0" w:rightChars="0" w:firstLine="562" w:firstLineChars="200"/>
        <w:textAlignment w:val="auto"/>
        <w:outlineLvl w:val="9"/>
        <w:rPr>
          <w:rFonts w:hint="eastAsia"/>
          <w:b/>
          <w:bCs/>
          <w:sz w:val="28"/>
          <w:szCs w:val="28"/>
          <w:lang w:val="en-US" w:eastAsia="zh-CN"/>
        </w:rPr>
      </w:pPr>
      <w:r>
        <w:rPr>
          <w:rFonts w:hint="eastAsia"/>
          <w:b/>
          <w:bCs/>
          <w:sz w:val="28"/>
          <w:szCs w:val="28"/>
          <w:lang w:val="en-US" w:eastAsia="zh-CN"/>
        </w:rPr>
        <w:t>5.德育工作情况</w:t>
      </w:r>
    </w:p>
    <w:p>
      <w:pPr>
        <w:keepNext w:val="0"/>
        <w:keepLines w:val="0"/>
        <w:pageBreakBefore w:val="0"/>
        <w:widowControl/>
        <w:kinsoku/>
        <w:wordWrap/>
        <w:overflowPunct/>
        <w:topLinePunct w:val="0"/>
        <w:bidi w:val="0"/>
        <w:snapToGrid/>
        <w:spacing w:line="360" w:lineRule="auto"/>
        <w:ind w:firstLine="480" w:firstLineChars="200"/>
        <w:textAlignment w:val="auto"/>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开设德育课程。学校开设了《职业道德与法律》等专项德育课程，对学生进行思想品德和法治教育；学校还开展课前 “5分钟德育”，将德育工作融入到各门课程教学当中去；每学期均开设德育主题班会观摩活动。</w:t>
      </w:r>
    </w:p>
    <w:p>
      <w:pPr>
        <w:keepNext w:val="0"/>
        <w:keepLines w:val="0"/>
        <w:pageBreakBefore w:val="0"/>
        <w:kinsoku/>
        <w:wordWrap/>
        <w:overflowPunct/>
        <w:topLinePunct w:val="0"/>
        <w:bidi w:val="0"/>
        <w:snapToGrid/>
        <w:spacing w:line="360" w:lineRule="auto"/>
        <w:ind w:firstLine="480"/>
        <w:textAlignment w:val="auto"/>
        <w:rPr>
          <w:rFonts w:hint="eastAsia" w:ascii="新宋体" w:hAnsi="新宋体" w:eastAsia="新宋体" w:cs="新宋体"/>
          <w:color w:val="auto"/>
          <w:sz w:val="24"/>
          <w:szCs w:val="24"/>
        </w:rPr>
      </w:pPr>
      <w:r>
        <w:rPr>
          <w:rFonts w:hint="eastAsia" w:ascii="新宋体" w:hAnsi="新宋体" w:eastAsia="新宋体" w:cs="新宋体"/>
          <w:color w:val="auto"/>
          <w:kern w:val="0"/>
          <w:sz w:val="24"/>
          <w:szCs w:val="24"/>
        </w:rPr>
        <w:t>开展文明风采活动。</w:t>
      </w:r>
      <w:r>
        <w:rPr>
          <w:rFonts w:hint="eastAsia" w:ascii="新宋体" w:hAnsi="新宋体" w:eastAsia="新宋体" w:cs="新宋体"/>
          <w:color w:val="auto"/>
          <w:sz w:val="24"/>
          <w:szCs w:val="24"/>
        </w:rPr>
        <w:t>结合学校德育工作，积极开展丰富多彩的校园各项特色活动。“职校好声音”校园歌手大赛，“红歌嘹亮颂祖国、激情唱响扬青春”红歌合唱比赛、元旦文艺汇演、“祖国刻在我心”摄影比赛、</w:t>
      </w:r>
      <w:r>
        <w:rPr>
          <w:rFonts w:hint="eastAsia" w:ascii="新宋体" w:hAnsi="新宋体" w:eastAsia="新宋体" w:cs="新宋体"/>
          <w:color w:val="auto"/>
          <w:sz w:val="24"/>
          <w:szCs w:val="24"/>
          <w:lang w:eastAsia="zh-CN"/>
        </w:rPr>
        <w:t>“</w:t>
      </w:r>
      <w:r>
        <w:rPr>
          <w:rFonts w:hint="eastAsia" w:ascii="新宋体" w:hAnsi="新宋体" w:eastAsia="新宋体" w:cs="新宋体"/>
          <w:color w:val="auto"/>
          <w:sz w:val="24"/>
          <w:szCs w:val="24"/>
        </w:rPr>
        <w:t>我爱我家，请对毒品说不”演讲比赛、“我的职校生活”讲故事比赛、“雷锋在我心”学雷锋演讲比赛、“我与法的故事”演讲比赛、“郑义门”讲故事比赛</w:t>
      </w:r>
      <w:r>
        <w:rPr>
          <w:rFonts w:hint="eastAsia" w:ascii="新宋体" w:hAnsi="新宋体" w:eastAsia="新宋体" w:cs="新宋体"/>
          <w:color w:val="auto"/>
          <w:sz w:val="24"/>
          <w:szCs w:val="24"/>
          <w:lang w:eastAsia="zh-CN"/>
        </w:rPr>
        <w:t>、</w:t>
      </w:r>
      <w:r>
        <w:rPr>
          <w:rFonts w:hint="eastAsia" w:ascii="新宋体" w:hAnsi="新宋体" w:eastAsia="新宋体" w:cs="新宋体"/>
          <w:color w:val="auto"/>
          <w:sz w:val="24"/>
          <w:szCs w:val="24"/>
        </w:rPr>
        <w:t>“放飞青春梦想，树立远大志向”十八岁成人礼宣誓仪式</w:t>
      </w:r>
      <w:r>
        <w:rPr>
          <w:rFonts w:hint="eastAsia" w:ascii="新宋体" w:hAnsi="新宋体" w:eastAsia="新宋体" w:cs="新宋体"/>
          <w:color w:val="auto"/>
          <w:sz w:val="24"/>
          <w:szCs w:val="24"/>
          <w:lang w:eastAsia="zh-CN"/>
        </w:rPr>
        <w:t>、“</w:t>
      </w:r>
      <w:r>
        <w:rPr>
          <w:rFonts w:hint="eastAsia" w:ascii="新宋体" w:hAnsi="新宋体" w:eastAsia="新宋体" w:cs="新宋体"/>
          <w:color w:val="auto"/>
          <w:sz w:val="24"/>
          <w:szCs w:val="24"/>
          <w:lang w:val="en-US" w:eastAsia="zh-CN"/>
        </w:rPr>
        <w:t>以奋斗，致青春，创未来</w:t>
      </w:r>
      <w:r>
        <w:rPr>
          <w:rFonts w:hint="eastAsia" w:ascii="新宋体" w:hAnsi="新宋体" w:eastAsia="新宋体" w:cs="新宋体"/>
          <w:color w:val="auto"/>
          <w:sz w:val="24"/>
          <w:szCs w:val="24"/>
          <w:lang w:eastAsia="zh-CN"/>
        </w:rPr>
        <w:t>”</w:t>
      </w:r>
      <w:r>
        <w:rPr>
          <w:rFonts w:hint="eastAsia" w:ascii="新宋体" w:hAnsi="新宋体" w:eastAsia="新宋体" w:cs="新宋体"/>
          <w:color w:val="auto"/>
          <w:sz w:val="24"/>
          <w:szCs w:val="24"/>
          <w:lang w:val="en-US" w:eastAsia="zh-CN"/>
        </w:rPr>
        <w:t>毕业典礼</w:t>
      </w:r>
      <w:r>
        <w:rPr>
          <w:rFonts w:hint="eastAsia" w:ascii="新宋体" w:hAnsi="新宋体" w:eastAsia="新宋体" w:cs="新宋体"/>
          <w:color w:val="auto"/>
          <w:sz w:val="24"/>
          <w:szCs w:val="24"/>
        </w:rPr>
        <w:t>等等，组织开展了</w:t>
      </w:r>
      <w:r>
        <w:rPr>
          <w:rFonts w:hint="eastAsia" w:ascii="新宋体" w:hAnsi="新宋体" w:eastAsia="新宋体" w:cs="新宋体"/>
          <w:color w:val="auto"/>
          <w:sz w:val="24"/>
          <w:szCs w:val="24"/>
          <w:lang w:val="en-US" w:eastAsia="zh-CN"/>
        </w:rPr>
        <w:t>一系列的校园活动</w:t>
      </w:r>
      <w:r>
        <w:rPr>
          <w:rFonts w:hint="eastAsia" w:ascii="新宋体" w:hAnsi="新宋体" w:eastAsia="新宋体" w:cs="新宋体"/>
          <w:color w:val="auto"/>
          <w:sz w:val="24"/>
          <w:szCs w:val="24"/>
        </w:rPr>
        <w:t>。通过一系列活动有效地引导青年学习道德法规，树立道德意识、践行文明修身，形成和谐的校园氛围。组织开展青年志愿者服务活动，培养学生的奉献精神，服务社会。“春泥计划”、“迎创工作”、禁毒宣传、“缅怀先烈”扫墓、学雷锋便民服务、看望培智学校的儿童、慰问五保中心的孤寡老人、“爱心物资万里行”闲置衣物募集等等。通过志愿者服务活动增强了学生的社会责任感和社会实践能力，弘扬了“奉献、友爱、互助、进步”的志愿精神，传播青春正能量。</w:t>
      </w:r>
    </w:p>
    <w:p>
      <w:pPr>
        <w:keepNext w:val="0"/>
        <w:keepLines w:val="0"/>
        <w:pageBreakBefore w:val="0"/>
        <w:widowControl/>
        <w:kinsoku/>
        <w:wordWrap/>
        <w:overflowPunct/>
        <w:topLinePunct w:val="0"/>
        <w:bidi w:val="0"/>
        <w:snapToGrid/>
        <w:spacing w:line="360" w:lineRule="auto"/>
        <w:ind w:firstLine="480" w:firstLineChars="200"/>
        <w:textAlignment w:val="auto"/>
        <w:rPr>
          <w:rFonts w:hint="eastAsia" w:ascii="新宋体" w:hAnsi="新宋体" w:eastAsia="新宋体" w:cs="新宋体"/>
          <w:color w:val="auto"/>
          <w:sz w:val="24"/>
          <w:szCs w:val="24"/>
        </w:rPr>
      </w:pPr>
      <w:r>
        <w:rPr>
          <w:rFonts w:hint="eastAsia" w:ascii="新宋体" w:hAnsi="新宋体" w:eastAsia="新宋体" w:cs="新宋体"/>
          <w:color w:val="auto"/>
          <w:kern w:val="0"/>
          <w:sz w:val="24"/>
          <w:szCs w:val="24"/>
        </w:rPr>
        <w:t>丰富社团活动。</w:t>
      </w:r>
      <w:r>
        <w:rPr>
          <w:rFonts w:hint="eastAsia" w:ascii="新宋体" w:hAnsi="新宋体" w:eastAsia="新宋体" w:cs="新宋体"/>
          <w:color w:val="auto"/>
          <w:sz w:val="24"/>
          <w:szCs w:val="24"/>
        </w:rPr>
        <w:t>为丰富学生课余生活，利用课余时间开展社团活动。目前有舞龙、礼仪、摄影、风筝、戏曲、合唱、广播、舞蹈、健美操、足球、篮球、羽毛球、电商等等涵盖文学、艺术、体育、专业等功能丰富、类型兼备的共20余个学生社团组织。</w:t>
      </w:r>
      <w:r>
        <w:rPr>
          <w:rFonts w:hint="eastAsia" w:ascii="新宋体" w:hAnsi="新宋体" w:eastAsia="新宋体" w:cs="新宋体"/>
          <w:color w:val="auto"/>
          <w:sz w:val="24"/>
          <w:szCs w:val="24"/>
          <w:lang w:val="en-US" w:eastAsia="zh-CN"/>
        </w:rPr>
        <w:t>我校的老牌特色社团之一</w:t>
      </w:r>
      <w:r>
        <w:rPr>
          <w:rFonts w:hint="eastAsia" w:ascii="新宋体" w:hAnsi="新宋体" w:eastAsia="新宋体" w:cs="新宋体"/>
          <w:color w:val="auto"/>
          <w:sz w:val="24"/>
          <w:szCs w:val="24"/>
        </w:rPr>
        <w:t>舞龙社，我校的礼仪队，不但承担了学校的一些接待工作，在县里一些重要活动上也能见到她们的身影。</w:t>
      </w:r>
      <w:r>
        <w:rPr>
          <w:rFonts w:hint="eastAsia" w:ascii="新宋体" w:hAnsi="新宋体" w:eastAsia="新宋体" w:cs="新宋体"/>
          <w:color w:val="auto"/>
          <w:sz w:val="24"/>
          <w:szCs w:val="24"/>
          <w:lang w:val="en-US" w:eastAsia="zh-CN"/>
        </w:rPr>
        <w:t>比如2018年县道德模范颁奖典礼等。</w:t>
      </w:r>
      <w:r>
        <w:rPr>
          <w:rFonts w:hint="eastAsia" w:ascii="新宋体" w:hAnsi="新宋体" w:eastAsia="新宋体" w:cs="新宋体"/>
          <w:color w:val="auto"/>
          <w:sz w:val="24"/>
          <w:szCs w:val="24"/>
        </w:rPr>
        <w:t>社团活动已经成为学生们校园文化生活中最重要的一部分，社团是学生心灵的港湾，他们在这个集体中，通过交流合作而获得友情；通过兴趣活动使学习压力得以释放；通过探究和成功而获得喜悦。社团活动，为他们拓展了无尽的心灵空间，积累了奋斗的意志和力量，在温馨和喜悦中产生对学校、对生活、对人生、对社会的爱。</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firstLine="480" w:firstLineChars="200"/>
        <w:textAlignment w:val="auto"/>
        <w:outlineLvl w:val="9"/>
        <w:rPr>
          <w:rFonts w:hint="eastAsia"/>
          <w:sz w:val="24"/>
          <w:szCs w:val="24"/>
          <w:lang w:val="en-US" w:eastAsia="zh-CN"/>
        </w:rPr>
      </w:pPr>
      <w:r>
        <w:rPr>
          <w:rFonts w:hint="eastAsia" w:ascii="新宋体" w:hAnsi="新宋体" w:eastAsia="新宋体" w:cs="新宋体"/>
          <w:color w:val="auto"/>
          <w:kern w:val="0"/>
          <w:sz w:val="24"/>
          <w:szCs w:val="24"/>
        </w:rPr>
        <w:t>加强团组织和学生会建设。</w:t>
      </w:r>
      <w:r>
        <w:rPr>
          <w:rFonts w:hint="eastAsia" w:ascii="新宋体" w:hAnsi="新宋体" w:eastAsia="新宋体" w:cs="新宋体"/>
          <w:color w:val="auto"/>
          <w:kern w:val="0"/>
          <w:sz w:val="24"/>
          <w:szCs w:val="24"/>
          <w:lang w:val="en-US" w:eastAsia="zh-CN"/>
        </w:rPr>
        <w:t>团建工作积极响应上级号召，从严治团。</w:t>
      </w:r>
      <w:r>
        <w:rPr>
          <w:rFonts w:hint="eastAsia" w:ascii="新宋体" w:hAnsi="新宋体" w:eastAsia="新宋体" w:cs="新宋体"/>
          <w:color w:val="auto"/>
          <w:sz w:val="24"/>
          <w:szCs w:val="24"/>
        </w:rPr>
        <w:t>每月至少召开</w:t>
      </w:r>
      <w:r>
        <w:rPr>
          <w:rFonts w:hint="eastAsia" w:ascii="新宋体" w:hAnsi="新宋体" w:eastAsia="新宋体" w:cs="新宋体"/>
          <w:color w:val="auto"/>
          <w:sz w:val="24"/>
          <w:szCs w:val="24"/>
          <w:lang w:val="en-US" w:eastAsia="zh-CN"/>
        </w:rPr>
        <w:t>两</w:t>
      </w:r>
      <w:r>
        <w:rPr>
          <w:rFonts w:hint="eastAsia" w:ascii="新宋体" w:hAnsi="新宋体" w:eastAsia="新宋体" w:cs="新宋体"/>
          <w:color w:val="auto"/>
          <w:sz w:val="24"/>
          <w:szCs w:val="24"/>
        </w:rPr>
        <w:t>次团支书会议，进行团干部的思想教育和业务培训、布置各项工作，使团干部规范有序地开展工作，并积极参与学校常规管理。严格把关纳新程序，积极稳妥发展团员。首先由各团支部推荐优秀学生成为入团积极分子，再团委组织上团课培训，最后进行考核，成绩优秀者准予入团。入团门槛的提高，提升了团员质量，加强了团的吸引力。加强团的组织建设，把团的工作与学校德育工作有机的结合起来。成立由部分团支书与优秀团员</w:t>
      </w:r>
      <w:r>
        <w:rPr>
          <w:rFonts w:hint="eastAsia" w:ascii="新宋体" w:hAnsi="新宋体" w:eastAsia="新宋体" w:cs="新宋体"/>
          <w:color w:val="auto"/>
          <w:sz w:val="24"/>
          <w:szCs w:val="24"/>
          <w:lang w:val="en-US" w:eastAsia="zh-CN"/>
        </w:rPr>
        <w:t>以及部分入团积极分子</w:t>
      </w:r>
      <w:r>
        <w:rPr>
          <w:rFonts w:hint="eastAsia" w:ascii="新宋体" w:hAnsi="新宋体" w:eastAsia="新宋体" w:cs="新宋体"/>
          <w:color w:val="auto"/>
          <w:sz w:val="24"/>
          <w:szCs w:val="24"/>
        </w:rPr>
        <w:t>组成的校园文明巡纠队，加强团员的服务意识，发挥团员先进模范带头作用。</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Chars="0" w:right="0" w:rightChars="0" w:firstLine="562" w:firstLineChars="200"/>
        <w:textAlignment w:val="auto"/>
        <w:outlineLvl w:val="9"/>
        <w:rPr>
          <w:rFonts w:hint="eastAsia"/>
          <w:b/>
          <w:bCs/>
          <w:sz w:val="28"/>
          <w:szCs w:val="28"/>
          <w:lang w:val="en-US" w:eastAsia="zh-CN"/>
        </w:rPr>
      </w:pPr>
      <w:r>
        <w:rPr>
          <w:rFonts w:hint="eastAsia"/>
          <w:b/>
          <w:bCs/>
          <w:sz w:val="28"/>
          <w:szCs w:val="28"/>
          <w:lang w:val="en-US" w:eastAsia="zh-CN"/>
        </w:rPr>
        <w:t>6.党建情况</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right="0" w:rightChars="0" w:firstLine="480" w:firstLineChars="200"/>
        <w:textAlignment w:val="auto"/>
        <w:outlineLvl w:val="9"/>
        <w:rPr>
          <w:rFonts w:hint="eastAsia"/>
          <w:sz w:val="24"/>
          <w:szCs w:val="24"/>
          <w:lang w:val="en-US" w:eastAsia="zh-CN"/>
        </w:rPr>
      </w:pPr>
      <w:r>
        <w:rPr>
          <w:rFonts w:hint="eastAsia"/>
          <w:sz w:val="24"/>
          <w:szCs w:val="24"/>
          <w:lang w:val="en-US" w:eastAsia="zh-CN"/>
        </w:rPr>
        <w:t>2020年度，学校总支部高举习近平新时代中国特色社会主义思想伟大旗帜，全面贯彻落实新时代党的建设总要求，坚持抓党建、转作风、促落实鲜明导向，以“不忘初心、牢记使命”主题教育和“二亮三比”活动为抓手，一方面按照党要管党、从严治党原则，扎实做好上级党组织要求的各项规定动作；另一方面充分发挥党员先锋模范作用和支部战斗保垒作用，全力做好支持、协助行政的各个自选工作，做到干在实处，走在前列，勇立潮头。学校总支部获“四星基层党组织”。在各级网站、报刊等媒体发表39篇党建报道。</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right="0" w:rightChars="0" w:firstLine="480" w:firstLineChars="200"/>
        <w:textAlignment w:val="auto"/>
        <w:outlineLvl w:val="9"/>
        <w:rPr>
          <w:rFonts w:hint="eastAsia"/>
          <w:sz w:val="24"/>
          <w:szCs w:val="24"/>
          <w:lang w:val="en-US" w:eastAsia="zh-CN"/>
        </w:rPr>
      </w:pPr>
      <w:r>
        <w:rPr>
          <w:rFonts w:hint="eastAsia"/>
          <w:sz w:val="24"/>
          <w:szCs w:val="24"/>
          <w:lang w:val="en-US" w:eastAsia="zh-CN"/>
        </w:rPr>
        <w:t>一、推进学习教育活动，加强思想建设</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right="0" w:rightChars="0" w:firstLine="480" w:firstLineChars="200"/>
        <w:textAlignment w:val="auto"/>
        <w:outlineLvl w:val="9"/>
        <w:rPr>
          <w:rFonts w:hint="eastAsia"/>
          <w:sz w:val="24"/>
          <w:szCs w:val="24"/>
          <w:lang w:val="en-US" w:eastAsia="zh-CN"/>
        </w:rPr>
      </w:pPr>
      <w:r>
        <w:rPr>
          <w:rFonts w:hint="eastAsia"/>
          <w:sz w:val="24"/>
          <w:szCs w:val="24"/>
          <w:lang w:val="en-US" w:eastAsia="zh-CN"/>
        </w:rPr>
        <w:t>（一）学习贯彻党的十九届四中全会精神。</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right="0" w:rightChars="0" w:firstLine="480" w:firstLineChars="200"/>
        <w:textAlignment w:val="auto"/>
        <w:outlineLvl w:val="9"/>
        <w:rPr>
          <w:rFonts w:hint="eastAsia"/>
          <w:sz w:val="24"/>
          <w:szCs w:val="24"/>
          <w:lang w:val="en-US" w:eastAsia="zh-CN"/>
        </w:rPr>
      </w:pPr>
      <w:r>
        <w:rPr>
          <w:rFonts w:hint="eastAsia"/>
          <w:sz w:val="24"/>
          <w:szCs w:val="24"/>
          <w:lang w:val="en-US" w:eastAsia="zh-CN"/>
        </w:rPr>
        <w:t>总支部将党的十九届四中全会精神作为“不忘初心、牢记使命”学习教育的主要内容。组织学习《中国共产党第十九届中央委员会第四次全体会议公报》、《中共中央关于坚持和完善中国特色社会主义制度推进国家治理、体系和治理能力现代化若干重大问题的决定》、习近平总书记关于《中共中央关于坚持和完善中国特色社会主义制度推进国家治理体系和治理能力现代化若干重大问题的决定》的说明、习近平在上海考察时强调《深入学习贯彻党的十九届四中全会精神 提高社会主义现代化国际大都市治理能力和水平》、习近平总书记在第二届中国国际进口博览会开幕式上的主旨演讲《开放合作 命运与共》等。</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right="0" w:rightChars="0" w:firstLine="480" w:firstLineChars="200"/>
        <w:textAlignment w:val="auto"/>
        <w:outlineLvl w:val="9"/>
        <w:rPr>
          <w:rFonts w:hint="eastAsia"/>
          <w:sz w:val="24"/>
          <w:szCs w:val="24"/>
          <w:lang w:val="en-US" w:eastAsia="zh-CN"/>
        </w:rPr>
      </w:pPr>
      <w:r>
        <w:rPr>
          <w:rFonts w:hint="eastAsia"/>
          <w:sz w:val="24"/>
          <w:szCs w:val="24"/>
          <w:lang w:val="en-US" w:eastAsia="zh-CN"/>
        </w:rPr>
        <w:t>（二）组织学习习近平总书记系列重要讲话精神。</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right="0" w:rightChars="0" w:firstLine="480" w:firstLineChars="200"/>
        <w:textAlignment w:val="auto"/>
        <w:outlineLvl w:val="9"/>
        <w:rPr>
          <w:rFonts w:hint="eastAsia"/>
          <w:sz w:val="24"/>
          <w:szCs w:val="24"/>
          <w:lang w:val="en-US" w:eastAsia="zh-CN"/>
        </w:rPr>
      </w:pPr>
      <w:r>
        <w:rPr>
          <w:rFonts w:hint="eastAsia"/>
          <w:sz w:val="24"/>
          <w:szCs w:val="24"/>
          <w:lang w:val="en-US" w:eastAsia="zh-CN"/>
        </w:rPr>
        <w:t>组织学习《习近平新时代中国特色社会主义思想三十讲》、《习近平新时代中国特色社会主义思想学习纲要》、《习近平关于“不忘初心、牢记使命”论述摘编》、《之江新语》、习近平论学习摘编、习近平总书记关于依法治国系列重要论述、时任浙江省委书记习近平下访浦江时的讲话摘要、习近平在学校思想政治理论课教师座谈的重要讲话精神等。</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right="0" w:rightChars="0" w:firstLine="480" w:firstLineChars="200"/>
        <w:textAlignment w:val="auto"/>
        <w:outlineLvl w:val="9"/>
        <w:rPr>
          <w:rFonts w:hint="eastAsia"/>
          <w:sz w:val="24"/>
          <w:szCs w:val="24"/>
          <w:lang w:val="en-US" w:eastAsia="zh-CN"/>
        </w:rPr>
      </w:pPr>
      <w:r>
        <w:rPr>
          <w:rFonts w:hint="eastAsia"/>
          <w:sz w:val="24"/>
          <w:szCs w:val="24"/>
          <w:lang w:val="en-US" w:eastAsia="zh-CN"/>
        </w:rPr>
        <w:t>（三）组织学习全国、省、市、县、局各级领导在有关教育会议上的讲话精神。组织全体教职工学习教育部党组书记、部长陈宝生在2019年全国教育工作会议上的讲话《落实落实再落实》、省教育厅党委书记、厅长陈根芳在2019年全省教育系统工作会议上的讲话《强化思想引领 把握教育规律 努力在教育现代化进程中走在前列》、金华市教育局楼伟民局长在全市教育工作务虚会暨2019年教育工作部署会上的讲话、省委书记车俊在全省教育大会上的讲话《全面贯彻党的教育方针 率先高水平实现教育现代化》、浙江省委副书记、省长袁家军在全省教育大会上的讲话《合心合力办好人民满意的教育》、县委书记程天云在全县教育大会上的讲话《做人民满意的教师  办人民满意的教育》、县教育局党委书记、局长傅剑敏2018年秋季学期期末工作会议上的讲话《忠诚务实 担当有为高质量推进教育现代化》等。</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right="0" w:rightChars="0" w:firstLine="480" w:firstLineChars="200"/>
        <w:textAlignment w:val="auto"/>
        <w:outlineLvl w:val="9"/>
        <w:rPr>
          <w:rFonts w:hint="eastAsia"/>
          <w:sz w:val="24"/>
          <w:szCs w:val="24"/>
          <w:lang w:val="en-US" w:eastAsia="zh-CN"/>
        </w:rPr>
      </w:pPr>
      <w:r>
        <w:rPr>
          <w:rFonts w:hint="eastAsia"/>
          <w:sz w:val="24"/>
          <w:szCs w:val="24"/>
          <w:lang w:val="en-US" w:eastAsia="zh-CN"/>
        </w:rPr>
        <w:t>（四）“学习强国”成为党员学习的新平台。</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right="0" w:rightChars="0" w:firstLine="480" w:firstLineChars="200"/>
        <w:textAlignment w:val="auto"/>
        <w:outlineLvl w:val="9"/>
        <w:rPr>
          <w:rFonts w:hint="eastAsia"/>
          <w:sz w:val="24"/>
          <w:szCs w:val="24"/>
          <w:lang w:val="en-US" w:eastAsia="zh-CN"/>
        </w:rPr>
      </w:pPr>
      <w:r>
        <w:rPr>
          <w:rFonts w:hint="eastAsia"/>
          <w:sz w:val="24"/>
          <w:szCs w:val="24"/>
          <w:lang w:val="en-US" w:eastAsia="zh-CN"/>
        </w:rPr>
        <w:t>“学习强国”学习平台是贯彻落实习近平总书记关于加强学习、建设学习大国重要指示精神、推动全党大学习的有力抓手，是新形势下强化理论武装和思想教育的创新探索，更是推动习近平新时代中国特色社会主义思想学习宣传贯彻不断深入的重要举措。学校总支部和五个党支部提高政治站位，强化政治责任，深刻认识到做好推广使用“学习强国”学习平台的重要意义，制订了《浦江职技校关于“学习强国”学习平台推广使用方案》，切实做好学习平台的使用推广工作。实现了在职党员的全覆盖，党员教职工们形成了天天学习、人人学习的一种新习惯。</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right="0" w:rightChars="0"/>
        <w:textAlignment w:val="auto"/>
        <w:outlineLvl w:val="9"/>
        <w:rPr>
          <w:rFonts w:hint="eastAsia"/>
          <w:sz w:val="24"/>
          <w:szCs w:val="24"/>
          <w:lang w:val="en-US" w:eastAsia="zh-CN"/>
        </w:rPr>
      </w:pPr>
      <w:r>
        <w:rPr>
          <w:rFonts w:hint="eastAsia"/>
          <w:sz w:val="24"/>
          <w:szCs w:val="24"/>
          <w:lang w:val="en-US" w:eastAsia="zh-CN"/>
        </w:rPr>
        <w:t xml:space="preserve">   二、认真做好党建工作管理，加强组织建设和党员队伍建设</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right="0" w:rightChars="0" w:firstLine="480" w:firstLineChars="200"/>
        <w:textAlignment w:val="auto"/>
        <w:outlineLvl w:val="9"/>
        <w:rPr>
          <w:rFonts w:hint="eastAsia"/>
          <w:sz w:val="24"/>
          <w:szCs w:val="24"/>
          <w:lang w:val="en-US" w:eastAsia="zh-CN"/>
        </w:rPr>
      </w:pPr>
      <w:r>
        <w:rPr>
          <w:rFonts w:hint="eastAsia"/>
          <w:sz w:val="24"/>
          <w:szCs w:val="24"/>
          <w:lang w:val="en-US" w:eastAsia="zh-CN"/>
        </w:rPr>
        <w:t>（一）加强领导班子、干部队伍建设。</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right="0" w:rightChars="0" w:firstLine="480" w:firstLineChars="200"/>
        <w:textAlignment w:val="auto"/>
        <w:outlineLvl w:val="9"/>
        <w:rPr>
          <w:rFonts w:hint="eastAsia"/>
          <w:sz w:val="24"/>
          <w:szCs w:val="24"/>
          <w:lang w:val="en-US" w:eastAsia="zh-CN"/>
        </w:rPr>
      </w:pPr>
      <w:r>
        <w:rPr>
          <w:rFonts w:hint="eastAsia"/>
          <w:sz w:val="24"/>
          <w:szCs w:val="24"/>
          <w:lang w:val="en-US" w:eastAsia="zh-CN"/>
        </w:rPr>
        <w:t>1.强化班子建设，增补支部委员会成员。因总支部委员、副书记张大学同志已另行安排工作；第一支部委员芮红英已调离学校。10月18日分别召开总支部党员大会和第一支部党员大会，采用无记名投票方式选举了张序安同志为总支部委员、副书记和边小芳同志为第一支部委员。</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right="0" w:rightChars="0" w:firstLine="480" w:firstLineChars="200"/>
        <w:textAlignment w:val="auto"/>
        <w:outlineLvl w:val="9"/>
        <w:rPr>
          <w:rFonts w:hint="eastAsia"/>
          <w:sz w:val="24"/>
          <w:szCs w:val="24"/>
          <w:lang w:val="en-US" w:eastAsia="zh-CN"/>
        </w:rPr>
      </w:pPr>
      <w:r>
        <w:rPr>
          <w:rFonts w:hint="eastAsia"/>
          <w:sz w:val="24"/>
          <w:szCs w:val="24"/>
          <w:lang w:val="en-US" w:eastAsia="zh-CN"/>
        </w:rPr>
        <w:t>2.充分发挥班子成员分工协作、集体决策的优良传统，执行“三重一大”决策制度，增强班子的战斗力。</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right="0" w:rightChars="0" w:firstLine="480" w:firstLineChars="200"/>
        <w:textAlignment w:val="auto"/>
        <w:outlineLvl w:val="9"/>
        <w:rPr>
          <w:rFonts w:hint="eastAsia"/>
          <w:sz w:val="24"/>
          <w:szCs w:val="24"/>
          <w:lang w:val="en-US" w:eastAsia="zh-CN"/>
        </w:rPr>
      </w:pPr>
      <w:r>
        <w:rPr>
          <w:rFonts w:hint="eastAsia"/>
          <w:sz w:val="24"/>
          <w:szCs w:val="24"/>
          <w:lang w:val="en-US" w:eastAsia="zh-CN"/>
        </w:rPr>
        <w:t>（二）落实“三会一课”等党内生活制度。</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right="0" w:rightChars="0" w:firstLine="480" w:firstLineChars="200"/>
        <w:textAlignment w:val="auto"/>
        <w:outlineLvl w:val="9"/>
        <w:rPr>
          <w:rFonts w:hint="eastAsia"/>
          <w:sz w:val="24"/>
          <w:szCs w:val="24"/>
          <w:lang w:val="en-US" w:eastAsia="zh-CN"/>
        </w:rPr>
      </w:pPr>
      <w:r>
        <w:rPr>
          <w:rFonts w:hint="eastAsia"/>
          <w:sz w:val="24"/>
          <w:szCs w:val="24"/>
          <w:lang w:val="en-US" w:eastAsia="zh-CN"/>
        </w:rPr>
        <w:t>认真落实“三会一课”制度、民主生活会制度、党员汇报制度、民主评议党员制度等党内生活制度。按规定开展每月一次支委会、每季一次党员大会和党课、每月一次党员主题党日活动、一年一次组织生活会。</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right="0" w:rightChars="0" w:firstLine="480" w:firstLineChars="200"/>
        <w:textAlignment w:val="auto"/>
        <w:outlineLvl w:val="9"/>
        <w:rPr>
          <w:rFonts w:hint="eastAsia"/>
          <w:sz w:val="24"/>
          <w:szCs w:val="24"/>
          <w:lang w:val="en-US" w:eastAsia="zh-CN"/>
        </w:rPr>
      </w:pPr>
      <w:r>
        <w:rPr>
          <w:rFonts w:hint="eastAsia"/>
          <w:sz w:val="24"/>
          <w:szCs w:val="24"/>
          <w:lang w:val="en-US" w:eastAsia="zh-CN"/>
        </w:rPr>
        <w:t>（三）做好党员发展培养工作。</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right="0" w:rightChars="0" w:firstLine="480" w:firstLineChars="200"/>
        <w:textAlignment w:val="auto"/>
        <w:outlineLvl w:val="9"/>
        <w:rPr>
          <w:rFonts w:hint="eastAsia"/>
          <w:sz w:val="24"/>
          <w:szCs w:val="24"/>
          <w:lang w:val="en-US" w:eastAsia="zh-CN"/>
        </w:rPr>
      </w:pPr>
      <w:r>
        <w:rPr>
          <w:rFonts w:hint="eastAsia"/>
          <w:sz w:val="24"/>
          <w:szCs w:val="24"/>
          <w:lang w:val="en-US" w:eastAsia="zh-CN"/>
        </w:rPr>
        <w:t>根据《中国共产党发展党员工作细则》，贯彻“控制总量、优化结构、提高质量、发挥作用”的总要求，成熟一个，发展一个，不断壮大党员队伍。</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right="0" w:rightChars="0" w:firstLine="480" w:firstLineChars="200"/>
        <w:textAlignment w:val="auto"/>
        <w:outlineLvl w:val="9"/>
        <w:rPr>
          <w:rFonts w:hint="eastAsia"/>
          <w:sz w:val="24"/>
          <w:szCs w:val="24"/>
          <w:lang w:val="en-US" w:eastAsia="zh-CN"/>
        </w:rPr>
      </w:pPr>
      <w:r>
        <w:rPr>
          <w:rFonts w:hint="eastAsia"/>
          <w:sz w:val="24"/>
          <w:szCs w:val="24"/>
          <w:lang w:val="en-US" w:eastAsia="zh-CN"/>
        </w:rPr>
        <w:t>（四）组织开展丰富多彩的党建活动。</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right="0" w:rightChars="0" w:firstLine="480" w:firstLineChars="200"/>
        <w:textAlignment w:val="auto"/>
        <w:outlineLvl w:val="9"/>
        <w:rPr>
          <w:rFonts w:hint="eastAsia"/>
          <w:sz w:val="24"/>
          <w:szCs w:val="24"/>
          <w:lang w:val="en-US" w:eastAsia="zh-CN"/>
        </w:rPr>
      </w:pPr>
      <w:r>
        <w:rPr>
          <w:rFonts w:hint="eastAsia"/>
          <w:sz w:val="24"/>
          <w:szCs w:val="24"/>
          <w:lang w:val="en-US" w:eastAsia="zh-CN"/>
        </w:rPr>
        <w:t>1.“不忘初心、牢记使命”主题教育。</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right="0" w:rightChars="0" w:firstLine="480" w:firstLineChars="200"/>
        <w:textAlignment w:val="auto"/>
        <w:outlineLvl w:val="9"/>
        <w:rPr>
          <w:rFonts w:hint="eastAsia"/>
          <w:sz w:val="24"/>
          <w:szCs w:val="24"/>
          <w:lang w:val="en-US" w:eastAsia="zh-CN"/>
        </w:rPr>
      </w:pPr>
      <w:r>
        <w:rPr>
          <w:rFonts w:hint="eastAsia"/>
          <w:sz w:val="24"/>
          <w:szCs w:val="24"/>
          <w:lang w:val="en-US" w:eastAsia="zh-CN"/>
        </w:rPr>
        <w:t>根据中央、省市县委、教育局党委有关“不忘初心，牢记使命”主题教育工作的部署，学校总支部于9月到12月底扎扎实实开展主题教育相关工作。开展支部书记讲党课；研究确定支部党员在查找党员意识、担当作为、服务群众、遵守纪律、作用发挥等 5 个方面的检视整改清单；研究党员为民办实事，并在公开栏公示每名党员办实事情况。研究听取主题教育以来，支部班子及个人整改落实情况；组织全体党员干部进行主题教育测试；12月6日各支部召开专题组织生活会。</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right="0" w:rightChars="0" w:firstLine="480" w:firstLineChars="200"/>
        <w:textAlignment w:val="auto"/>
        <w:outlineLvl w:val="9"/>
        <w:rPr>
          <w:rFonts w:hint="eastAsia"/>
          <w:sz w:val="24"/>
          <w:szCs w:val="24"/>
          <w:lang w:val="en-US" w:eastAsia="zh-CN"/>
        </w:rPr>
      </w:pPr>
      <w:r>
        <w:rPr>
          <w:rFonts w:hint="eastAsia"/>
          <w:sz w:val="24"/>
          <w:szCs w:val="24"/>
          <w:lang w:val="en-US" w:eastAsia="zh-CN"/>
        </w:rPr>
        <w:t>2.社区共建活动。</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right="0" w:rightChars="0" w:firstLine="480" w:firstLineChars="200"/>
        <w:textAlignment w:val="auto"/>
        <w:outlineLvl w:val="9"/>
        <w:rPr>
          <w:rFonts w:hint="eastAsia"/>
          <w:sz w:val="24"/>
          <w:szCs w:val="24"/>
          <w:lang w:val="en-US" w:eastAsia="zh-CN"/>
        </w:rPr>
      </w:pPr>
      <w:r>
        <w:rPr>
          <w:rFonts w:hint="eastAsia"/>
          <w:sz w:val="24"/>
          <w:szCs w:val="24"/>
          <w:lang w:val="en-US" w:eastAsia="zh-CN"/>
        </w:rPr>
        <w:t>从6月15日到9月28日，学校在职党员利用周六休息时间到五里社区富丽豪苑参加社区共建活动，共计为群众服务214人次。</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right="0" w:rightChars="0" w:firstLine="480" w:firstLineChars="200"/>
        <w:textAlignment w:val="auto"/>
        <w:outlineLvl w:val="9"/>
        <w:rPr>
          <w:rFonts w:hint="eastAsia"/>
          <w:sz w:val="24"/>
          <w:szCs w:val="24"/>
          <w:lang w:val="en-US" w:eastAsia="zh-CN"/>
        </w:rPr>
      </w:pPr>
      <w:r>
        <w:rPr>
          <w:rFonts w:hint="eastAsia"/>
          <w:sz w:val="24"/>
          <w:szCs w:val="24"/>
          <w:lang w:val="en-US" w:eastAsia="zh-CN"/>
        </w:rPr>
        <w:t xml:space="preserve">3.放学志愿活动。 </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right="0" w:rightChars="0" w:firstLine="480" w:firstLineChars="200"/>
        <w:textAlignment w:val="auto"/>
        <w:outlineLvl w:val="9"/>
        <w:rPr>
          <w:rFonts w:hint="eastAsia"/>
          <w:sz w:val="24"/>
          <w:szCs w:val="24"/>
          <w:lang w:val="en-US" w:eastAsia="zh-CN"/>
        </w:rPr>
      </w:pPr>
      <w:r>
        <w:rPr>
          <w:rFonts w:hint="eastAsia"/>
          <w:sz w:val="24"/>
          <w:szCs w:val="24"/>
          <w:lang w:val="en-US" w:eastAsia="zh-CN"/>
        </w:rPr>
        <w:t>2020年组织党员放学校门口志愿活动和开学、学期结束志愿活动，共计为家长、师生、群众服务277人次。</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right="0" w:rightChars="0" w:firstLine="480" w:firstLineChars="200"/>
        <w:textAlignment w:val="auto"/>
        <w:outlineLvl w:val="9"/>
        <w:rPr>
          <w:rFonts w:hint="eastAsia"/>
          <w:sz w:val="24"/>
          <w:szCs w:val="24"/>
          <w:lang w:val="en-US" w:eastAsia="zh-CN"/>
        </w:rPr>
      </w:pPr>
      <w:r>
        <w:rPr>
          <w:rFonts w:hint="eastAsia"/>
          <w:sz w:val="24"/>
          <w:szCs w:val="24"/>
          <w:lang w:val="en-US" w:eastAsia="zh-CN"/>
        </w:rPr>
        <w:t>4.党员导师制。</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right="0" w:rightChars="0" w:firstLine="480" w:firstLineChars="200"/>
        <w:textAlignment w:val="auto"/>
        <w:outlineLvl w:val="9"/>
        <w:rPr>
          <w:rFonts w:hint="eastAsia"/>
          <w:sz w:val="24"/>
          <w:szCs w:val="24"/>
          <w:lang w:val="en-US" w:eastAsia="zh-CN"/>
        </w:rPr>
      </w:pPr>
      <w:r>
        <w:rPr>
          <w:rFonts w:hint="eastAsia"/>
          <w:sz w:val="24"/>
          <w:szCs w:val="24"/>
          <w:lang w:val="en-US" w:eastAsia="zh-CN"/>
        </w:rPr>
        <w:t>学校“党员导师制”党建主题活动主要是开展“三个一”活动，即“联系一个班级”、“结对一名群众”、“帮扶一名学生”。学校83名在职在岗党员和积极分子共联系83个班级、结对83名非党员教职工、帮扶83名困难学生或残疾学生。重点是“帮扶学生”。每位党员对帮扶学生做好思想引导、学业辅导、生活督导、心理疏导、就业指导等。党员导师对帮扶的83名困难学生或残疾学生进行家访。</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right="0" w:rightChars="0" w:firstLine="480" w:firstLineChars="200"/>
        <w:textAlignment w:val="auto"/>
        <w:outlineLvl w:val="9"/>
        <w:rPr>
          <w:rFonts w:hint="eastAsia"/>
          <w:sz w:val="24"/>
          <w:szCs w:val="24"/>
          <w:lang w:val="en-US" w:eastAsia="zh-CN"/>
        </w:rPr>
      </w:pPr>
      <w:r>
        <w:rPr>
          <w:rFonts w:hint="eastAsia"/>
          <w:sz w:val="24"/>
          <w:szCs w:val="24"/>
          <w:lang w:val="en-US" w:eastAsia="zh-CN"/>
        </w:rPr>
        <w:t>5.“二亮三比”活动。</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right="0" w:rightChars="0" w:firstLine="480" w:firstLineChars="200"/>
        <w:textAlignment w:val="auto"/>
        <w:outlineLvl w:val="9"/>
        <w:rPr>
          <w:rFonts w:hint="eastAsia"/>
          <w:sz w:val="24"/>
          <w:szCs w:val="24"/>
          <w:lang w:val="en-US" w:eastAsia="zh-CN"/>
        </w:rPr>
      </w:pPr>
      <w:r>
        <w:rPr>
          <w:rFonts w:hint="eastAsia"/>
          <w:sz w:val="24"/>
          <w:szCs w:val="24"/>
          <w:lang w:val="en-US" w:eastAsia="zh-CN"/>
        </w:rPr>
        <w:t>根据局“二亮三比”活动文件精神，制订了我校的党员“二亮三比”活动方案和具体考核细则。全体党员亮身份、亮承诺；比思想作风、比业务能力、比育人效果。总支部对党员所做工作都要进行考核。</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right="0" w:rightChars="0" w:firstLine="480" w:firstLineChars="200"/>
        <w:textAlignment w:val="auto"/>
        <w:outlineLvl w:val="9"/>
        <w:rPr>
          <w:rFonts w:hint="eastAsia"/>
          <w:sz w:val="24"/>
          <w:szCs w:val="24"/>
          <w:lang w:val="en-US" w:eastAsia="zh-CN"/>
        </w:rPr>
      </w:pPr>
      <w:r>
        <w:rPr>
          <w:rFonts w:hint="eastAsia"/>
          <w:sz w:val="24"/>
          <w:szCs w:val="24"/>
          <w:lang w:val="en-US" w:eastAsia="zh-CN"/>
        </w:rPr>
        <w:t>6.暑期教师进村入社活动。</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right="0" w:rightChars="0" w:firstLine="480" w:firstLineChars="200"/>
        <w:textAlignment w:val="auto"/>
        <w:outlineLvl w:val="9"/>
        <w:rPr>
          <w:rFonts w:hint="eastAsia"/>
          <w:sz w:val="24"/>
          <w:szCs w:val="24"/>
          <w:lang w:val="en-US" w:eastAsia="zh-CN"/>
        </w:rPr>
      </w:pPr>
      <w:r>
        <w:rPr>
          <w:rFonts w:hint="eastAsia"/>
          <w:sz w:val="24"/>
          <w:szCs w:val="24"/>
          <w:lang w:val="en-US" w:eastAsia="zh-CN"/>
        </w:rPr>
        <w:t>暑假期间，全体教师深入农村、社区宣传统筹推进“全国县级文明城市”“国家级园林城市”“国家级森林城市”“省级食品安全县”“全省首批4A级景区城”创建和迎接“国家卫生县城复审”等“六城联创”的重大意义，宣传、指导垃圾分类，坚定全县群众建设崇德向善、文化厚重、和谐宜居的幸福家园的信心和决心。了解学生暑期学习生活情况、开展学生假期作业检查指导、家庭教育指导、防溺水等安全教育、组织开展社会公益活动、社会实践活动等。重点关注留守儿童、单亲家庭、贫困生、学困生、孤儿等特殊家庭学生的情况。</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right="0" w:rightChars="0" w:firstLine="480" w:firstLineChars="200"/>
        <w:textAlignment w:val="auto"/>
        <w:outlineLvl w:val="9"/>
        <w:rPr>
          <w:rFonts w:hint="eastAsia"/>
          <w:sz w:val="24"/>
          <w:szCs w:val="24"/>
          <w:lang w:val="en-US" w:eastAsia="zh-CN"/>
        </w:rPr>
      </w:pPr>
      <w:r>
        <w:rPr>
          <w:rFonts w:hint="eastAsia"/>
          <w:sz w:val="24"/>
          <w:szCs w:val="24"/>
          <w:lang w:val="en-US" w:eastAsia="zh-CN"/>
        </w:rPr>
        <w:t>三、以发挥战斗堡垒作用为中心，加强制度与作风建设。</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right="0" w:rightChars="0" w:firstLine="480" w:firstLineChars="200"/>
        <w:textAlignment w:val="auto"/>
        <w:outlineLvl w:val="9"/>
        <w:rPr>
          <w:rFonts w:hint="eastAsia"/>
          <w:sz w:val="24"/>
          <w:szCs w:val="24"/>
          <w:lang w:val="en-US" w:eastAsia="zh-CN"/>
        </w:rPr>
      </w:pPr>
      <w:r>
        <w:rPr>
          <w:rFonts w:hint="eastAsia"/>
          <w:sz w:val="24"/>
          <w:szCs w:val="24"/>
          <w:lang w:val="en-US" w:eastAsia="zh-CN"/>
        </w:rPr>
        <w:t>坚决执行上级规定，保持作风建设工作力度。坚持从严治党，严格执行中央、省委和县委一系列规章制度，自觉做到县委“九个不”、“三个远离”、“七个一律不准”，坚持“以铁的决心执行铁的纪律”，继续反对“四风”积弊、狠刹“酒局”、“牌局”。严格遵守《党员干部基本行为规范》，严格执行工作纪律、生活纪律、会议纪律等，弛而不息地抓好作风建设，确保党员干部保持昂扬向上的精神状态和良好的作风。</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right="0" w:rightChars="0" w:firstLine="480" w:firstLineChars="200"/>
        <w:textAlignment w:val="auto"/>
        <w:outlineLvl w:val="9"/>
        <w:rPr>
          <w:rFonts w:hint="eastAsia"/>
          <w:sz w:val="24"/>
          <w:szCs w:val="24"/>
          <w:lang w:val="en-US" w:eastAsia="zh-CN"/>
        </w:rPr>
      </w:pPr>
      <w:r>
        <w:rPr>
          <w:rFonts w:hint="eastAsia"/>
          <w:sz w:val="24"/>
          <w:szCs w:val="24"/>
          <w:lang w:val="en-US" w:eastAsia="zh-CN"/>
        </w:rPr>
        <w:t>四、创建服务型党组织，加强工会、团委等群团工作指导。</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right="0" w:rightChars="0" w:firstLine="480" w:firstLineChars="200"/>
        <w:textAlignment w:val="auto"/>
        <w:outlineLvl w:val="9"/>
        <w:rPr>
          <w:rFonts w:hint="eastAsia"/>
          <w:sz w:val="24"/>
          <w:szCs w:val="24"/>
          <w:lang w:val="en-US" w:eastAsia="zh-CN"/>
        </w:rPr>
      </w:pPr>
      <w:r>
        <w:rPr>
          <w:rFonts w:hint="eastAsia"/>
          <w:sz w:val="24"/>
          <w:szCs w:val="24"/>
          <w:lang w:val="en-US" w:eastAsia="zh-CN"/>
        </w:rPr>
        <w:t>大力支持工会、团委独立自主地开展工作，使他们成为党联系群众和师生的桥梁和纽带。</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firstLine="480" w:firstLineChars="0"/>
        <w:textAlignment w:val="auto"/>
        <w:outlineLvl w:val="9"/>
        <w:rPr>
          <w:rFonts w:hint="eastAsia"/>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firstLine="480" w:firstLineChars="0"/>
        <w:textAlignment w:val="auto"/>
        <w:outlineLvl w:val="9"/>
        <w:rPr>
          <w:rFonts w:hint="eastAsia"/>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right="0" w:rightChars="0"/>
        <w:textAlignment w:val="auto"/>
        <w:outlineLvl w:val="9"/>
        <w:rPr>
          <w:rFonts w:hint="eastAsia"/>
          <w:sz w:val="24"/>
          <w:szCs w:val="24"/>
          <w:lang w:val="en-US" w:eastAsia="zh-CN"/>
        </w:rPr>
      </w:pPr>
    </w:p>
    <w:p>
      <w:pPr>
        <w:keepNext w:val="0"/>
        <w:keepLines w:val="0"/>
        <w:pageBreakBefore w:val="0"/>
        <w:numPr>
          <w:ilvl w:val="0"/>
          <w:numId w:val="5"/>
        </w:numPr>
        <w:kinsoku/>
        <w:wordWrap/>
        <w:overflowPunct/>
        <w:topLinePunct w:val="0"/>
        <w:autoSpaceDE/>
        <w:autoSpaceDN/>
        <w:bidi w:val="0"/>
        <w:adjustRightInd/>
        <w:spacing w:beforeAutospacing="0" w:afterAutospacing="0" w:line="360" w:lineRule="auto"/>
        <w:ind w:left="0" w:leftChars="0" w:right="0" w:rightChars="0" w:firstLine="0" w:firstLineChars="0"/>
        <w:textAlignment w:val="auto"/>
        <w:outlineLvl w:val="0"/>
        <w:rPr>
          <w:rFonts w:hint="eastAsia"/>
          <w:b/>
          <w:bCs/>
          <w:sz w:val="32"/>
          <w:szCs w:val="32"/>
          <w:lang w:val="en-US" w:eastAsia="zh-CN"/>
        </w:rPr>
      </w:pPr>
      <w:bookmarkStart w:id="12" w:name="_Toc124"/>
      <w:r>
        <w:rPr>
          <w:rFonts w:hint="eastAsia"/>
          <w:b/>
          <w:bCs/>
          <w:sz w:val="32"/>
          <w:szCs w:val="32"/>
          <w:lang w:val="en-US" w:eastAsia="zh-CN"/>
        </w:rPr>
        <w:t>校企合作</w:t>
      </w:r>
      <w:bookmarkEnd w:id="12"/>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firstLine="602" w:firstLineChars="200"/>
        <w:textAlignment w:val="auto"/>
        <w:outlineLvl w:val="9"/>
        <w:rPr>
          <w:rFonts w:hint="eastAsia"/>
          <w:sz w:val="24"/>
          <w:szCs w:val="24"/>
          <w:lang w:val="en-US" w:eastAsia="zh-CN"/>
        </w:rPr>
      </w:pPr>
      <w:r>
        <w:rPr>
          <w:rFonts w:hint="eastAsia"/>
          <w:b/>
          <w:bCs/>
          <w:sz w:val="30"/>
          <w:szCs w:val="30"/>
          <w:lang w:val="en-US" w:eastAsia="zh-CN"/>
        </w:rPr>
        <w:t>1.校企合作开展情况和效果</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firstLine="0" w:firstLineChars="0"/>
        <w:textAlignment w:val="auto"/>
        <w:outlineLvl w:val="9"/>
        <w:rPr>
          <w:rFonts w:hint="eastAsia"/>
          <w:sz w:val="24"/>
          <w:szCs w:val="24"/>
          <w:lang w:val="en-US" w:eastAsia="zh-CN"/>
        </w:rPr>
      </w:pPr>
      <w:r>
        <w:rPr>
          <w:rFonts w:hint="eastAsia"/>
          <w:sz w:val="24"/>
          <w:szCs w:val="24"/>
          <w:lang w:val="en-US" w:eastAsia="zh-CN"/>
        </w:rPr>
        <w:t xml:space="preserve">    中职学校办学水平的高低决定于学生受社会的欢迎程度。中职学校要培养高素质应用型人才，必须将教学过程与企业的生产岗位相结合，依托企业的技术、设备、生产和管理优势，把学校的教育功能与企业的生产需求相结合，办出特色，使中职教育走上健康、良性循环的发展道路。因此，近几年来，特别是2015年以来，我校在下列几个方面花大力气力争做细做好校企合作：</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firstLine="0" w:firstLineChars="0"/>
        <w:textAlignment w:val="auto"/>
        <w:outlineLvl w:val="9"/>
        <w:rPr>
          <w:rFonts w:hint="eastAsia"/>
          <w:sz w:val="24"/>
          <w:szCs w:val="24"/>
          <w:lang w:val="en-US" w:eastAsia="zh-CN"/>
        </w:rPr>
      </w:pPr>
      <w:r>
        <w:rPr>
          <w:rFonts w:hint="eastAsia"/>
          <w:sz w:val="24"/>
          <w:szCs w:val="24"/>
          <w:lang w:val="en-US" w:eastAsia="zh-CN"/>
        </w:rPr>
        <w:t xml:space="preserve">    一、校企合作共建工学一体化专业课程体系</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firstLine="0" w:firstLineChars="0"/>
        <w:textAlignment w:val="auto"/>
        <w:outlineLvl w:val="9"/>
        <w:rPr>
          <w:rFonts w:hint="eastAsia"/>
          <w:sz w:val="24"/>
          <w:szCs w:val="24"/>
          <w:lang w:val="en-US" w:eastAsia="zh-CN"/>
        </w:rPr>
      </w:pPr>
      <w:r>
        <w:rPr>
          <w:rFonts w:hint="eastAsia"/>
          <w:sz w:val="24"/>
          <w:szCs w:val="24"/>
          <w:lang w:val="en-US" w:eastAsia="zh-CN"/>
        </w:rPr>
        <w:t xml:space="preserve">    我校2014年成立了专业指导委员会，聘请行业、企业、专家为指导委员会成员；聘请相关企业的总监、经理、部门主任、技术骨干为一体化课程改革专家，外聘校外专家共38人。2019学年与浙江合众新能源汽车有限公司、浙江杭机股份有限公司、仙华国际大酒店、新浦江饭店、杭州雷迪森铂丽大酒店、浙江一正文化用品有限公司、浙江亚特新材料股份有限公司、浦江县东洲水晶有限公司等校企合作单位共同建立了专业建设委员会，共同制定专业人才培养方案，共同开发专业课程体系。</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firstLine="0" w:firstLineChars="0"/>
        <w:textAlignment w:val="auto"/>
        <w:outlineLvl w:val="9"/>
        <w:rPr>
          <w:rFonts w:hint="eastAsia"/>
          <w:sz w:val="24"/>
          <w:szCs w:val="24"/>
          <w:lang w:val="en-US" w:eastAsia="zh-CN"/>
        </w:rPr>
      </w:pPr>
      <w:r>
        <w:rPr>
          <w:rFonts w:hint="eastAsia"/>
          <w:sz w:val="24"/>
          <w:szCs w:val="24"/>
          <w:lang w:val="en-US" w:eastAsia="zh-CN"/>
        </w:rPr>
        <w:t xml:space="preserve">    二、校企合作共建"订单"培养模式</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firstLine="480" w:firstLineChars="200"/>
        <w:textAlignment w:val="auto"/>
        <w:outlineLvl w:val="9"/>
        <w:rPr>
          <w:rFonts w:hint="eastAsia"/>
          <w:sz w:val="24"/>
          <w:szCs w:val="24"/>
          <w:lang w:val="en-US" w:eastAsia="zh-CN"/>
        </w:rPr>
      </w:pPr>
      <w:r>
        <w:rPr>
          <w:rFonts w:hint="eastAsia"/>
          <w:sz w:val="24"/>
          <w:szCs w:val="24"/>
          <w:lang w:val="en-US" w:eastAsia="zh-CN"/>
        </w:rPr>
        <w:t>近几年来，我校分别与浦江万赛摩擦材料有限公司、浦江县天地幼教集团、浦江县电子商务协会、新浦江饭店等多家企业签订了"订单培养"协议，企业按照岗位特点提出培养要求，并提供教学内容和相关资料，由教师将这些内容融入到相关课程的教学中，或由企业派技术骨干到学校来开设讲座，将岗位工作要求、员工素质要求、企业文化、企业理念教授给学生，实现学生与企业、学生与就业岗位的"零距离"对接。</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firstLine="0" w:firstLineChars="0"/>
        <w:textAlignment w:val="auto"/>
        <w:outlineLvl w:val="9"/>
        <w:rPr>
          <w:rFonts w:hint="eastAsia"/>
          <w:sz w:val="24"/>
          <w:szCs w:val="24"/>
          <w:lang w:val="en-US" w:eastAsia="zh-CN"/>
        </w:rPr>
      </w:pPr>
      <w:r>
        <w:rPr>
          <w:rFonts w:hint="eastAsia"/>
          <w:sz w:val="24"/>
          <w:szCs w:val="24"/>
          <w:lang w:val="en-US" w:eastAsia="zh-CN"/>
        </w:rPr>
        <w:t xml:space="preserve">    三、校企合作共建"工学交替"合作模式</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firstLine="480" w:firstLineChars="200"/>
        <w:textAlignment w:val="auto"/>
        <w:outlineLvl w:val="9"/>
        <w:rPr>
          <w:rFonts w:hint="eastAsia"/>
          <w:sz w:val="24"/>
          <w:szCs w:val="24"/>
          <w:lang w:val="en-US" w:eastAsia="zh-CN"/>
        </w:rPr>
      </w:pPr>
      <w:r>
        <w:rPr>
          <w:rFonts w:hint="eastAsia"/>
          <w:sz w:val="24"/>
          <w:szCs w:val="24"/>
          <w:lang w:val="en-US" w:eastAsia="zh-CN"/>
        </w:rPr>
        <w:t>我校与浙江万赛汽车零部件股份有限公司、浦江县天地幼教集团、浦江县电子商务协会、吉利汽车集团、新浦江饭店等单位校企合作，是一种典型的"工学交替"合作模式，开展了包括项目教学、现场教学、情境教学、教学观摩、勤工俭学、学生实习、生产——技术指导——销售一条龙服务等多方位合作。对三年制中职开展校企合作"2+1培养"模式，即在校集中学习两年，在对应的企业综合实习1年，前两年有效的保证了学校常规教育教学内容的开展，最后1年学生通过面试进入企业实习。借助企业的实训，帮助学生更好地掌握操作技能，参加技能鉴定获得中级技能资格证书，为今后的就业争取更多的竞争筹码。</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firstLine="480" w:firstLineChars="200"/>
        <w:textAlignment w:val="auto"/>
        <w:outlineLvl w:val="9"/>
        <w:rPr>
          <w:rFonts w:hint="eastAsia"/>
          <w:sz w:val="24"/>
          <w:szCs w:val="24"/>
          <w:lang w:val="en-US" w:eastAsia="zh-CN"/>
        </w:rPr>
      </w:pPr>
      <w:r>
        <w:rPr>
          <w:rFonts w:hint="eastAsia"/>
          <w:sz w:val="24"/>
          <w:szCs w:val="24"/>
          <w:lang w:val="en-US" w:eastAsia="zh-CN"/>
        </w:rPr>
        <w:t>四、校企合作共建优秀教学团队</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firstLine="0" w:firstLineChars="0"/>
        <w:textAlignment w:val="auto"/>
        <w:outlineLvl w:val="9"/>
        <w:rPr>
          <w:rFonts w:hint="eastAsia"/>
          <w:sz w:val="24"/>
          <w:szCs w:val="24"/>
          <w:lang w:val="en-US" w:eastAsia="zh-CN"/>
        </w:rPr>
      </w:pPr>
      <w:r>
        <w:rPr>
          <w:rFonts w:hint="eastAsia"/>
          <w:sz w:val="24"/>
          <w:szCs w:val="24"/>
          <w:lang w:val="en-US" w:eastAsia="zh-CN"/>
        </w:rPr>
        <w:t xml:space="preserve">    我校与多家知名企业建立了稳定的合作关系，每年安排三十多名教师在企业参与生产实践，提高教师的实践动手能力，为教学服务。同时聘请企业技术骨干担任我们学校相关专业的教学任务，形成了专兼结构合理的"双师型"素质的优秀教学团队。</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firstLine="0" w:firstLineChars="0"/>
        <w:textAlignment w:val="auto"/>
        <w:outlineLvl w:val="9"/>
        <w:rPr>
          <w:rFonts w:hint="eastAsia"/>
          <w:sz w:val="24"/>
          <w:szCs w:val="24"/>
          <w:lang w:val="en-US" w:eastAsia="zh-CN"/>
        </w:rPr>
      </w:pPr>
      <w:r>
        <w:rPr>
          <w:rFonts w:hint="eastAsia"/>
          <w:sz w:val="24"/>
          <w:szCs w:val="24"/>
          <w:lang w:val="en-US" w:eastAsia="zh-CN"/>
        </w:rPr>
        <w:t xml:space="preserve">    五、校企合作体会</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firstLine="480" w:firstLineChars="200"/>
        <w:textAlignment w:val="auto"/>
        <w:outlineLvl w:val="9"/>
        <w:rPr>
          <w:rFonts w:hint="eastAsia"/>
          <w:sz w:val="24"/>
          <w:szCs w:val="24"/>
          <w:lang w:val="en-US" w:eastAsia="zh-CN"/>
        </w:rPr>
      </w:pPr>
      <w:r>
        <w:rPr>
          <w:rFonts w:hint="eastAsia"/>
          <w:sz w:val="24"/>
          <w:szCs w:val="24"/>
          <w:lang w:val="en-US" w:eastAsia="zh-CN"/>
        </w:rPr>
        <w:t>1.学校受益：校企合作符合中职教育发展的内在规律，有利于促进中职教育的发展。</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firstLine="480" w:firstLineChars="200"/>
        <w:textAlignment w:val="auto"/>
        <w:outlineLvl w:val="9"/>
        <w:rPr>
          <w:rFonts w:hint="eastAsia"/>
          <w:sz w:val="24"/>
          <w:szCs w:val="24"/>
          <w:lang w:val="en-US" w:eastAsia="zh-CN"/>
        </w:rPr>
      </w:pPr>
      <w:r>
        <w:rPr>
          <w:rFonts w:hint="eastAsia"/>
          <w:sz w:val="24"/>
          <w:szCs w:val="24"/>
          <w:lang w:val="en-US" w:eastAsia="zh-CN"/>
        </w:rPr>
        <w:t>（1）校企合作有助于合理分担教育投入；</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firstLine="0" w:firstLineChars="0"/>
        <w:textAlignment w:val="auto"/>
        <w:outlineLvl w:val="9"/>
        <w:rPr>
          <w:rFonts w:hint="eastAsia"/>
          <w:sz w:val="24"/>
          <w:szCs w:val="24"/>
          <w:lang w:val="en-US" w:eastAsia="zh-CN"/>
        </w:rPr>
      </w:pPr>
      <w:r>
        <w:rPr>
          <w:rFonts w:hint="eastAsia"/>
          <w:sz w:val="24"/>
          <w:szCs w:val="24"/>
          <w:lang w:val="en-US" w:eastAsia="zh-CN"/>
        </w:rPr>
        <w:t xml:space="preserve">    （2）校企合作有助于合理组建优秀教学团队；</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firstLine="0" w:firstLineChars="0"/>
        <w:textAlignment w:val="auto"/>
        <w:outlineLvl w:val="9"/>
        <w:rPr>
          <w:rFonts w:hint="eastAsia"/>
          <w:sz w:val="24"/>
          <w:szCs w:val="24"/>
          <w:lang w:val="en-US" w:eastAsia="zh-CN"/>
        </w:rPr>
      </w:pPr>
      <w:r>
        <w:rPr>
          <w:rFonts w:hint="eastAsia"/>
          <w:sz w:val="24"/>
          <w:szCs w:val="24"/>
          <w:lang w:val="en-US" w:eastAsia="zh-CN"/>
        </w:rPr>
        <w:t xml:space="preserve">    （3）校企合作有助于学校教学改革；</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firstLine="0" w:firstLineChars="0"/>
        <w:textAlignment w:val="auto"/>
        <w:outlineLvl w:val="9"/>
        <w:rPr>
          <w:rFonts w:hint="eastAsia"/>
          <w:sz w:val="24"/>
          <w:szCs w:val="24"/>
          <w:lang w:val="en-US" w:eastAsia="zh-CN"/>
        </w:rPr>
      </w:pPr>
      <w:r>
        <w:rPr>
          <w:rFonts w:hint="eastAsia"/>
          <w:sz w:val="24"/>
          <w:szCs w:val="24"/>
          <w:lang w:val="en-US" w:eastAsia="zh-CN"/>
        </w:rPr>
        <w:t xml:space="preserve">    （4）校企合作有助于建立稳定的教学实习基地。</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firstLine="480" w:firstLineChars="200"/>
        <w:textAlignment w:val="auto"/>
        <w:outlineLvl w:val="9"/>
        <w:rPr>
          <w:rFonts w:hint="eastAsia"/>
          <w:sz w:val="24"/>
          <w:szCs w:val="24"/>
          <w:lang w:val="en-US" w:eastAsia="zh-CN"/>
        </w:rPr>
      </w:pPr>
      <w:r>
        <w:rPr>
          <w:rFonts w:hint="eastAsia"/>
          <w:sz w:val="24"/>
          <w:szCs w:val="24"/>
          <w:lang w:val="en-US" w:eastAsia="zh-CN"/>
        </w:rPr>
        <w:t>2.企业受益：校企合作符合企业培养人才的内在需求，有利于企业实施人才战略。</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firstLine="480" w:firstLineChars="200"/>
        <w:textAlignment w:val="auto"/>
        <w:outlineLvl w:val="9"/>
        <w:rPr>
          <w:rFonts w:hint="eastAsia"/>
          <w:sz w:val="24"/>
          <w:szCs w:val="24"/>
          <w:lang w:val="en-US" w:eastAsia="zh-CN"/>
        </w:rPr>
      </w:pPr>
      <w:r>
        <w:rPr>
          <w:rFonts w:hint="eastAsia"/>
          <w:sz w:val="24"/>
          <w:szCs w:val="24"/>
          <w:lang w:val="en-US" w:eastAsia="zh-CN"/>
        </w:rPr>
        <w:t>（1）校企合作有助于企业降低招工、用人方面的成本和风险；</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firstLine="0" w:firstLineChars="0"/>
        <w:textAlignment w:val="auto"/>
        <w:outlineLvl w:val="9"/>
        <w:rPr>
          <w:rFonts w:hint="eastAsia"/>
          <w:sz w:val="24"/>
          <w:szCs w:val="24"/>
          <w:lang w:val="en-US" w:eastAsia="zh-CN"/>
        </w:rPr>
      </w:pPr>
      <w:r>
        <w:rPr>
          <w:rFonts w:hint="eastAsia"/>
          <w:sz w:val="24"/>
          <w:szCs w:val="24"/>
          <w:lang w:val="en-US" w:eastAsia="zh-CN"/>
        </w:rPr>
        <w:t xml:space="preserve">    （2）校企合作有助于扩大企业品牌的影响。</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firstLine="0" w:firstLineChars="0"/>
        <w:textAlignment w:val="auto"/>
        <w:outlineLvl w:val="9"/>
        <w:rPr>
          <w:rFonts w:hint="eastAsia"/>
          <w:sz w:val="24"/>
          <w:szCs w:val="24"/>
          <w:lang w:val="en-US" w:eastAsia="zh-CN"/>
        </w:rPr>
      </w:pPr>
      <w:r>
        <w:rPr>
          <w:rFonts w:hint="eastAsia"/>
          <w:sz w:val="24"/>
          <w:szCs w:val="24"/>
          <w:lang w:val="en-US" w:eastAsia="zh-CN"/>
        </w:rPr>
        <w:t xml:space="preserve">    3.学生受益：校企合作符合学生职业生涯发展需要，促进学生就业，有利学生提高就业竞争力。</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firstLine="0" w:firstLineChars="0"/>
        <w:textAlignment w:val="auto"/>
        <w:outlineLvl w:val="9"/>
        <w:rPr>
          <w:rFonts w:hint="eastAsia"/>
          <w:sz w:val="24"/>
          <w:szCs w:val="24"/>
          <w:lang w:val="en-US" w:eastAsia="zh-CN"/>
        </w:rPr>
      </w:pPr>
      <w:r>
        <w:rPr>
          <w:rFonts w:hint="eastAsia"/>
          <w:sz w:val="24"/>
          <w:szCs w:val="24"/>
          <w:lang w:val="en-US" w:eastAsia="zh-CN"/>
        </w:rPr>
        <w:t xml:space="preserve">   （1）校企合作有助于培养学生的职业素养；</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firstLine="0" w:firstLineChars="0"/>
        <w:textAlignment w:val="auto"/>
        <w:outlineLvl w:val="9"/>
        <w:rPr>
          <w:rFonts w:hint="eastAsia"/>
          <w:sz w:val="24"/>
          <w:szCs w:val="24"/>
          <w:lang w:val="en-US" w:eastAsia="zh-CN"/>
        </w:rPr>
      </w:pPr>
      <w:r>
        <w:rPr>
          <w:rFonts w:hint="eastAsia"/>
          <w:sz w:val="24"/>
          <w:szCs w:val="24"/>
          <w:lang w:val="en-US" w:eastAsia="zh-CN"/>
        </w:rPr>
        <w:t xml:space="preserve">   （2）校企合作有助于学生就业创业。</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firstLine="480" w:firstLineChars="200"/>
        <w:textAlignment w:val="auto"/>
        <w:outlineLvl w:val="9"/>
        <w:rPr>
          <w:rFonts w:hint="eastAsia"/>
          <w:sz w:val="24"/>
          <w:szCs w:val="24"/>
          <w:lang w:val="en-US" w:eastAsia="zh-CN"/>
        </w:rPr>
      </w:pPr>
      <w:r>
        <w:rPr>
          <w:rFonts w:hint="eastAsia"/>
          <w:sz w:val="24"/>
          <w:szCs w:val="24"/>
          <w:lang w:val="en-US" w:eastAsia="zh-CN"/>
        </w:rPr>
        <w:t>在校企合作方面进行了探索实践，取得了一些成绩，但还存在一定的差距。我们将认真贯彻落实校企合作精神，进一步完善制度措施，加大工作力度，推进校企深度合作，努力开创教育教学新局面。</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firstLine="602" w:firstLineChars="200"/>
        <w:textAlignment w:val="auto"/>
        <w:outlineLvl w:val="9"/>
        <w:rPr>
          <w:rFonts w:hint="eastAsia"/>
          <w:b/>
          <w:bCs/>
          <w:sz w:val="30"/>
          <w:szCs w:val="30"/>
          <w:lang w:val="en-US" w:eastAsia="zh-CN"/>
        </w:rPr>
      </w:pPr>
      <w:r>
        <w:rPr>
          <w:rFonts w:hint="eastAsia"/>
          <w:b/>
          <w:bCs/>
          <w:sz w:val="30"/>
          <w:szCs w:val="30"/>
          <w:lang w:val="en-US" w:eastAsia="zh-CN"/>
        </w:rPr>
        <w:t>2.学生实习情况</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firstLine="480" w:firstLineChars="200"/>
        <w:textAlignment w:val="auto"/>
        <w:outlineLvl w:val="9"/>
        <w:rPr>
          <w:rFonts w:hint="eastAsia"/>
          <w:sz w:val="24"/>
          <w:szCs w:val="24"/>
          <w:lang w:val="en-US" w:eastAsia="zh-CN"/>
        </w:rPr>
      </w:pPr>
      <w:r>
        <w:rPr>
          <w:rFonts w:hint="eastAsia"/>
          <w:sz w:val="24"/>
          <w:szCs w:val="24"/>
          <w:lang w:val="en-US" w:eastAsia="zh-CN"/>
        </w:rPr>
        <w:t>本着为当地经济服务的目的，2020年各专业的学生的顶岗实习主要安排在浦江各大企事业单位，根据学生们的实习成果，自我总结和实习单位的反馈意见，结合我校老师实习中的抽查情况看来，我班学生在这次顶岗实习中都发扬了吃苦耐劳、勤奋刻苦的学习精神，工作中严格遵守了各项规章制度，时刻牢记荣誉感与使命感，充分发挥和锻炼了各个专业特长和能力，表现优秀。他们以双重身份圆满完成了专业大实习的学习和工作任务，取得了丰硕的实习成果，同时还得到实习单位的高度赞赏，一些学生还被实习单位邀请毕业后去实习单位继续工作。</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firstLine="480" w:firstLineChars="200"/>
        <w:textAlignment w:val="auto"/>
        <w:outlineLvl w:val="9"/>
        <w:rPr>
          <w:rFonts w:hint="eastAsia"/>
          <w:sz w:val="24"/>
          <w:szCs w:val="24"/>
          <w:lang w:val="en-US" w:eastAsia="zh-CN"/>
        </w:rPr>
      </w:pPr>
      <w:r>
        <w:rPr>
          <w:rFonts w:hint="eastAsia"/>
          <w:sz w:val="24"/>
          <w:szCs w:val="24"/>
          <w:lang w:val="en-US" w:eastAsia="zh-CN"/>
        </w:rPr>
        <w:t xml:space="preserve">一. 根据调查统计，我校2020年实习生各方面表现较好，得到了比较高的社会认可度。   </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firstLine="0" w:firstLineChars="0"/>
        <w:textAlignment w:val="auto"/>
        <w:outlineLvl w:val="9"/>
        <w:rPr>
          <w:rFonts w:hint="eastAsia"/>
          <w:sz w:val="24"/>
          <w:szCs w:val="24"/>
          <w:lang w:val="en-US" w:eastAsia="zh-CN"/>
        </w:rPr>
      </w:pPr>
      <w:r>
        <w:rPr>
          <w:rFonts w:hint="eastAsia"/>
          <w:sz w:val="24"/>
          <w:szCs w:val="24"/>
          <w:lang w:val="en-US" w:eastAsia="zh-CN"/>
        </w:rPr>
        <w:t xml:space="preserve">    （一）学生所学的专业和其工作岗位衔接程度较好，平均专业对口率达到96.3%。</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firstLine="480" w:firstLineChars="0"/>
        <w:textAlignment w:val="auto"/>
        <w:outlineLvl w:val="9"/>
        <w:rPr>
          <w:rFonts w:hint="eastAsia"/>
          <w:sz w:val="24"/>
          <w:szCs w:val="24"/>
          <w:lang w:val="en-US" w:eastAsia="zh-CN"/>
        </w:rPr>
      </w:pPr>
      <w:r>
        <w:rPr>
          <w:rFonts w:hint="eastAsia"/>
          <w:sz w:val="24"/>
          <w:szCs w:val="24"/>
          <w:lang w:val="en-US" w:eastAsia="zh-CN"/>
        </w:rPr>
        <w:t>（二）学生在实习期间的月工资水平平均在1000--2100元左右。根据各专业的特点，每个专业的起薪也相对有所不同。汽修、财会、水晶设计等还需要大量实践经验的工作岗位，相对起薪较低，但是提升空间比较大，数控、电子电工等操作模式相对简单易学的，起薪也相对高一点。但是在实习期满后工资水平都有较大幅度的提升，平均工资在2300元左右。</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firstLine="480" w:firstLineChars="0"/>
        <w:textAlignment w:val="auto"/>
        <w:outlineLvl w:val="9"/>
        <w:rPr>
          <w:rFonts w:hint="eastAsia"/>
          <w:sz w:val="24"/>
          <w:szCs w:val="24"/>
          <w:lang w:val="en-US" w:eastAsia="zh-CN"/>
        </w:rPr>
      </w:pPr>
      <w:r>
        <w:rPr>
          <w:rFonts w:hint="eastAsia"/>
          <w:sz w:val="24"/>
          <w:szCs w:val="24"/>
          <w:lang w:val="en-US" w:eastAsia="zh-CN"/>
        </w:rPr>
        <w:t>（三）实习生所在实习单位各项保险等保障措施健全，并注重学生技能素质的提升，实习单位企业文化建设比较重视，为实习生的可持续发展提供了保障。学校毕业生一次性就业率达99.92%，专业对口率96.3%，升学率100% ，学生毕业时双证率达到100%，实习生就业质量满意度较好。</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firstLine="0" w:firstLineChars="0"/>
        <w:textAlignment w:val="auto"/>
        <w:outlineLvl w:val="9"/>
        <w:rPr>
          <w:rFonts w:hint="eastAsia"/>
          <w:sz w:val="24"/>
          <w:szCs w:val="24"/>
          <w:lang w:val="en-US" w:eastAsia="zh-CN"/>
        </w:rPr>
      </w:pPr>
      <w:r>
        <w:rPr>
          <w:rFonts w:hint="eastAsia"/>
          <w:sz w:val="24"/>
          <w:szCs w:val="24"/>
          <w:lang w:val="en-US" w:eastAsia="zh-CN"/>
        </w:rPr>
        <w:t xml:space="preserve">     从整个实习实训过程来看，实习计划制定周密、执行到位，学生管理的比较好，没有出现“放羊”等在其它院校经常出现的状况。学生也比较配合计划的执行，实习实训效果好。 从内容安排上，计划既考虑了外联实习的难度，又兼顾了学生的外出要求，内容丰富形式新颖，是在现有条件下的一次成功的安排。</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firstLine="480" w:firstLineChars="200"/>
        <w:textAlignment w:val="auto"/>
        <w:outlineLvl w:val="9"/>
        <w:rPr>
          <w:rFonts w:hint="eastAsia"/>
          <w:sz w:val="24"/>
          <w:szCs w:val="24"/>
          <w:lang w:val="en-US" w:eastAsia="zh-CN"/>
        </w:rPr>
      </w:pPr>
      <w:r>
        <w:rPr>
          <w:rFonts w:hint="eastAsia"/>
          <w:sz w:val="24"/>
          <w:szCs w:val="24"/>
          <w:lang w:val="en-US" w:eastAsia="zh-CN"/>
        </w:rPr>
        <w:t>二、教师指导情况</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firstLine="0" w:firstLineChars="0"/>
        <w:textAlignment w:val="auto"/>
        <w:outlineLvl w:val="9"/>
        <w:rPr>
          <w:rFonts w:hint="eastAsia"/>
          <w:sz w:val="24"/>
          <w:szCs w:val="24"/>
          <w:lang w:val="en-US" w:eastAsia="zh-CN"/>
        </w:rPr>
      </w:pPr>
      <w:r>
        <w:rPr>
          <w:rFonts w:hint="eastAsia"/>
          <w:sz w:val="24"/>
          <w:szCs w:val="24"/>
          <w:lang w:val="en-US" w:eastAsia="zh-CN"/>
        </w:rPr>
        <w:t xml:space="preserve">    实习实训期间，指导老师全程跟踪和指导，主要内容包括动员、参观、查资料、撰写实训报告、到各实习单位跟踪指导等。我们要求每位学生不仅要出勤到位，而且要认真对待每一个环节，争取在有限的时间内能够有较大的收获。每位同学在实习结束时要求上交实习报告，对考察内容进行全面的总结，对行业现状、知名企业、就业形势等进行调查，获得一些感性认识。实训结束后，指导教师及时督促学生按时递交报告，做好实习的收尾工作。</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firstLine="480" w:firstLineChars="200"/>
        <w:textAlignment w:val="auto"/>
        <w:outlineLvl w:val="9"/>
        <w:rPr>
          <w:rFonts w:hint="eastAsia"/>
          <w:sz w:val="24"/>
          <w:szCs w:val="24"/>
          <w:lang w:val="en-US" w:eastAsia="zh-CN"/>
        </w:rPr>
      </w:pPr>
      <w:r>
        <w:rPr>
          <w:rFonts w:hint="eastAsia"/>
          <w:sz w:val="24"/>
          <w:szCs w:val="24"/>
          <w:lang w:val="en-US" w:eastAsia="zh-CN"/>
        </w:rPr>
        <w:t>三、 学生实训情况</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firstLine="0" w:firstLineChars="0"/>
        <w:textAlignment w:val="auto"/>
        <w:outlineLvl w:val="9"/>
        <w:rPr>
          <w:rFonts w:hint="eastAsia"/>
          <w:sz w:val="24"/>
          <w:szCs w:val="24"/>
          <w:lang w:val="en-US" w:eastAsia="zh-CN"/>
        </w:rPr>
      </w:pPr>
      <w:r>
        <w:rPr>
          <w:rFonts w:hint="eastAsia"/>
          <w:sz w:val="24"/>
          <w:szCs w:val="24"/>
          <w:lang w:val="en-US" w:eastAsia="zh-CN"/>
        </w:rPr>
        <w:t xml:space="preserve">    大多数学生能够认真对待这次实习机会，参与实训全过程，明确自己应该完成的任务。有一部分同学表现出色，态度积极，准备认真。绝大多数能够认真到位，完成任务。</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firstLine="480" w:firstLineChars="200"/>
        <w:textAlignment w:val="auto"/>
        <w:outlineLvl w:val="9"/>
        <w:rPr>
          <w:rFonts w:hint="eastAsia"/>
          <w:sz w:val="24"/>
          <w:szCs w:val="24"/>
          <w:lang w:val="en-US" w:eastAsia="zh-CN"/>
        </w:rPr>
      </w:pPr>
      <w:r>
        <w:rPr>
          <w:rFonts w:hint="eastAsia"/>
          <w:sz w:val="24"/>
          <w:szCs w:val="24"/>
          <w:lang w:val="en-US" w:eastAsia="zh-CN"/>
        </w:rPr>
        <w:t>四、 实习成绩评定</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firstLine="480" w:firstLineChars="200"/>
        <w:textAlignment w:val="auto"/>
        <w:outlineLvl w:val="9"/>
        <w:rPr>
          <w:rFonts w:hint="eastAsia"/>
          <w:sz w:val="24"/>
          <w:szCs w:val="24"/>
          <w:lang w:val="en-US" w:eastAsia="zh-CN"/>
        </w:rPr>
      </w:pPr>
      <w:r>
        <w:rPr>
          <w:rFonts w:hint="eastAsia"/>
          <w:sz w:val="24"/>
          <w:szCs w:val="24"/>
          <w:lang w:val="en-US" w:eastAsia="zh-CN"/>
        </w:rPr>
        <w:t>实习成绩评定方面，不仅考虑了学生实习过程的出勤因素，实习过程的个人表现，而且通过班级和学部汇报，结合实习单位领导的意见，通过竞争的形式，集体评定小组成绩，使成绩的评定特别是优秀成绩评定避免出现比较大的偏差。</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firstLine="480" w:firstLineChars="200"/>
        <w:textAlignment w:val="auto"/>
        <w:outlineLvl w:val="9"/>
        <w:rPr>
          <w:rFonts w:hint="eastAsia"/>
          <w:sz w:val="24"/>
          <w:szCs w:val="24"/>
          <w:lang w:val="en-US" w:eastAsia="zh-CN"/>
        </w:rPr>
      </w:pPr>
      <w:r>
        <w:rPr>
          <w:rFonts w:hint="eastAsia"/>
          <w:sz w:val="24"/>
          <w:szCs w:val="24"/>
          <w:lang w:val="en-US" w:eastAsia="zh-CN"/>
        </w:rPr>
        <w:t>五、实训效果</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firstLine="480" w:firstLineChars="200"/>
        <w:textAlignment w:val="auto"/>
        <w:outlineLvl w:val="9"/>
        <w:rPr>
          <w:rFonts w:hint="eastAsia"/>
          <w:sz w:val="24"/>
          <w:szCs w:val="24"/>
          <w:lang w:val="en-US" w:eastAsia="zh-CN"/>
        </w:rPr>
      </w:pPr>
      <w:r>
        <w:rPr>
          <w:rFonts w:hint="eastAsia"/>
          <w:sz w:val="24"/>
          <w:szCs w:val="24"/>
          <w:lang w:val="en-US" w:eastAsia="zh-CN"/>
        </w:rPr>
        <w:t>通过本年度的顶岗实习，学生不仅熟悉了各专业的业务范围，基本设计设施，以及经营业务，而且掌握了各专业的工作流程，为学生将来学习专业知识和求职打下了坚实的基石。</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firstLine="602" w:firstLineChars="200"/>
        <w:textAlignment w:val="auto"/>
        <w:outlineLvl w:val="9"/>
        <w:rPr>
          <w:rFonts w:hint="eastAsia"/>
          <w:b/>
          <w:bCs/>
          <w:sz w:val="30"/>
          <w:szCs w:val="30"/>
          <w:lang w:val="en-US" w:eastAsia="zh-CN"/>
        </w:rPr>
      </w:pPr>
      <w:r>
        <w:rPr>
          <w:rFonts w:hint="eastAsia"/>
          <w:b/>
          <w:bCs/>
          <w:sz w:val="30"/>
          <w:szCs w:val="30"/>
          <w:lang w:val="en-US" w:eastAsia="zh-CN"/>
        </w:rPr>
        <w:t>3.集团化办学情况</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firstLine="480" w:firstLineChars="200"/>
        <w:textAlignment w:val="auto"/>
        <w:outlineLvl w:val="0"/>
        <w:rPr>
          <w:rFonts w:hint="eastAsia"/>
          <w:sz w:val="24"/>
          <w:szCs w:val="24"/>
          <w:lang w:val="en-US" w:eastAsia="zh-CN"/>
        </w:rPr>
      </w:pPr>
      <w:bookmarkStart w:id="13" w:name="_Toc32061"/>
      <w:r>
        <w:rPr>
          <w:rFonts w:hint="eastAsia"/>
          <w:sz w:val="24"/>
          <w:szCs w:val="24"/>
          <w:lang w:val="en-US" w:eastAsia="zh-CN"/>
        </w:rPr>
        <w:t>一、职教集团发展历史及现状</w:t>
      </w:r>
      <w:bookmarkEnd w:id="13"/>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firstLine="480" w:firstLineChars="200"/>
        <w:textAlignment w:val="auto"/>
        <w:outlineLvl w:val="9"/>
        <w:rPr>
          <w:rFonts w:hint="eastAsia"/>
          <w:sz w:val="24"/>
          <w:szCs w:val="24"/>
          <w:lang w:val="en-US" w:eastAsia="zh-CN"/>
        </w:rPr>
      </w:pPr>
      <w:r>
        <w:rPr>
          <w:rFonts w:hint="eastAsia"/>
          <w:sz w:val="24"/>
          <w:szCs w:val="24"/>
          <w:lang w:val="en-US" w:eastAsia="zh-CN"/>
        </w:rPr>
        <w:t>教育集团化是社会发展始然，职业教育集团化更是职业发展必然，职业教育走集团化、规模化的办学道路是势在必行。浦江县职业技术学校于2011年9月组建了以浦江县职业技术学校为龙头，浙江省挂锁行业协会、浙江省绗缝工艺协会、浙江省水晶工艺协会、浦江县技师协会、浦江县仙华职校、浦江县总工会职工业余学校、浦江县万赛摩擦材料有限公司、天地幼教集团等相关职业学校、企业单位、行业协会等作为主要成员单位组成的“浦江县职业教育集团”，教育集团经浦江县教育局、金华市教育局同意，于2011年10月13日得到批复。</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firstLine="720" w:firstLineChars="300"/>
        <w:textAlignment w:val="auto"/>
        <w:outlineLvl w:val="9"/>
        <w:rPr>
          <w:rFonts w:hint="default"/>
          <w:sz w:val="24"/>
          <w:szCs w:val="24"/>
          <w:lang w:val="en-US" w:eastAsia="zh-CN"/>
        </w:rPr>
      </w:pPr>
      <w:r>
        <w:rPr>
          <w:rFonts w:hint="eastAsia"/>
          <w:sz w:val="24"/>
          <w:szCs w:val="24"/>
          <w:lang w:val="en-US" w:eastAsia="zh-CN"/>
        </w:rPr>
        <w:t>集团从成立到现在整整走过了10个年头，集团大部分企业和协会相对稳定，在校长李卫平带领下，2015年学校电子商务专业实现了与阿里巴巴的合作，又与京东商城建立合作伙伴的关系。2019年，根据合作企业的实际情况，我们又在集团内增加了几个省级合作项目，实现强强联手，共同促进，共同发展。2020年学校与杭机股份有限公司、三思光电集团、华天机械等多家知名企业展开深度合作，拟建立产学研基地和学院。</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firstLine="480" w:firstLineChars="200"/>
        <w:textAlignment w:val="auto"/>
        <w:outlineLvl w:val="0"/>
        <w:rPr>
          <w:rFonts w:hint="eastAsia"/>
          <w:sz w:val="24"/>
          <w:szCs w:val="24"/>
          <w:lang w:val="en-US" w:eastAsia="zh-CN"/>
        </w:rPr>
      </w:pPr>
      <w:bookmarkStart w:id="14" w:name="_Toc6640"/>
      <w:r>
        <w:rPr>
          <w:rFonts w:hint="eastAsia"/>
          <w:sz w:val="24"/>
          <w:szCs w:val="24"/>
          <w:lang w:val="en-US" w:eastAsia="zh-CN"/>
        </w:rPr>
        <w:t>二、职教集团的促进作用</w:t>
      </w:r>
      <w:bookmarkEnd w:id="14"/>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firstLine="480" w:firstLineChars="200"/>
        <w:textAlignment w:val="auto"/>
        <w:outlineLvl w:val="9"/>
        <w:rPr>
          <w:rFonts w:hint="eastAsia"/>
          <w:sz w:val="24"/>
          <w:szCs w:val="24"/>
          <w:lang w:val="en-US" w:eastAsia="zh-CN"/>
        </w:rPr>
      </w:pPr>
      <w:r>
        <w:rPr>
          <w:rFonts w:hint="eastAsia"/>
          <w:sz w:val="24"/>
          <w:szCs w:val="24"/>
          <w:lang w:val="en-US" w:eastAsia="zh-CN"/>
        </w:rPr>
        <w:t>1.对职业教育事业发展的带动。</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firstLine="480" w:firstLineChars="200"/>
        <w:textAlignment w:val="auto"/>
        <w:outlineLvl w:val="9"/>
        <w:rPr>
          <w:rFonts w:hint="eastAsia"/>
          <w:sz w:val="24"/>
          <w:szCs w:val="24"/>
          <w:lang w:val="en-US" w:eastAsia="zh-CN"/>
        </w:rPr>
      </w:pPr>
      <w:r>
        <w:rPr>
          <w:rFonts w:hint="eastAsia"/>
          <w:sz w:val="24"/>
          <w:szCs w:val="24"/>
          <w:lang w:val="en-US" w:eastAsia="zh-CN"/>
        </w:rPr>
        <w:t>①有利于并肩作战，减少内耗。集团化办学之后，相互之间团结合作，一心一意做好内务工作，内斗的精力不用花了，大家拧成一股绳，也就形成了“航母”战斗力。</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firstLine="480" w:firstLineChars="200"/>
        <w:textAlignment w:val="auto"/>
        <w:outlineLvl w:val="9"/>
        <w:rPr>
          <w:rFonts w:hint="eastAsia"/>
          <w:sz w:val="24"/>
          <w:szCs w:val="24"/>
          <w:lang w:val="en-US" w:eastAsia="zh-CN"/>
        </w:rPr>
      </w:pPr>
      <w:r>
        <w:rPr>
          <w:rFonts w:hint="eastAsia"/>
          <w:sz w:val="24"/>
          <w:szCs w:val="24"/>
          <w:lang w:val="en-US" w:eastAsia="zh-CN"/>
        </w:rPr>
        <w:t>②有利于人才培养。通过开展职教集团内部的订单式培养及职教集团成员学校之间联合培养，企业在职员工继续教育与培训、拓展了人才培养的合作渠道，提高了人才培养的针对性、实用性和有效性。以浦江县职业技术学校为例，2020年学前教育就业人数共49人，集团内天地幼教集团针对集团需要进行了订单式培养，开设自己幼儿园需要的实用课程，校企合作，双方共同参与管理，精诚合作，实现了学校招生，天地幼教集团参与学校教学，毕业生到职教集团内就业的完美过程。企业也对自己一手培养教育的学生的了解、放心，顶岗实习生49人，到天地幼教集团直接就业人数达47人，直接就业率达95.9%。工艺美术专业，参加订单式人才培养共29人，浙江省水晶工艺协会、浙江省绗缝工艺协会、浦江县麒淼水晶工贸有限公司与学校共同参与了教学，安排了自己的实际操作课程，为集团培养艺术设计人才，29人中26人直接就业，实现在集团内部就业率达89.7%，还有浦江县挂锁行业协会与学校机械加工专业、数控技术专业合作，培养集团所需要的人才，总共学生14人，直接就业率更是达到了100%。其他校企合作的单位还有学校的电商专业，去年与浦南街道石埠头村江南电商园合作，学校参加就业人数75人，经过电商园一个学期的实习，与电商园签订合约，顶岗实习人数有52人，顶岗实习率达69.3%。可以说，教育集团的建立，为集团人才培养提供了极大的便利，顺利实现了学生的就业。还有学校也积极参与了集团内部在职员工的培训，浦江县职业技术学校为集团员工进行文化课、专业课培训达928人次，浦江县仙华职技校为集团内部员工培训186人次，这些大大提高了企业员工的文化素养，完成了集团内部员工职业素养的提升。</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firstLine="0" w:firstLineChars="0"/>
        <w:textAlignment w:val="auto"/>
        <w:outlineLvl w:val="9"/>
        <w:rPr>
          <w:rFonts w:hint="eastAsia"/>
          <w:sz w:val="24"/>
          <w:szCs w:val="24"/>
          <w:lang w:val="en-US" w:eastAsia="zh-CN"/>
        </w:rPr>
      </w:pPr>
      <w:r>
        <w:rPr>
          <w:rFonts w:hint="eastAsia"/>
          <w:sz w:val="24"/>
          <w:szCs w:val="24"/>
          <w:lang w:val="en-US" w:eastAsia="zh-CN"/>
        </w:rPr>
        <w:t xml:space="preserve">    ③有利于资源共享。建立了职业教育集团，有利于集团内部的学校与学校、学校与企业共建校内外实训基地，技能鉴定机构，培训中心，发挥资源的综合效应，提高资源的使用率。集团内共享实习实训设备资产总值达3425.6万元，集团内企业对学校实训基地建设资金投入总数达286.9万元。集团内部浦江县总工会职工业余学校，近五年的村镇干部培训班，规模比较大，无论设施还是场地，都无法满足培训要求，共享于集团内部资源，一次次完成了培训任务。浦江县挂锁行业协会，依托于集团内部有利资源，每次举办技能比赛，几乎都共享资源，近几年的挂锁行业PLC技能比赛，借助于集团浦江县职业技术学校电子电工专业实训室。挂锁行业的模具技能比赛，借助浦江县职业技术学校机械加工实训基地。浦江县技师协会每年的鉴定，对全县的任何行业的技师考核、培训，与学校充分的沟通，集团内部的统筹安排，每次都能顺利完成。</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firstLine="480" w:firstLineChars="200"/>
        <w:textAlignment w:val="auto"/>
        <w:outlineLvl w:val="9"/>
        <w:rPr>
          <w:rFonts w:hint="eastAsia"/>
          <w:sz w:val="24"/>
          <w:szCs w:val="24"/>
          <w:lang w:val="en-US" w:eastAsia="zh-CN"/>
        </w:rPr>
      </w:pPr>
      <w:r>
        <w:rPr>
          <w:rFonts w:hint="eastAsia"/>
          <w:sz w:val="24"/>
          <w:szCs w:val="24"/>
          <w:lang w:val="en-US" w:eastAsia="zh-CN"/>
        </w:rPr>
        <w:t>④有利于师资互聘。建立职业教育集团内部教师、专家、工程技术人员及技能人才资源库，实现职业教育集团各成员单位之间的教师互聘，企业专家与技师进课堂、专业教师进企业等活动，加快职教集团教学团队建设。这些师资互聘大大加快了职业教育集团的发展，单单浦江县职业技术学校和浦江县仙华职校就有教师101人次和27人次去企业实践，集团内企业人员到学校兼职的人数达18人次和8人次，集团内校际教师互聘达12人次和5人次。</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firstLine="480" w:firstLineChars="200"/>
        <w:textAlignment w:val="auto"/>
        <w:outlineLvl w:val="9"/>
        <w:rPr>
          <w:rFonts w:hint="eastAsia"/>
          <w:sz w:val="24"/>
          <w:szCs w:val="24"/>
          <w:lang w:val="en-US" w:eastAsia="zh-CN"/>
        </w:rPr>
      </w:pPr>
      <w:r>
        <w:rPr>
          <w:rFonts w:hint="eastAsia"/>
          <w:sz w:val="24"/>
          <w:szCs w:val="24"/>
          <w:lang w:val="en-US" w:eastAsia="zh-CN"/>
        </w:rPr>
        <w:t>⑤有利于专业建设的调整和发展。以前学校都是根据现有的基础建设，开设一些课程，不管社会如何发展，专业如何调整，都不能随着形势变化而变化，有了教育集团化，改变了学校专业的开设，满足了家长的需求，企业的需求，一些新颖的专业开设，订单式学生的培养，一下子吸引了学生的兴趣，得到了家长的肯定，满足了企业的需求，如学校为万赛摩擦材料有限公司专门开设了万赛模具加工班，为天地幼教集团开设了天地幼教学前班，为技师协会开设了浦江县现代农业实验班，为浦江县绗缝协会开设了工艺美术特色班，为浦江县麒淼工贸有限公司、浦江县水晶工艺协会开设了水晶工艺设计班，这些专业的开设和调整，都是为了满足地方产业，促进地方产业的发展，响应县委县政府的号召，服务于地方产业，一下子的职教集团专业的调整开设，吸引了大批的学生，促进了职业教育事业的发展壮大，</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firstLine="0" w:firstLineChars="0"/>
        <w:textAlignment w:val="auto"/>
        <w:outlineLvl w:val="9"/>
        <w:rPr>
          <w:rFonts w:hint="eastAsia"/>
          <w:sz w:val="24"/>
          <w:szCs w:val="24"/>
          <w:lang w:val="en-US" w:eastAsia="zh-CN"/>
        </w:rPr>
      </w:pPr>
      <w:r>
        <w:rPr>
          <w:rFonts w:hint="eastAsia"/>
          <w:sz w:val="24"/>
          <w:szCs w:val="24"/>
          <w:lang w:val="en-US" w:eastAsia="zh-CN"/>
        </w:rPr>
        <w:t xml:space="preserve">    ⑥有利于开展生产技术项目的攻关。依托于职教集团内强大的师资队伍，企业高级技术人才，共同开展科技项目的攻关，这样强强联手，学校为集团企业攻克了几年下来达41个，如为浦江县水晶工艺协会、浦江县麒淼工贸有限公司解决了水晶玻璃自动翻面的技术难题，水晶围棋厚度自动分拣难题。大大的促进了集团企业的业务发展，为集团创造了丰厚的利润，集团化的合作促进了企业生产技术的革新，促进了教育事业的发展。</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firstLine="0" w:firstLineChars="0"/>
        <w:textAlignment w:val="auto"/>
        <w:outlineLvl w:val="9"/>
        <w:rPr>
          <w:rFonts w:hint="eastAsia"/>
          <w:sz w:val="24"/>
          <w:szCs w:val="24"/>
          <w:lang w:val="en-US" w:eastAsia="zh-CN"/>
        </w:rPr>
      </w:pPr>
      <w:r>
        <w:rPr>
          <w:rFonts w:hint="eastAsia"/>
          <w:sz w:val="24"/>
          <w:szCs w:val="24"/>
          <w:lang w:val="en-US" w:eastAsia="zh-CN"/>
        </w:rPr>
        <w:t xml:space="preserve">    2.职教集团对职业教育观念的影响。只有形成教育集团化，才能适应时代的发展，提高自己的自身实力，才能有强大的竞争力。订单式人才培养、3+2的高职升学模式，师徒结对，中职学生的就业率，企业对人才的需求等等这些问题，新的趋势，新的办学模式，新的人才概念，以及刚刚被大家所推崇的工匠精神，这些必须改变传统的职业教育观念，而职业教育集团的兴起，恰恰顺应时代潮流，改革的浪潮，是社会所趋，大众所趋。</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firstLine="0" w:firstLineChars="0"/>
        <w:textAlignment w:val="auto"/>
        <w:outlineLvl w:val="9"/>
        <w:rPr>
          <w:rFonts w:hint="eastAsia"/>
          <w:sz w:val="24"/>
          <w:szCs w:val="24"/>
          <w:lang w:val="en-US" w:eastAsia="zh-CN"/>
        </w:rPr>
      </w:pPr>
      <w:r>
        <w:rPr>
          <w:rFonts w:hint="eastAsia"/>
          <w:sz w:val="24"/>
          <w:szCs w:val="24"/>
          <w:lang w:val="en-US" w:eastAsia="zh-CN"/>
        </w:rPr>
        <w:t xml:space="preserve">    3.职业教育集团对薄弱学校发展的影响。加大了投入，增加了校内外实训基地，解决了学生实训场地的不足，学生的技能得到了有效的提高，大大改变了学生学习专业课的面貌，提高了学习的积极性。校校际教师互聘，优秀学校送教下乡，这样走出去请进来，大大提高薄弱学校的教学质量，教学水平，师资共享，资源共享，教学互动，这些肯定会促进薄弱学校的发展。</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firstLine="480" w:firstLineChars="200"/>
        <w:textAlignment w:val="auto"/>
        <w:outlineLvl w:val="9"/>
        <w:rPr>
          <w:rFonts w:hint="eastAsia"/>
          <w:sz w:val="24"/>
          <w:szCs w:val="24"/>
          <w:lang w:val="en-US" w:eastAsia="zh-CN"/>
        </w:rPr>
      </w:pPr>
      <w:r>
        <w:rPr>
          <w:rFonts w:hint="eastAsia"/>
          <w:sz w:val="24"/>
          <w:szCs w:val="24"/>
          <w:lang w:val="en-US" w:eastAsia="zh-CN"/>
        </w:rPr>
        <w:t>4.职业教育集团对学校教学、学生就业的影响。对学校教学影响最大的就是教学的改革，课程的改革，集团化后势必进行校企合作，企业文化进校园，企业要直接参与自己的教学，安排企业技术员工进学校，改变课程安排，增加实训时间，为自己企业岗位人才培养打下良好的基础。师徒结对，增加学生的岗位实践能力。职教集团化受益者应该是学生的就业，这些师徒结对，订单式人才培养的模式，有了集团，极大的解决了学生就业问题，解决了学校一个老大难的事情。</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firstLine="0" w:firstLineChars="0"/>
        <w:textAlignment w:val="auto"/>
        <w:outlineLvl w:val="0"/>
        <w:rPr>
          <w:rFonts w:hint="eastAsia"/>
          <w:sz w:val="24"/>
          <w:szCs w:val="24"/>
          <w:lang w:val="en-US" w:eastAsia="zh-CN"/>
        </w:rPr>
      </w:pPr>
      <w:r>
        <w:rPr>
          <w:rFonts w:hint="eastAsia"/>
          <w:sz w:val="24"/>
          <w:szCs w:val="24"/>
          <w:lang w:val="en-US" w:eastAsia="zh-CN"/>
        </w:rPr>
        <w:t xml:space="preserve">     </w:t>
      </w:r>
      <w:bookmarkStart w:id="15" w:name="_Toc31335"/>
      <w:r>
        <w:rPr>
          <w:rFonts w:hint="eastAsia"/>
          <w:sz w:val="24"/>
          <w:szCs w:val="24"/>
          <w:lang w:val="en-US" w:eastAsia="zh-CN"/>
        </w:rPr>
        <w:t>三、职教教育集团的管理体制。</w:t>
      </w:r>
      <w:bookmarkEnd w:id="15"/>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firstLine="480" w:firstLineChars="200"/>
        <w:textAlignment w:val="auto"/>
        <w:outlineLvl w:val="9"/>
        <w:rPr>
          <w:rFonts w:hint="eastAsia"/>
          <w:sz w:val="24"/>
          <w:szCs w:val="24"/>
          <w:lang w:val="en-US" w:eastAsia="zh-CN"/>
        </w:rPr>
      </w:pPr>
      <w:r>
        <w:rPr>
          <w:rFonts w:hint="eastAsia"/>
          <w:sz w:val="24"/>
          <w:szCs w:val="24"/>
          <w:lang w:val="en-US" w:eastAsia="zh-CN"/>
        </w:rPr>
        <w:t>浦江县职教教育集团是以章程为其共同行为规范，由职业学校、行业协会、企业单位自愿组成的产教联合体，不具备事业单位法人资格，加入职教集团的成员原有单位性质和隶属关系不变，人事关系和员工身份不变，管理体制不变，经济核算不变。根据当时成立现在职教集团的管理体制如下：</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firstLine="480" w:firstLineChars="200"/>
        <w:textAlignment w:val="auto"/>
        <w:outlineLvl w:val="9"/>
        <w:rPr>
          <w:rFonts w:hint="eastAsia"/>
          <w:sz w:val="24"/>
          <w:szCs w:val="24"/>
          <w:lang w:val="en-US" w:eastAsia="zh-CN"/>
        </w:rPr>
      </w:pPr>
      <w:r>
        <w:rPr>
          <w:rFonts w:hint="eastAsia"/>
          <w:sz w:val="24"/>
          <w:szCs w:val="24"/>
          <w:lang w:val="en-US" w:eastAsia="zh-CN"/>
        </w:rPr>
        <w:t>1.浦江县职教集团应在浦江县教育局领导下开展工作。</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firstLine="480" w:firstLineChars="200"/>
        <w:textAlignment w:val="auto"/>
        <w:outlineLvl w:val="9"/>
        <w:rPr>
          <w:rFonts w:hint="eastAsia"/>
          <w:sz w:val="24"/>
          <w:szCs w:val="24"/>
          <w:lang w:val="en-US" w:eastAsia="zh-CN"/>
        </w:rPr>
      </w:pPr>
      <w:r>
        <w:rPr>
          <w:rFonts w:hint="eastAsia"/>
          <w:sz w:val="24"/>
          <w:szCs w:val="24"/>
          <w:lang w:val="en-US" w:eastAsia="zh-CN"/>
        </w:rPr>
        <w:t>2.浦江县职教集团实行理事会制，任期3年，由各单位会员组成。理事会是职教集团决策、协调、指导、监督机构。理事会设立名誉理事长、理事长、副理事长、常务理事、理事。</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firstLine="480" w:firstLineChars="200"/>
        <w:textAlignment w:val="auto"/>
        <w:outlineLvl w:val="9"/>
        <w:rPr>
          <w:rFonts w:hint="eastAsia"/>
          <w:sz w:val="24"/>
          <w:szCs w:val="24"/>
          <w:lang w:val="en-US" w:eastAsia="zh-CN"/>
        </w:rPr>
      </w:pPr>
      <w:r>
        <w:rPr>
          <w:rFonts w:hint="eastAsia"/>
          <w:sz w:val="24"/>
          <w:szCs w:val="24"/>
          <w:lang w:val="en-US" w:eastAsia="zh-CN"/>
        </w:rPr>
        <w:t>3.职教集团成员单位推荐1名代表担任理事（原则上由成员单位的主要领导担任），代表其所在单位参加职教集团的会议及有关活动。</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firstLine="480" w:firstLineChars="200"/>
        <w:textAlignment w:val="auto"/>
        <w:outlineLvl w:val="9"/>
        <w:rPr>
          <w:rFonts w:hint="eastAsia"/>
          <w:sz w:val="24"/>
          <w:szCs w:val="24"/>
          <w:lang w:val="en-US" w:eastAsia="zh-CN"/>
        </w:rPr>
      </w:pPr>
      <w:r>
        <w:rPr>
          <w:rFonts w:hint="eastAsia"/>
          <w:sz w:val="24"/>
          <w:szCs w:val="24"/>
          <w:lang w:val="en-US" w:eastAsia="zh-CN"/>
        </w:rPr>
        <w:t>4.职教集团的发展战略、发展规划和重大事项由常务理事会议提出，由理事会决议决定。</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firstLine="480" w:firstLineChars="200"/>
        <w:textAlignment w:val="auto"/>
        <w:outlineLvl w:val="9"/>
        <w:rPr>
          <w:rFonts w:hint="eastAsia"/>
          <w:sz w:val="24"/>
          <w:szCs w:val="24"/>
          <w:lang w:val="en-US" w:eastAsia="zh-CN"/>
        </w:rPr>
      </w:pPr>
      <w:r>
        <w:rPr>
          <w:rFonts w:hint="eastAsia"/>
          <w:sz w:val="24"/>
          <w:szCs w:val="24"/>
          <w:lang w:val="en-US" w:eastAsia="zh-CN"/>
        </w:rPr>
        <w:t>5.理事会每年召开一次会议，须有三分之二以上的理事出席方为有效。理事会讨论重要事项，应根据平等、公正、互利、共赢的原则进行充分友好协商，并以出席人数三分之二以上通过的方式决定各项决议。</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firstLine="480" w:firstLineChars="200"/>
        <w:textAlignment w:val="auto"/>
        <w:outlineLvl w:val="9"/>
        <w:rPr>
          <w:rFonts w:hint="eastAsia"/>
          <w:sz w:val="24"/>
          <w:szCs w:val="24"/>
          <w:lang w:val="en-US" w:eastAsia="zh-CN"/>
        </w:rPr>
      </w:pPr>
      <w:r>
        <w:rPr>
          <w:rFonts w:hint="eastAsia"/>
          <w:sz w:val="24"/>
          <w:szCs w:val="24"/>
          <w:lang w:val="en-US" w:eastAsia="zh-CN"/>
        </w:rPr>
        <w:t>6.常务理事会议根据需要不定期召开，须有三分之二以上常务理事出席。</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firstLine="480" w:firstLineChars="200"/>
        <w:textAlignment w:val="auto"/>
        <w:outlineLvl w:val="9"/>
        <w:rPr>
          <w:rFonts w:hint="eastAsia"/>
          <w:sz w:val="24"/>
          <w:szCs w:val="24"/>
          <w:lang w:val="en-US" w:eastAsia="zh-CN"/>
        </w:rPr>
      </w:pPr>
      <w:r>
        <w:rPr>
          <w:rFonts w:hint="eastAsia"/>
          <w:sz w:val="24"/>
          <w:szCs w:val="24"/>
          <w:lang w:val="en-US" w:eastAsia="zh-CN"/>
        </w:rPr>
        <w:t>7.理事长单位承担职教集团日常管理职责。设立理事会秘书处（设在浦江县职业技术学校）作为办事机构，负责理事会闭会期间的工作事物。</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firstLine="480" w:firstLineChars="200"/>
        <w:textAlignment w:val="auto"/>
        <w:outlineLvl w:val="9"/>
        <w:rPr>
          <w:rFonts w:hint="eastAsia"/>
          <w:sz w:val="24"/>
          <w:szCs w:val="24"/>
          <w:lang w:val="en-US" w:eastAsia="zh-CN"/>
        </w:rPr>
      </w:pPr>
      <w:r>
        <w:rPr>
          <w:rFonts w:hint="eastAsia"/>
          <w:sz w:val="24"/>
          <w:szCs w:val="24"/>
          <w:lang w:val="en-US" w:eastAsia="zh-CN"/>
        </w:rPr>
        <w:t>8.理事会确定职教集团发展的规划、方针及目标，对重大问题进行决策。</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firstLine="480" w:firstLineChars="200"/>
        <w:textAlignment w:val="auto"/>
        <w:outlineLvl w:val="9"/>
        <w:rPr>
          <w:rFonts w:hint="eastAsia"/>
          <w:sz w:val="24"/>
          <w:szCs w:val="24"/>
          <w:lang w:val="en-US" w:eastAsia="zh-CN"/>
        </w:rPr>
      </w:pPr>
      <w:r>
        <w:rPr>
          <w:rFonts w:hint="eastAsia"/>
          <w:sz w:val="24"/>
          <w:szCs w:val="24"/>
          <w:lang w:val="en-US" w:eastAsia="zh-CN"/>
        </w:rPr>
        <w:t>9.理事会统筹各成员单位的资源利用与共享，协调各成员单位的关系。</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firstLine="480" w:firstLineChars="200"/>
        <w:textAlignment w:val="auto"/>
        <w:outlineLvl w:val="9"/>
        <w:rPr>
          <w:rFonts w:hint="eastAsia"/>
          <w:sz w:val="24"/>
          <w:szCs w:val="24"/>
          <w:lang w:val="en-US" w:eastAsia="zh-CN"/>
        </w:rPr>
      </w:pPr>
      <w:r>
        <w:rPr>
          <w:rFonts w:hint="eastAsia"/>
          <w:sz w:val="24"/>
          <w:szCs w:val="24"/>
          <w:lang w:val="en-US" w:eastAsia="zh-CN"/>
        </w:rPr>
        <w:t>10.理事会要制订或修改本集团章程，研究各理事单位的重要提案。</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firstLine="480" w:firstLineChars="200"/>
        <w:textAlignment w:val="auto"/>
        <w:outlineLvl w:val="9"/>
        <w:rPr>
          <w:rFonts w:hint="eastAsia"/>
          <w:sz w:val="24"/>
          <w:szCs w:val="24"/>
          <w:lang w:val="en-US" w:eastAsia="zh-CN"/>
        </w:rPr>
      </w:pPr>
      <w:r>
        <w:rPr>
          <w:rFonts w:hint="eastAsia"/>
          <w:sz w:val="24"/>
          <w:szCs w:val="24"/>
          <w:lang w:val="en-US" w:eastAsia="zh-CN"/>
        </w:rPr>
        <w:t>11.理事会决定成员单位的加入和退出。</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firstLine="480" w:firstLineChars="200"/>
        <w:textAlignment w:val="auto"/>
        <w:outlineLvl w:val="0"/>
        <w:rPr>
          <w:rFonts w:hint="eastAsia"/>
          <w:sz w:val="24"/>
          <w:szCs w:val="24"/>
          <w:lang w:val="en-US" w:eastAsia="zh-CN"/>
        </w:rPr>
      </w:pPr>
      <w:bookmarkStart w:id="16" w:name="_Toc9984"/>
      <w:r>
        <w:rPr>
          <w:rFonts w:hint="eastAsia"/>
          <w:sz w:val="24"/>
          <w:szCs w:val="24"/>
          <w:lang w:val="en-US" w:eastAsia="zh-CN"/>
        </w:rPr>
        <w:t>四、推进集团化办学的规划和有关对策建议。</w:t>
      </w:r>
      <w:bookmarkEnd w:id="16"/>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firstLine="480" w:firstLineChars="200"/>
        <w:textAlignment w:val="auto"/>
        <w:outlineLvl w:val="9"/>
        <w:rPr>
          <w:rFonts w:hint="eastAsia"/>
          <w:sz w:val="24"/>
          <w:szCs w:val="24"/>
          <w:lang w:val="en-US" w:eastAsia="zh-CN"/>
        </w:rPr>
      </w:pPr>
      <w:r>
        <w:rPr>
          <w:rFonts w:hint="eastAsia"/>
          <w:sz w:val="24"/>
          <w:szCs w:val="24"/>
          <w:lang w:val="en-US" w:eastAsia="zh-CN"/>
        </w:rPr>
        <w:t>集团化办学的规划。今年又与阿里巴巴（中国）教育科技有限公司建立校企合作，与浦江县威力锁业有限公司、吉利汽车集团、浙江杭机股份有限公司、浙江合众新能源汽车有限公司、建华因特幼儿园、浦江县星童艺术幼儿园建立校企合作，集团也在不断吸收新的成员，不断壮大集团的办学规模，提升品牌，提高集团的知名度。</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firstLine="480" w:firstLineChars="200"/>
        <w:textAlignment w:val="auto"/>
        <w:outlineLvl w:val="9"/>
        <w:rPr>
          <w:rFonts w:hint="eastAsia"/>
          <w:sz w:val="24"/>
          <w:szCs w:val="24"/>
          <w:lang w:val="en-US" w:eastAsia="zh-CN"/>
        </w:rPr>
      </w:pPr>
      <w:r>
        <w:rPr>
          <w:rFonts w:hint="eastAsia"/>
          <w:sz w:val="24"/>
          <w:szCs w:val="24"/>
          <w:lang w:val="en-US" w:eastAsia="zh-CN"/>
        </w:rPr>
        <w:t>集团化办学的有关对策建议：</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firstLine="480" w:firstLineChars="200"/>
        <w:textAlignment w:val="auto"/>
        <w:outlineLvl w:val="9"/>
        <w:rPr>
          <w:rFonts w:hint="eastAsia"/>
          <w:sz w:val="24"/>
          <w:szCs w:val="24"/>
          <w:lang w:val="en-US" w:eastAsia="zh-CN"/>
        </w:rPr>
      </w:pPr>
      <w:r>
        <w:rPr>
          <w:rFonts w:hint="eastAsia"/>
          <w:sz w:val="24"/>
          <w:szCs w:val="24"/>
          <w:lang w:val="en-US" w:eastAsia="zh-CN"/>
        </w:rPr>
        <w:t>1.明确政府角色。政府必须清楚自己充当什么角色，发挥什么作用，行驶什么职能。政府明确集团化办学目标，明确行业、企业和学校的权利与义务。</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firstLine="480" w:firstLineChars="200"/>
        <w:textAlignment w:val="auto"/>
        <w:outlineLvl w:val="9"/>
        <w:rPr>
          <w:rFonts w:hint="eastAsia"/>
          <w:sz w:val="24"/>
          <w:szCs w:val="24"/>
          <w:lang w:val="en-US" w:eastAsia="zh-CN"/>
        </w:rPr>
      </w:pPr>
      <w:r>
        <w:rPr>
          <w:rFonts w:hint="eastAsia"/>
          <w:sz w:val="24"/>
          <w:szCs w:val="24"/>
          <w:lang w:val="en-US" w:eastAsia="zh-CN"/>
        </w:rPr>
        <w:t>2.明确教育集团的组建原则。职业教育集团化是多个组织单位的结合，是一个团体，不仅体现在规模的扩大，学员、教师数量的增长，更多的是优势资源整合、各单位互助协作。所以拥有一个共同的目标对整个教育集团来说相当关键。</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firstLine="480" w:firstLineChars="200"/>
        <w:textAlignment w:val="auto"/>
        <w:outlineLvl w:val="9"/>
        <w:rPr>
          <w:rFonts w:hint="eastAsia"/>
          <w:sz w:val="24"/>
          <w:szCs w:val="24"/>
          <w:lang w:val="en-US" w:eastAsia="zh-CN"/>
        </w:rPr>
      </w:pPr>
      <w:r>
        <w:rPr>
          <w:rFonts w:hint="eastAsia"/>
          <w:sz w:val="24"/>
          <w:szCs w:val="24"/>
          <w:lang w:val="en-US" w:eastAsia="zh-CN"/>
        </w:rPr>
        <w:t>3.整合教育资源及创新办学模式。将现代企业制度的集团化经营模式引入职业教育，依托行业、联合企业，加强职业学校与职业学校、职业学校与企业之间的联系，整合区域教育资源，实现资源共享，面向市场需求，推进职业教育做大、做强、做优、做特，是改革和发展职业教育的重要途径。</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firstLine="480" w:firstLineChars="200"/>
        <w:textAlignment w:val="auto"/>
        <w:outlineLvl w:val="9"/>
        <w:rPr>
          <w:rFonts w:hint="eastAsia"/>
          <w:sz w:val="24"/>
          <w:szCs w:val="24"/>
          <w:lang w:val="en-US" w:eastAsia="zh-CN"/>
        </w:rPr>
      </w:pPr>
      <w:r>
        <w:rPr>
          <w:rFonts w:hint="eastAsia"/>
          <w:sz w:val="24"/>
          <w:szCs w:val="24"/>
          <w:lang w:val="en-US" w:eastAsia="zh-CN"/>
        </w:rPr>
        <w:t>4.建设实训基地及搭建校企合作平台。职业教育集团通过加强实训基地建设，为企业培养技能型人才的同时，拓展服务企业的能力与水平，为企业提供员工的培训、培养和科研创新、技术服务，在专业教师和企业专业人才队伍的共同努力下，帮助企业创造独特的竞争力和超额的利润。</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firstLine="480" w:firstLineChars="200"/>
        <w:textAlignment w:val="auto"/>
        <w:outlineLvl w:val="9"/>
        <w:rPr>
          <w:rFonts w:hint="eastAsia"/>
          <w:sz w:val="24"/>
          <w:szCs w:val="24"/>
          <w:lang w:val="en-US" w:eastAsia="zh-CN"/>
        </w:rPr>
      </w:pPr>
      <w:r>
        <w:rPr>
          <w:rFonts w:hint="eastAsia"/>
          <w:sz w:val="24"/>
          <w:szCs w:val="24"/>
          <w:lang w:val="en-US" w:eastAsia="zh-CN"/>
        </w:rPr>
        <w:t>总之，职业教育集团化规模在做大做强的同时，一定要多方配合，优化资源，提升品牌，提高办学质量，提高专业教师水平，加强校企合作，强强联手，加快改革的步伐，转变办学观念，迎合时代发展的浪潮，不断开拓创新，相信在大家共同努力下，职业教育集团化办学道路越走越宽广。</w:t>
      </w:r>
    </w:p>
    <w:p>
      <w:pPr>
        <w:keepNext w:val="0"/>
        <w:keepLines w:val="0"/>
        <w:pageBreakBefore w:val="0"/>
        <w:numPr>
          <w:ilvl w:val="0"/>
          <w:numId w:val="6"/>
        </w:numPr>
        <w:kinsoku/>
        <w:wordWrap/>
        <w:overflowPunct/>
        <w:topLinePunct w:val="0"/>
        <w:autoSpaceDE/>
        <w:autoSpaceDN/>
        <w:bidi w:val="0"/>
        <w:adjustRightInd/>
        <w:spacing w:beforeAutospacing="0" w:afterAutospacing="0" w:line="360" w:lineRule="auto"/>
        <w:ind w:left="0" w:leftChars="0" w:right="0" w:rightChars="0" w:firstLine="0" w:firstLineChars="0"/>
        <w:textAlignment w:val="auto"/>
        <w:outlineLvl w:val="0"/>
        <w:rPr>
          <w:rFonts w:hint="eastAsia"/>
          <w:b/>
          <w:bCs/>
          <w:sz w:val="32"/>
          <w:szCs w:val="32"/>
          <w:lang w:val="en-US" w:eastAsia="zh-CN"/>
        </w:rPr>
      </w:pPr>
      <w:bookmarkStart w:id="17" w:name="_Toc8747"/>
      <w:r>
        <w:rPr>
          <w:rFonts w:hint="eastAsia"/>
          <w:b/>
          <w:bCs/>
          <w:sz w:val="32"/>
          <w:szCs w:val="32"/>
          <w:lang w:val="en-US" w:eastAsia="zh-CN"/>
        </w:rPr>
        <w:t>社会贡献</w:t>
      </w:r>
      <w:bookmarkEnd w:id="17"/>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Chars="0" w:right="0" w:rightChars="0" w:firstLine="480" w:firstLineChars="200"/>
        <w:textAlignment w:val="auto"/>
        <w:outlineLvl w:val="9"/>
        <w:rPr>
          <w:rFonts w:hint="eastAsia"/>
          <w:b w:val="0"/>
          <w:bCs w:val="0"/>
          <w:sz w:val="24"/>
          <w:szCs w:val="24"/>
          <w:lang w:val="en-US" w:eastAsia="zh-CN"/>
        </w:rPr>
      </w:pPr>
      <w:r>
        <w:rPr>
          <w:rFonts w:hint="eastAsia"/>
          <w:b w:val="0"/>
          <w:bCs w:val="0"/>
          <w:sz w:val="24"/>
          <w:szCs w:val="24"/>
          <w:lang w:val="en-US" w:eastAsia="zh-CN"/>
        </w:rPr>
        <w:t>根据本地行业和经济发展需求，主动创建培训平台，以“校企合作、校校合作、行业协会合作”等培训模式为突破口，坚持‘走进来’和‘送出去’双向教学模式，按需送教，学员遍及全县各乡镇街道千家万户。采用“校本培训与送教下企培训相结合、中期培训与短期培训相结合、订单培训与定向输出相结合”等培训方式，让无技者得技，让技术培训惠及浦江百姓，实现职业教育的富民教育。</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Chars="0" w:right="0" w:rightChars="0" w:firstLine="480" w:firstLineChars="200"/>
        <w:textAlignment w:val="auto"/>
        <w:outlineLvl w:val="1"/>
        <w:rPr>
          <w:rFonts w:hint="eastAsia"/>
          <w:b w:val="0"/>
          <w:bCs w:val="0"/>
          <w:sz w:val="24"/>
          <w:szCs w:val="24"/>
          <w:lang w:val="en-US" w:eastAsia="zh-CN"/>
        </w:rPr>
      </w:pPr>
      <w:bookmarkStart w:id="18" w:name="_Toc11510"/>
      <w:r>
        <w:rPr>
          <w:rFonts w:hint="eastAsia"/>
          <w:b w:val="0"/>
          <w:bCs w:val="0"/>
          <w:sz w:val="24"/>
          <w:szCs w:val="24"/>
          <w:lang w:val="en-US" w:eastAsia="zh-CN"/>
        </w:rPr>
        <w:t>1.技术技能人才培养（整合培训基地资源，增强职业技能培训能力，提高企业效益）</w:t>
      </w:r>
      <w:bookmarkEnd w:id="18"/>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Chars="0" w:right="0" w:rightChars="0" w:firstLine="480" w:firstLineChars="200"/>
        <w:textAlignment w:val="auto"/>
        <w:outlineLvl w:val="9"/>
        <w:rPr>
          <w:rFonts w:hint="eastAsia"/>
          <w:b w:val="0"/>
          <w:bCs w:val="0"/>
          <w:sz w:val="24"/>
          <w:szCs w:val="24"/>
          <w:lang w:val="en-US" w:eastAsia="zh-CN"/>
        </w:rPr>
      </w:pPr>
      <w:r>
        <w:rPr>
          <w:rFonts w:hint="eastAsia"/>
          <w:b w:val="0"/>
          <w:bCs w:val="0"/>
          <w:sz w:val="24"/>
          <w:szCs w:val="24"/>
          <w:lang w:val="en-US" w:eastAsia="zh-CN"/>
        </w:rPr>
        <w:t>充分利用专业教学资源和优质师资力量，积极开展社会培训服务，建设期内，努力创建各类培训平台，建有省新型农民素质培训示范基地，省家政服务人才培养培训学校，浦江工匠学院，县高技能人才培训基地，县农民培训学校，县职业技能鉴定所，县成人“双证制”教育培训基地，县万人电商培训基地、县电商项目孵化基地等社会服务平台9个。积极响应县政府的号召，围绕县委县府的中心工作和重点工作，开拓培训任务，拓展培训渠道，加大力度服务企业，对接企业，开展订单式的培训。主动联系县挂锁协会、水晶园区、衍缝协会，联系浦江三思光电、浙江亚星纤维、恒全电梯、烟台三环、环通机械、华天机械、华天机械、武士锁业等多家企业开展了中、高级钳工、电工、焊工、设计、PLC、公差配合等专项培训。多次为塔山宾馆、新浦江、国际大酒店等餐饮企业培训了高级烹饪师。在2019年4月－6月浦江工匠学院技能培训处开展了一期电工技师班，一年以来，承担了浦江县教育局、人劳局、农业农村局、总工会等有关部门的各类培训任务，已举办电工、钳工、焊工、PLC、CAD、育婴师、茶艺师、汽修等10余个工种，近40余个班次，约4500余人次的培训量，完成了高级工以上的培训人次共计725人次。通过这些培训项目的开展，为企业解决了技术难题，帮助企业提高技术水平。服务社会，服务企业是我院义不容辞的责任，将继续发挥我校高技能人才孵化器的技能辐射作用，为县域经济发展提供技能人才支撑。</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Chars="0" w:right="0" w:rightChars="0" w:firstLine="480" w:firstLineChars="200"/>
        <w:textAlignment w:val="auto"/>
        <w:outlineLvl w:val="1"/>
        <w:rPr>
          <w:rFonts w:hint="eastAsia"/>
          <w:b w:val="0"/>
          <w:bCs w:val="0"/>
          <w:sz w:val="24"/>
          <w:szCs w:val="24"/>
          <w:lang w:val="en-US" w:eastAsia="zh-CN"/>
        </w:rPr>
      </w:pPr>
      <w:bookmarkStart w:id="19" w:name="_Toc23068"/>
      <w:r>
        <w:rPr>
          <w:rFonts w:hint="eastAsia"/>
          <w:b w:val="0"/>
          <w:bCs w:val="0"/>
          <w:sz w:val="24"/>
          <w:szCs w:val="24"/>
          <w:lang w:val="en-US" w:eastAsia="zh-CN"/>
        </w:rPr>
        <w:t>2.社会服务（创建培训平台，开展多层次培训服务）</w:t>
      </w:r>
      <w:bookmarkEnd w:id="19"/>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Chars="0" w:right="0" w:rightChars="0" w:firstLine="480" w:firstLineChars="200"/>
        <w:textAlignment w:val="auto"/>
        <w:outlineLvl w:val="9"/>
        <w:rPr>
          <w:rFonts w:hint="eastAsia"/>
          <w:b w:val="0"/>
          <w:bCs w:val="0"/>
          <w:sz w:val="24"/>
          <w:szCs w:val="24"/>
          <w:lang w:val="en-US" w:eastAsia="zh-CN"/>
        </w:rPr>
      </w:pPr>
      <w:r>
        <w:rPr>
          <w:rFonts w:hint="eastAsia"/>
          <w:b w:val="0"/>
          <w:bCs w:val="0"/>
          <w:sz w:val="24"/>
          <w:szCs w:val="24"/>
          <w:lang w:val="en-US" w:eastAsia="zh-CN"/>
        </w:rPr>
        <w:t>（1）承担企业协会、机关单位各种服务培训</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Chars="0" w:right="0" w:rightChars="0" w:firstLine="480" w:firstLineChars="200"/>
        <w:textAlignment w:val="auto"/>
        <w:outlineLvl w:val="9"/>
        <w:rPr>
          <w:rFonts w:hint="eastAsia"/>
          <w:b w:val="0"/>
          <w:bCs w:val="0"/>
          <w:sz w:val="24"/>
          <w:szCs w:val="24"/>
          <w:lang w:val="en-US" w:eastAsia="zh-CN"/>
        </w:rPr>
      </w:pPr>
      <w:r>
        <w:rPr>
          <w:rFonts w:hint="eastAsia"/>
          <w:b w:val="0"/>
          <w:bCs w:val="0"/>
          <w:sz w:val="24"/>
          <w:szCs w:val="24"/>
          <w:lang w:val="en-US" w:eastAsia="zh-CN"/>
        </w:rPr>
        <w:t>为服务县域实体经济，为高技能人才的培养提供了一个很好的平台，为服务县域实体经济作出了应有的贡献。学校与企业建立了技能人才联合培养使用机制，技能人才成长的政策环境和培养体系明显改善。为深化拓展培训项目，积极与水晶、挂锁、汽修协会密切合作，多次进入企业、协会，送教下乡，送教下企，为企业解决技术难题，开展了电工、模具设计、钳工、汽修等企业急需专业的项目培训，特别为县水晶园区上门开展了五期农村电工的培训。培训学员达到3000余人次，涉及企业57家，学员培训效果良好，企业效益显著增加。根据教育局的要求及我校电工培训项目的情况，利用双休日和暑假的时间，完成并通过了浙江省成人教育品牌项目《电工工匠人才培训》评审，为我校获得了荣誉。</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Chars="0" w:right="0" w:rightChars="0"/>
        <w:textAlignment w:val="auto"/>
        <w:outlineLvl w:val="9"/>
        <w:rPr>
          <w:rFonts w:hint="eastAsia"/>
          <w:b w:val="0"/>
          <w:bCs w:val="0"/>
          <w:sz w:val="24"/>
          <w:szCs w:val="24"/>
          <w:lang w:val="en-US" w:eastAsia="zh-CN"/>
        </w:rPr>
      </w:pPr>
      <w:r>
        <w:rPr>
          <w:rFonts w:hint="eastAsia"/>
          <w:b w:val="0"/>
          <w:bCs w:val="0"/>
          <w:sz w:val="24"/>
          <w:szCs w:val="24"/>
          <w:lang w:val="en-US" w:eastAsia="zh-CN"/>
        </w:rPr>
        <w:t>2019年6月份与县人社局、县总工会、各行业协会合作，承办了2019年的浦江县职业技能大赛的15个项目。</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Chars="0" w:right="0" w:rightChars="0" w:firstLine="480" w:firstLineChars="200"/>
        <w:textAlignment w:val="auto"/>
        <w:outlineLvl w:val="9"/>
        <w:rPr>
          <w:rFonts w:hint="eastAsia"/>
          <w:b w:val="0"/>
          <w:bCs w:val="0"/>
          <w:sz w:val="24"/>
          <w:szCs w:val="24"/>
          <w:lang w:val="en-US" w:eastAsia="zh-CN"/>
        </w:rPr>
      </w:pPr>
      <w:r>
        <w:rPr>
          <w:rFonts w:hint="eastAsia"/>
          <w:b w:val="0"/>
          <w:bCs w:val="0"/>
          <w:sz w:val="24"/>
          <w:szCs w:val="24"/>
          <w:lang w:val="en-US" w:eastAsia="zh-CN"/>
        </w:rPr>
        <w:t>（2）成人“双证制”学历教育培训</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Chars="0" w:right="0" w:rightChars="0" w:firstLine="480" w:firstLineChars="200"/>
        <w:textAlignment w:val="auto"/>
        <w:outlineLvl w:val="9"/>
        <w:rPr>
          <w:rFonts w:hint="eastAsia"/>
          <w:b w:val="0"/>
          <w:bCs w:val="0"/>
          <w:sz w:val="24"/>
          <w:szCs w:val="24"/>
          <w:lang w:val="en-US" w:eastAsia="zh-CN"/>
        </w:rPr>
      </w:pPr>
      <w:r>
        <w:rPr>
          <w:rFonts w:hint="eastAsia"/>
          <w:b w:val="0"/>
          <w:bCs w:val="0"/>
          <w:sz w:val="24"/>
          <w:szCs w:val="24"/>
          <w:lang w:val="en-US" w:eastAsia="zh-CN"/>
        </w:rPr>
        <w:t>成人双证制教育培训是一项省长惠民工程，由政府出资免费给未取得初高中学历的社会成年提供文化教育和职业技能培训，它采用面授与自学相结合方式，学习语文、数学、社会科学、公民道德和法律基础4门必修课及技能证书，经考核合格者，将取得由市教育局颁发的成人职业高中毕业文凭（国家承认学历）。本学年328名学员报名成人高中培训班，通过文化课的学习和技能鉴定培训考试合格共有304名学员获得了成人职业高中文凭，对我县创建教育强县、建设学习型县城做出应有的贡献，对学员个人的发展打下良好的基础。</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Chars="0" w:right="0" w:rightChars="0" w:firstLine="480" w:firstLineChars="200"/>
        <w:textAlignment w:val="auto"/>
        <w:outlineLvl w:val="9"/>
        <w:rPr>
          <w:rFonts w:hint="eastAsia"/>
          <w:b w:val="0"/>
          <w:bCs w:val="0"/>
          <w:sz w:val="24"/>
          <w:szCs w:val="24"/>
          <w:lang w:val="en-US" w:eastAsia="zh-CN"/>
        </w:rPr>
      </w:pPr>
      <w:r>
        <w:rPr>
          <w:rFonts w:hint="eastAsia"/>
          <w:b w:val="0"/>
          <w:bCs w:val="0"/>
          <w:sz w:val="24"/>
          <w:szCs w:val="24"/>
          <w:lang w:val="en-US" w:eastAsia="zh-CN"/>
        </w:rPr>
        <w:t>（3）开展职业技术服务、培训服务、文化传承</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Chars="0" w:right="0" w:rightChars="0" w:firstLine="480" w:firstLineChars="200"/>
        <w:textAlignment w:val="auto"/>
        <w:outlineLvl w:val="9"/>
        <w:rPr>
          <w:rFonts w:hint="eastAsia"/>
          <w:b w:val="0"/>
          <w:bCs w:val="0"/>
          <w:sz w:val="24"/>
          <w:szCs w:val="24"/>
          <w:lang w:val="en-US" w:eastAsia="zh-CN"/>
        </w:rPr>
      </w:pPr>
      <w:r>
        <w:rPr>
          <w:rFonts w:hint="eastAsia"/>
          <w:b w:val="0"/>
          <w:bCs w:val="0"/>
          <w:sz w:val="24"/>
          <w:szCs w:val="24"/>
          <w:lang w:val="en-US" w:eastAsia="zh-CN"/>
        </w:rPr>
        <w:t>我校还是各种服务类培训的摇篮，一年来承担各种服务培训班达25个，有农村实用电工、育婴员、老人陪护、乡村美食、农村电商、造林技工、美丽乡村建设、安全救护、非遗古琴、剪纸、麦秆贴、刺绣、根雕文化等12个工种，培训人数达4396余名，受训人员获合格证率达95%以上，为浦江本地培养了一大批服务人才，也提高了我校师生的技能，也为我校的专业发展指明方向，实现多方互赢。</w:t>
      </w:r>
    </w:p>
    <w:p>
      <w:pPr>
        <w:keepNext w:val="0"/>
        <w:keepLines w:val="0"/>
        <w:pageBreakBefore w:val="0"/>
        <w:numPr>
          <w:ilvl w:val="0"/>
          <w:numId w:val="7"/>
        </w:numPr>
        <w:kinsoku/>
        <w:wordWrap/>
        <w:overflowPunct/>
        <w:topLinePunct w:val="0"/>
        <w:autoSpaceDE/>
        <w:autoSpaceDN/>
        <w:bidi w:val="0"/>
        <w:adjustRightInd/>
        <w:spacing w:beforeAutospacing="0" w:afterAutospacing="0" w:line="360" w:lineRule="auto"/>
        <w:ind w:leftChars="0" w:right="0" w:rightChars="0" w:firstLine="480" w:firstLineChars="200"/>
        <w:textAlignment w:val="auto"/>
        <w:outlineLvl w:val="1"/>
        <w:rPr>
          <w:rFonts w:hint="eastAsia"/>
          <w:b w:val="0"/>
          <w:bCs w:val="0"/>
          <w:sz w:val="24"/>
          <w:szCs w:val="24"/>
          <w:lang w:val="en-US" w:eastAsia="zh-CN"/>
        </w:rPr>
      </w:pPr>
      <w:bookmarkStart w:id="20" w:name="_Toc25288"/>
      <w:r>
        <w:rPr>
          <w:rFonts w:hint="eastAsia"/>
          <w:b w:val="0"/>
          <w:bCs w:val="0"/>
          <w:sz w:val="24"/>
          <w:szCs w:val="24"/>
          <w:lang w:val="en-US" w:eastAsia="zh-CN"/>
        </w:rPr>
        <w:t>对口支援</w:t>
      </w:r>
      <w:bookmarkEnd w:id="20"/>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right="0" w:rightChars="0" w:firstLine="480" w:firstLineChars="200"/>
        <w:textAlignment w:val="auto"/>
        <w:outlineLvl w:val="9"/>
        <w:rPr>
          <w:rFonts w:hint="eastAsia"/>
          <w:b w:val="0"/>
          <w:bCs w:val="0"/>
          <w:sz w:val="24"/>
          <w:szCs w:val="24"/>
          <w:lang w:val="en-US" w:eastAsia="zh-CN"/>
        </w:rPr>
      </w:pPr>
      <w:r>
        <w:rPr>
          <w:rFonts w:hint="eastAsia"/>
          <w:b w:val="0"/>
          <w:bCs w:val="0"/>
          <w:sz w:val="24"/>
          <w:szCs w:val="24"/>
          <w:lang w:val="en-US" w:eastAsia="zh-CN"/>
        </w:rPr>
        <w:t>2018年，四川乐山市金口河籍30名师生来我校游学15天，拉开了东西部协作办学的序幕。2019年下半年开始，我校正式与四川金口河区两所中职学校开展合作办学。接收了36名金口河籍学生来我校就读。学校也将东西协作办学列为学校重点工作，制定了合适的教学计划、丰富的教学活动，让千里而来的学子感受到了家的温暖。学校也被评为“东西部协作办学教育基地”。</w:t>
      </w:r>
    </w:p>
    <w:p>
      <w:pPr>
        <w:keepNext w:val="0"/>
        <w:keepLines w:val="0"/>
        <w:pageBreakBefore w:val="0"/>
        <w:numPr>
          <w:ilvl w:val="0"/>
          <w:numId w:val="6"/>
        </w:numPr>
        <w:kinsoku/>
        <w:wordWrap/>
        <w:overflowPunct/>
        <w:topLinePunct w:val="0"/>
        <w:autoSpaceDE/>
        <w:autoSpaceDN/>
        <w:bidi w:val="0"/>
        <w:adjustRightInd/>
        <w:spacing w:beforeAutospacing="0" w:afterAutospacing="0" w:line="360" w:lineRule="auto"/>
        <w:ind w:left="0" w:leftChars="0" w:right="0" w:rightChars="0" w:firstLine="0" w:firstLineChars="0"/>
        <w:textAlignment w:val="auto"/>
        <w:outlineLvl w:val="0"/>
        <w:rPr>
          <w:rFonts w:hint="eastAsia"/>
          <w:b/>
          <w:bCs/>
          <w:sz w:val="32"/>
          <w:szCs w:val="32"/>
          <w:lang w:val="en-US" w:eastAsia="zh-CN"/>
        </w:rPr>
      </w:pPr>
      <w:bookmarkStart w:id="21" w:name="_Toc28253"/>
      <w:r>
        <w:rPr>
          <w:rFonts w:hint="eastAsia"/>
          <w:b/>
          <w:bCs/>
          <w:sz w:val="32"/>
          <w:szCs w:val="32"/>
          <w:lang w:val="en-US" w:eastAsia="zh-CN"/>
        </w:rPr>
        <w:t>举办者履责</w:t>
      </w:r>
      <w:bookmarkEnd w:id="21"/>
    </w:p>
    <w:p>
      <w:pPr>
        <w:keepNext w:val="0"/>
        <w:keepLines w:val="0"/>
        <w:pageBreakBefore w:val="0"/>
        <w:numPr>
          <w:ilvl w:val="0"/>
          <w:numId w:val="8"/>
        </w:numPr>
        <w:kinsoku/>
        <w:wordWrap/>
        <w:overflowPunct/>
        <w:topLinePunct w:val="0"/>
        <w:autoSpaceDE/>
        <w:autoSpaceDN/>
        <w:bidi w:val="0"/>
        <w:adjustRightInd/>
        <w:spacing w:beforeAutospacing="0" w:afterAutospacing="0" w:line="360" w:lineRule="auto"/>
        <w:ind w:left="0" w:leftChars="0" w:right="0" w:rightChars="0" w:firstLine="0" w:firstLineChars="0"/>
        <w:textAlignment w:val="auto"/>
        <w:outlineLvl w:val="1"/>
        <w:rPr>
          <w:rFonts w:hint="eastAsia"/>
          <w:b/>
          <w:bCs/>
          <w:sz w:val="28"/>
          <w:szCs w:val="28"/>
          <w:lang w:val="en-US" w:eastAsia="zh-CN"/>
        </w:rPr>
      </w:pPr>
      <w:bookmarkStart w:id="22" w:name="_Toc6400"/>
      <w:r>
        <w:rPr>
          <w:rFonts w:hint="eastAsia"/>
          <w:b/>
          <w:bCs/>
          <w:sz w:val="28"/>
          <w:szCs w:val="28"/>
          <w:lang w:val="en-US" w:eastAsia="zh-CN"/>
        </w:rPr>
        <w:t>经费</w:t>
      </w:r>
      <w:bookmarkEnd w:id="22"/>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right="0" w:rightChars="0" w:firstLine="480" w:firstLineChars="200"/>
        <w:jc w:val="left"/>
        <w:textAlignment w:val="auto"/>
        <w:outlineLvl w:val="9"/>
        <w:rPr>
          <w:rFonts w:hint="eastAsia"/>
          <w:b/>
          <w:bCs/>
          <w:sz w:val="28"/>
          <w:szCs w:val="28"/>
          <w:lang w:val="en-US" w:eastAsia="zh-CN"/>
        </w:rPr>
      </w:pPr>
      <w:r>
        <w:rPr>
          <w:rFonts w:hint="eastAsia"/>
          <w:b w:val="0"/>
          <w:bCs w:val="0"/>
          <w:sz w:val="24"/>
          <w:szCs w:val="24"/>
          <w:lang w:val="en-US" w:eastAsia="zh-CN"/>
        </w:rPr>
        <w:t>包括政策性经费落实情况：一般预算拨款6553.76万元。已用5579.4万元。生均拨款18049元。基建建设工程合计705万。</w:t>
      </w:r>
    </w:p>
    <w:p>
      <w:pPr>
        <w:keepNext w:val="0"/>
        <w:keepLines w:val="0"/>
        <w:pageBreakBefore w:val="0"/>
        <w:numPr>
          <w:ilvl w:val="0"/>
          <w:numId w:val="8"/>
        </w:numPr>
        <w:kinsoku/>
        <w:wordWrap/>
        <w:overflowPunct/>
        <w:topLinePunct w:val="0"/>
        <w:autoSpaceDE/>
        <w:autoSpaceDN/>
        <w:bidi w:val="0"/>
        <w:adjustRightInd/>
        <w:spacing w:beforeAutospacing="0" w:afterAutospacing="0" w:line="360" w:lineRule="auto"/>
        <w:ind w:left="0" w:leftChars="0" w:right="0" w:rightChars="0" w:firstLine="0" w:firstLineChars="0"/>
        <w:textAlignment w:val="auto"/>
        <w:outlineLvl w:val="1"/>
        <w:rPr>
          <w:rFonts w:hint="eastAsia"/>
          <w:b/>
          <w:bCs/>
          <w:sz w:val="28"/>
          <w:szCs w:val="28"/>
          <w:lang w:val="en-US" w:eastAsia="zh-CN"/>
        </w:rPr>
      </w:pPr>
      <w:bookmarkStart w:id="23" w:name="_Toc13921"/>
      <w:r>
        <w:rPr>
          <w:rFonts w:hint="eastAsia"/>
          <w:b/>
          <w:bCs/>
          <w:sz w:val="28"/>
          <w:szCs w:val="28"/>
          <w:lang w:val="en-US" w:eastAsia="zh-CN"/>
        </w:rPr>
        <w:t>政策措施</w:t>
      </w:r>
      <w:bookmarkEnd w:id="23"/>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Chars="0" w:right="0" w:rightChars="0" w:firstLine="480"/>
        <w:textAlignment w:val="auto"/>
        <w:outlineLvl w:val="9"/>
        <w:rPr>
          <w:rFonts w:hint="eastAsia"/>
          <w:b w:val="0"/>
          <w:bCs w:val="0"/>
          <w:sz w:val="24"/>
          <w:szCs w:val="24"/>
          <w:lang w:val="en-US" w:eastAsia="zh-CN"/>
        </w:rPr>
      </w:pPr>
      <w:r>
        <w:rPr>
          <w:rFonts w:hint="eastAsia"/>
          <w:b w:val="0"/>
          <w:bCs w:val="0"/>
          <w:sz w:val="24"/>
          <w:szCs w:val="24"/>
          <w:lang w:val="en-US" w:eastAsia="zh-CN"/>
        </w:rPr>
        <w:t>我校积极落实国家、省、市、县政府以及上级主管部门的各项政策措施。特别是全面落实好浦政发〔2016〕30号浦江县人民政府关于加快发展现代职业教育的实施意见。积极贯彻党的十八大精神，坚持以“立德树人，重能创业”为根本，以服务为宗旨，以就业为导向，以质量为核心，以改革创新为动力，强化服务经济的功能，强化就业创业的能力，强化人才的培养，为促进大众创业、万众创新、服务经济发展提供强有力的技术人才支撑。</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Chars="0" w:right="0" w:rightChars="0" w:firstLine="480"/>
        <w:textAlignment w:val="auto"/>
        <w:outlineLvl w:val="9"/>
        <w:rPr>
          <w:rFonts w:hint="eastAsia"/>
          <w:sz w:val="24"/>
          <w:szCs w:val="24"/>
          <w:lang w:val="en-US" w:eastAsia="zh-CN"/>
        </w:rPr>
      </w:pPr>
      <w:r>
        <w:rPr>
          <w:rFonts w:hint="eastAsia"/>
          <w:sz w:val="24"/>
          <w:szCs w:val="24"/>
          <w:lang w:val="en-US" w:eastAsia="zh-CN"/>
        </w:rPr>
        <w:t>针对如何落实教师编制管理制度，我校在意识到中职学校教师编制存在的实际问题后，采取有针对性的措施：</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Chars="0" w:right="0" w:rightChars="0" w:firstLine="480"/>
        <w:textAlignment w:val="auto"/>
        <w:outlineLvl w:val="9"/>
        <w:rPr>
          <w:rFonts w:hint="eastAsia"/>
          <w:sz w:val="24"/>
          <w:szCs w:val="24"/>
          <w:lang w:val="en-US" w:eastAsia="zh-CN"/>
        </w:rPr>
      </w:pPr>
      <w:r>
        <w:rPr>
          <w:rFonts w:hint="eastAsia"/>
          <w:sz w:val="24"/>
          <w:szCs w:val="24"/>
          <w:lang w:val="en-US" w:eastAsia="zh-CN"/>
        </w:rPr>
        <w:t>（1）加强教师队伍建设规划工作</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Chars="0" w:right="0" w:rightChars="0" w:firstLine="480"/>
        <w:textAlignment w:val="auto"/>
        <w:outlineLvl w:val="9"/>
        <w:rPr>
          <w:rFonts w:hint="eastAsia"/>
          <w:sz w:val="24"/>
          <w:szCs w:val="24"/>
          <w:lang w:val="en-US" w:eastAsia="zh-CN"/>
        </w:rPr>
      </w:pPr>
      <w:r>
        <w:rPr>
          <w:rFonts w:hint="eastAsia"/>
          <w:sz w:val="24"/>
          <w:szCs w:val="24"/>
          <w:lang w:val="en-US" w:eastAsia="zh-CN"/>
        </w:rPr>
        <w:t>制定教师队伍建设规划是搞好教师队伍建设的首要环节，也是开展教师队伍建设工作的重要依据。教师队伍建设规划应全面分析队伍现状，根据学校的发展目标，科学预测未来五年教师资源的需求状况，就教师队伍的发展规模、年龄结构、专业结构、学历结构、职称结构以及“双师”要求等提出建设目标，并制订相应的教师资源开发的策略与措施，落实教师队伍建设的工作进程。除编制教师队伍建设的五年发展规划外，中职学校每年还应制订具体的教师队伍建设工作计划，确定年度工作目标，提出工作方案、具体措施、工作进程、考核方法等，使教师队伍建设工作落到实处。</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Chars="0" w:right="0" w:rightChars="0" w:firstLine="480"/>
        <w:textAlignment w:val="auto"/>
        <w:outlineLvl w:val="9"/>
        <w:rPr>
          <w:rFonts w:hint="eastAsia"/>
          <w:sz w:val="24"/>
          <w:szCs w:val="24"/>
          <w:lang w:val="en-US" w:eastAsia="zh-CN"/>
        </w:rPr>
      </w:pPr>
      <w:r>
        <w:rPr>
          <w:rFonts w:hint="eastAsia"/>
          <w:sz w:val="24"/>
          <w:szCs w:val="24"/>
          <w:lang w:val="en-US" w:eastAsia="zh-CN"/>
        </w:rPr>
        <w:t>（2）加强与规范新教师的招聘工作</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Chars="0" w:right="0" w:rightChars="0" w:firstLine="480"/>
        <w:textAlignment w:val="auto"/>
        <w:outlineLvl w:val="9"/>
        <w:rPr>
          <w:rFonts w:hint="eastAsia"/>
          <w:sz w:val="24"/>
          <w:szCs w:val="24"/>
          <w:lang w:val="en-US" w:eastAsia="zh-CN"/>
        </w:rPr>
      </w:pPr>
      <w:r>
        <w:rPr>
          <w:rFonts w:hint="eastAsia"/>
          <w:sz w:val="24"/>
          <w:szCs w:val="24"/>
          <w:lang w:val="en-US" w:eastAsia="zh-CN"/>
        </w:rPr>
        <w:t>中职学校的教师数量不足，应加大新教师招聘力度，尽快改善生师比不合理的状况。招聘应届毕业生原则上应为硕士或博士研究生学历（学位）。学校要根据专业发展需要，组织专门力量，到高水平的大学开展宣传和招聘工作。学校必须按照人力资源管理的要求，完善教师招聘制度，制定科学的工作流程，确定科学的测验方法来考察、鉴别人才，做到全面考察、客观分析，防止主观性和片面性。 要严格执行考核程序和录用标准， 提高教师招聘工作的规范性和招聘质量。学校应按照专业需要、结构合理、质量优良的要求，注意招聘工作的均衡性和梯次性，防止同一年录用相同年龄段教师的数量过多，造成今后晋级、进修及使用上的矛盾。</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Chars="0" w:right="0" w:rightChars="0" w:firstLine="480"/>
        <w:textAlignment w:val="auto"/>
        <w:outlineLvl w:val="9"/>
        <w:rPr>
          <w:rFonts w:hint="eastAsia"/>
          <w:sz w:val="24"/>
          <w:szCs w:val="24"/>
          <w:lang w:val="en-US" w:eastAsia="zh-CN"/>
        </w:rPr>
      </w:pPr>
      <w:r>
        <w:rPr>
          <w:rFonts w:hint="eastAsia"/>
          <w:sz w:val="24"/>
          <w:szCs w:val="24"/>
          <w:lang w:val="en-US" w:eastAsia="zh-CN"/>
        </w:rPr>
        <w:t>（3）加大引进高层次人才的力度中职学校高层次人才的引进</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Chars="0" w:right="0" w:rightChars="0" w:firstLine="480"/>
        <w:textAlignment w:val="auto"/>
        <w:outlineLvl w:val="9"/>
        <w:rPr>
          <w:rFonts w:hint="eastAsia"/>
          <w:sz w:val="24"/>
          <w:szCs w:val="24"/>
          <w:lang w:val="en-US" w:eastAsia="zh-CN"/>
        </w:rPr>
      </w:pPr>
      <w:r>
        <w:rPr>
          <w:rFonts w:hint="eastAsia"/>
          <w:sz w:val="24"/>
          <w:szCs w:val="24"/>
          <w:lang w:val="en-US" w:eastAsia="zh-CN"/>
        </w:rPr>
        <w:t>首先应考虑从行业企业引进优秀人才，吸引既具有丰富企业工作经验，又具有出色专业技术能力的技术专家、管理专家来学校工作。这样的高层次人才，不仅能满足“双师型”教师队伍建设的要求，而且由于他们本身就是本行业或专业技术领域的专家，可以迅速带动新专业的起步和发展，或者使原有专业的办学水平得到显著提升。与此同时，某些专业与学科也可以从高校引进高水平的教学、 科研及管理人才。这些来自高校的教授学者，可以加强中职学校的学术建设工作， 提升本专业的学术发展水平，带动中职学校的专业教师团队建设。</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Chars="0" w:right="0" w:rightChars="0" w:firstLine="480"/>
        <w:textAlignment w:val="auto"/>
        <w:outlineLvl w:val="9"/>
        <w:rPr>
          <w:rFonts w:hint="eastAsia"/>
          <w:sz w:val="24"/>
          <w:szCs w:val="24"/>
          <w:lang w:val="en-US" w:eastAsia="zh-CN"/>
        </w:rPr>
      </w:pPr>
      <w:r>
        <w:rPr>
          <w:rFonts w:hint="eastAsia"/>
          <w:sz w:val="24"/>
          <w:szCs w:val="24"/>
          <w:lang w:val="en-US" w:eastAsia="zh-CN"/>
        </w:rPr>
        <w:t>（4）加强中青年骨干教师的培养有了高水平的专业带头人</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Chars="0" w:right="0" w:rightChars="0" w:firstLine="480"/>
        <w:textAlignment w:val="auto"/>
        <w:outlineLvl w:val="9"/>
        <w:rPr>
          <w:rFonts w:hint="eastAsia"/>
          <w:sz w:val="24"/>
          <w:szCs w:val="24"/>
          <w:lang w:val="en-US" w:eastAsia="zh-CN"/>
        </w:rPr>
      </w:pPr>
      <w:r>
        <w:rPr>
          <w:rFonts w:hint="eastAsia"/>
          <w:sz w:val="24"/>
          <w:szCs w:val="24"/>
          <w:lang w:val="en-US" w:eastAsia="zh-CN"/>
        </w:rPr>
        <w:t>为了形成合理的“团粒结构”，还必须培养一批政治业务素质高、教育教学科研经验丰富的骨干教师。学校要制订导向政策与激励机制，鼓励优秀人才脱颖而出，抓紧培养造就一大批中青年业务骨干。学校应不断深化人事制度改革，进一步健全和完善人才培养、选拔、使用、评价、流动、分配和保障机制，营造有利于中青年骨干教师健康成长的氛围。应集中优势力量，尽快形成以高水平专业带头人为领头羊、 以中青年骨干教师为中坚力量、专业学识与实践能力互补、 梯队结构合理的专业发展团队。应建立中青年骨干教师的评选、培养、支助、考核、 激励等机制。学校应加大对中青年骨干教师培养的资金投入，设立中青年骨干教师培训专项资金，并逐步提高额度。</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Chars="0" w:right="0" w:rightChars="0" w:firstLine="480"/>
        <w:textAlignment w:val="auto"/>
        <w:outlineLvl w:val="9"/>
        <w:rPr>
          <w:rFonts w:hint="eastAsia"/>
          <w:sz w:val="24"/>
          <w:szCs w:val="24"/>
          <w:lang w:val="en-US" w:eastAsia="zh-CN"/>
        </w:rPr>
      </w:pPr>
      <w:r>
        <w:rPr>
          <w:rFonts w:hint="eastAsia"/>
          <w:sz w:val="24"/>
          <w:szCs w:val="24"/>
          <w:lang w:val="en-US" w:eastAsia="zh-CN"/>
        </w:rPr>
        <w:t>（5）加强 “双师型” 教师队伍建设</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Chars="0" w:right="0" w:rightChars="0" w:firstLine="480"/>
        <w:textAlignment w:val="auto"/>
        <w:outlineLvl w:val="9"/>
        <w:rPr>
          <w:rFonts w:hint="eastAsia"/>
          <w:sz w:val="24"/>
          <w:szCs w:val="24"/>
          <w:lang w:val="en-US" w:eastAsia="zh-CN"/>
        </w:rPr>
      </w:pPr>
      <w:r>
        <w:rPr>
          <w:rFonts w:hint="eastAsia"/>
          <w:sz w:val="24"/>
          <w:szCs w:val="24"/>
          <w:lang w:val="en-US" w:eastAsia="zh-CN"/>
        </w:rPr>
        <w:t>中职教育的特殊性对教师的实践能力和企业工程经验提出了明确的要求。“双师型” 教师队伍建设是中职学校“人才强校”战略的重要内涵，也是中职学校教师队伍建设的特色所在。一方面，学校应加大从企业直接招聘技术和管理人才的力度，面向社会聘用工程技术人员和高技能人才，担任专业课教师或实习指导教师，发挥他们具有丰富企业实践经验的优势，发挥他们熟练运用行业企业现行技术标准与技术规范的优势，实现中职课程教学与行业企业实际需求之间的对接。另一方面，学校应高度重视现有专任教师的实践能力培养，建立教师定期带薪脱产培训制度，建立教师的企业实践制度，有计划分步骤地安排专业教师前往企业开展实践进修，积累工程经验，提升专业实践能力。学校可以通过政策导向，鼓励和支持教师参与产学研结合工作，不断提高科研与开发能力，提高专业实践能力。学校应加强教师企业实践进修的管理工作，科学安排进修实习计划， 减少教师实践进修的随意性和盲目性；加强过程管理，全过程、多方位地对实习教师进行考核；加强教师实践进修效果评价，组织相关专家组，通过实习报告、答辩以及操作示范等形式对教师进行评价，各项材料存入专业教师企业培训档案。</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Chars="0" w:right="0" w:rightChars="0" w:firstLine="480"/>
        <w:textAlignment w:val="auto"/>
        <w:outlineLvl w:val="9"/>
        <w:rPr>
          <w:rFonts w:hint="eastAsia"/>
          <w:sz w:val="24"/>
          <w:szCs w:val="24"/>
          <w:lang w:val="en-US" w:eastAsia="zh-CN"/>
        </w:rPr>
      </w:pPr>
      <w:r>
        <w:rPr>
          <w:rFonts w:hint="eastAsia"/>
          <w:sz w:val="24"/>
          <w:szCs w:val="24"/>
          <w:lang w:val="en-US" w:eastAsia="zh-CN"/>
        </w:rPr>
        <w:t>（6）加强兼职教师队伍建设</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Chars="0" w:right="0" w:rightChars="0" w:firstLine="480"/>
        <w:textAlignment w:val="auto"/>
        <w:outlineLvl w:val="9"/>
        <w:rPr>
          <w:rFonts w:hint="eastAsia"/>
          <w:sz w:val="24"/>
          <w:szCs w:val="24"/>
          <w:lang w:val="en-US" w:eastAsia="zh-CN"/>
        </w:rPr>
      </w:pPr>
      <w:r>
        <w:rPr>
          <w:rFonts w:hint="eastAsia"/>
          <w:sz w:val="24"/>
          <w:szCs w:val="24"/>
          <w:lang w:val="en-US" w:eastAsia="zh-CN"/>
        </w:rPr>
        <w:t>从国外的情况看，美国的社区学校、英国的技术学校、澳大利亚的TAFE学校、德国的双元制等兼职教师都占到50%~60%。对照我国中职学校的情况，兼职教师数量明显偏少。中职学校应适当扩大兼职教师数量，建立一支稳定的兼职教师队伍。一是积极、富有创造性地挖掘兼职教师资源，选择高质量的企业技术人员，建立“兼职教师库”。二是制订与劳动力市场和人才市场相适应的兼职教师聘用政策，在兼职教师的聘用待遇、时间安排等方面灵活创新，吸引更多的企业优秀技术人员来学校兼职任教。三是加强兼职教师队伍管理。在兼职教师的聘用标准上，参照 《教师资格条例》 等国家政策，坚守教师聘用的基本条件；要加强师德建设，加强兼职教师的职业道德教育，使之能够胜任教书育人工作；要建立兼职教师岗前培训制度，进行教育理论、教育心理学、教学方法等方面的培训；要加强兼职教师的教学质量管理，提高兼职教师的教学效果，确保教学质量。</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Chars="0" w:right="0" w:rightChars="0" w:firstLine="480"/>
        <w:textAlignment w:val="auto"/>
        <w:outlineLvl w:val="9"/>
        <w:rPr>
          <w:rFonts w:hint="eastAsia"/>
          <w:sz w:val="24"/>
          <w:szCs w:val="24"/>
          <w:lang w:val="en-US" w:eastAsia="zh-CN"/>
        </w:rPr>
      </w:pPr>
      <w:r>
        <w:rPr>
          <w:rFonts w:hint="eastAsia"/>
          <w:sz w:val="24"/>
          <w:szCs w:val="24"/>
          <w:lang w:val="en-US" w:eastAsia="zh-CN"/>
        </w:rPr>
        <w:t>同时制定了《教学质量管理、监控与评价体系》、《课程考核与多元评价管理规定》、《教师教学质量标准》、《主要教学环节质量标准》、《课堂仪式标准》、《学生学习质量多元评价方法》、《教学质量社会评价办法》、《课程多元考核评价方案》等规范。针对实训室教学制定了《实训室7S管理规范》，针对教师制定了《专业带头人、骨干教师培养方案》等10余个有关师资队伍建设的方案、管理办法等。</w:t>
      </w:r>
    </w:p>
    <w:p>
      <w:pPr>
        <w:pStyle w:val="2"/>
        <w:outlineLvl w:val="9"/>
        <w:rPr>
          <w:rFonts w:hint="eastAsia"/>
          <w:sz w:val="24"/>
          <w:szCs w:val="24"/>
          <w:lang w:val="en-US" w:eastAsia="zh-CN"/>
        </w:rPr>
      </w:pPr>
    </w:p>
    <w:p>
      <w:pPr>
        <w:rPr>
          <w:rFonts w:hint="eastAsia"/>
          <w:sz w:val="24"/>
          <w:szCs w:val="24"/>
          <w:lang w:val="en-US" w:eastAsia="zh-CN"/>
        </w:rPr>
      </w:pPr>
    </w:p>
    <w:p>
      <w:pPr>
        <w:pStyle w:val="2"/>
        <w:outlineLvl w:val="9"/>
        <w:rPr>
          <w:rFonts w:hint="eastAsia"/>
          <w:sz w:val="24"/>
          <w:szCs w:val="24"/>
          <w:lang w:val="en-US" w:eastAsia="zh-CN"/>
        </w:rPr>
      </w:pPr>
    </w:p>
    <w:p>
      <w:pPr>
        <w:rPr>
          <w:rFonts w:hint="eastAsia"/>
          <w:sz w:val="24"/>
          <w:szCs w:val="24"/>
          <w:lang w:val="en-US" w:eastAsia="zh-CN"/>
        </w:rPr>
      </w:pPr>
    </w:p>
    <w:p>
      <w:pPr>
        <w:pStyle w:val="2"/>
        <w:outlineLvl w:val="9"/>
        <w:rPr>
          <w:rFonts w:hint="eastAsia"/>
          <w:sz w:val="24"/>
          <w:szCs w:val="24"/>
          <w:lang w:val="en-US" w:eastAsia="zh-CN"/>
        </w:rPr>
      </w:pPr>
    </w:p>
    <w:p>
      <w:pPr>
        <w:rPr>
          <w:rFonts w:hint="eastAsia"/>
          <w:sz w:val="24"/>
          <w:szCs w:val="24"/>
          <w:lang w:val="en-US" w:eastAsia="zh-CN"/>
        </w:rPr>
      </w:pPr>
    </w:p>
    <w:p>
      <w:pPr>
        <w:pStyle w:val="2"/>
        <w:outlineLvl w:val="9"/>
        <w:rPr>
          <w:rFonts w:hint="eastAsia"/>
          <w:sz w:val="24"/>
          <w:szCs w:val="24"/>
          <w:lang w:val="en-US" w:eastAsia="zh-CN"/>
        </w:rPr>
      </w:pPr>
    </w:p>
    <w:p>
      <w:pPr>
        <w:rPr>
          <w:rFonts w:hint="eastAsia"/>
          <w:sz w:val="24"/>
          <w:szCs w:val="24"/>
          <w:lang w:val="en-US" w:eastAsia="zh-CN"/>
        </w:rPr>
      </w:pPr>
    </w:p>
    <w:p>
      <w:pPr>
        <w:pStyle w:val="2"/>
        <w:outlineLvl w:val="9"/>
        <w:rPr>
          <w:rFonts w:hint="eastAsia"/>
          <w:sz w:val="24"/>
          <w:szCs w:val="24"/>
          <w:lang w:val="en-US" w:eastAsia="zh-CN"/>
        </w:rPr>
      </w:pPr>
    </w:p>
    <w:p>
      <w:pPr>
        <w:rPr>
          <w:rFonts w:hint="eastAsia"/>
          <w:sz w:val="24"/>
          <w:szCs w:val="24"/>
          <w:lang w:val="en-US" w:eastAsia="zh-CN"/>
        </w:rPr>
      </w:pPr>
    </w:p>
    <w:p>
      <w:pPr>
        <w:pStyle w:val="2"/>
        <w:outlineLvl w:val="9"/>
        <w:rPr>
          <w:rFonts w:hint="eastAsia"/>
          <w:sz w:val="24"/>
          <w:szCs w:val="24"/>
          <w:lang w:val="en-US" w:eastAsia="zh-CN"/>
        </w:rPr>
      </w:pPr>
    </w:p>
    <w:p>
      <w:pPr>
        <w:pStyle w:val="2"/>
        <w:outlineLvl w:val="9"/>
        <w:rPr>
          <w:rFonts w:hint="eastAsia"/>
          <w:sz w:val="24"/>
          <w:szCs w:val="24"/>
          <w:lang w:val="en-US" w:eastAsia="zh-CN"/>
        </w:rPr>
      </w:pPr>
    </w:p>
    <w:p>
      <w:pPr>
        <w:rPr>
          <w:rFonts w:hint="eastAsia"/>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Chars="0" w:right="0" w:rightChars="0"/>
        <w:textAlignment w:val="auto"/>
        <w:outlineLvl w:val="9"/>
        <w:rPr>
          <w:rFonts w:hint="eastAsia"/>
          <w:b/>
          <w:bCs/>
          <w:sz w:val="32"/>
          <w:szCs w:val="32"/>
          <w:lang w:val="en-US" w:eastAsia="zh-CN"/>
        </w:rPr>
      </w:pP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Chars="0" w:right="0" w:rightChars="0"/>
        <w:textAlignment w:val="auto"/>
        <w:outlineLvl w:val="0"/>
        <w:rPr>
          <w:rFonts w:hint="eastAsia" w:ascii="黑体" w:eastAsia="黑体"/>
          <w:sz w:val="28"/>
          <w:szCs w:val="28"/>
          <w:lang w:val="en-US" w:eastAsia="zh-CN"/>
        </w:rPr>
      </w:pPr>
      <w:bookmarkStart w:id="24" w:name="_Toc13846"/>
      <w:r>
        <w:rPr>
          <w:rFonts w:hint="eastAsia"/>
          <w:b/>
          <w:bCs/>
          <w:sz w:val="32"/>
          <w:szCs w:val="32"/>
          <w:lang w:val="en-US" w:eastAsia="zh-CN"/>
        </w:rPr>
        <w:t>七、特色创新</w:t>
      </w:r>
      <w:bookmarkEnd w:id="24"/>
    </w:p>
    <w:p>
      <w:pPr>
        <w:jc w:val="center"/>
        <w:outlineLvl w:val="1"/>
        <w:rPr>
          <w:rFonts w:hint="eastAsia" w:ascii="微软雅黑" w:hAnsi="微软雅黑" w:eastAsia="微软雅黑" w:cs="微软雅黑"/>
          <w:b/>
          <w:bCs/>
          <w:sz w:val="32"/>
          <w:szCs w:val="32"/>
          <w:lang w:val="en-US" w:eastAsia="zh-CN"/>
        </w:rPr>
      </w:pPr>
      <w:bookmarkStart w:id="25" w:name="_Toc24671"/>
      <w:r>
        <w:rPr>
          <w:rFonts w:hint="eastAsia" w:ascii="微软雅黑" w:hAnsi="微软雅黑" w:eastAsia="微软雅黑" w:cs="微软雅黑"/>
          <w:b/>
          <w:bCs/>
          <w:sz w:val="32"/>
          <w:szCs w:val="32"/>
          <w:lang w:val="en-US" w:eastAsia="zh-CN"/>
        </w:rPr>
        <w:t>三园共建推动中职创新创业教育模式的探索</w:t>
      </w:r>
      <w:bookmarkEnd w:id="25"/>
    </w:p>
    <w:p>
      <w:pPr>
        <w:pStyle w:val="2"/>
        <w:keepNext/>
        <w:keepLines/>
        <w:pageBreakBefore w:val="0"/>
        <w:widowControl w:val="0"/>
        <w:kinsoku/>
        <w:wordWrap/>
        <w:overflowPunct/>
        <w:topLinePunct w:val="0"/>
        <w:autoSpaceDE/>
        <w:autoSpaceDN/>
        <w:bidi w:val="0"/>
        <w:adjustRightInd/>
        <w:snapToGrid/>
        <w:spacing w:before="0" w:after="0" w:line="460" w:lineRule="exact"/>
        <w:textAlignment w:val="auto"/>
        <w:outlineLvl w:val="9"/>
        <w:rPr>
          <w:rFonts w:hint="eastAsia"/>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313" w:beforeLines="100" w:line="460" w:lineRule="exact"/>
        <w:ind w:firstLine="560" w:firstLineChars="200"/>
        <w:textAlignment w:val="auto"/>
        <w:outlineLvl w:val="1"/>
        <w:rPr>
          <w:rFonts w:hint="eastAsia" w:ascii="微软雅黑" w:hAnsi="微软雅黑" w:eastAsia="微软雅黑" w:cs="微软雅黑"/>
          <w:b/>
          <w:bCs/>
          <w:sz w:val="28"/>
          <w:szCs w:val="28"/>
          <w:lang w:val="en-US" w:eastAsia="zh-CN"/>
        </w:rPr>
      </w:pPr>
      <w:bookmarkStart w:id="26" w:name="_Toc4726"/>
      <w:r>
        <w:rPr>
          <w:rFonts w:hint="eastAsia" w:ascii="微软雅黑" w:hAnsi="微软雅黑" w:eastAsia="微软雅黑" w:cs="微软雅黑"/>
          <w:b/>
          <w:bCs/>
          <w:sz w:val="28"/>
          <w:szCs w:val="28"/>
          <w:lang w:val="en-US" w:eastAsia="zh-CN"/>
        </w:rPr>
        <w:t>一、背景与问题</w:t>
      </w:r>
      <w:bookmarkEnd w:id="26"/>
    </w:p>
    <w:p>
      <w:pPr>
        <w:keepNext w:val="0"/>
        <w:keepLines w:val="0"/>
        <w:pageBreakBefore w:val="0"/>
        <w:widowControl w:val="0"/>
        <w:kinsoku/>
        <w:wordWrap/>
        <w:overflowPunct/>
        <w:topLinePunct w:val="0"/>
        <w:autoSpaceDE/>
        <w:autoSpaceDN/>
        <w:bidi w:val="0"/>
        <w:adjustRightInd/>
        <w:snapToGrid/>
        <w:spacing w:line="460" w:lineRule="exact"/>
        <w:ind w:firstLine="471" w:firstLineChars="196"/>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lang w:eastAsia="zh-CN"/>
        </w:rPr>
        <w:t>（</w:t>
      </w:r>
      <w:r>
        <w:rPr>
          <w:rFonts w:hint="eastAsia" w:ascii="微软雅黑" w:hAnsi="微软雅黑" w:eastAsia="微软雅黑" w:cs="微软雅黑"/>
          <w:b/>
          <w:bCs/>
          <w:sz w:val="24"/>
          <w:szCs w:val="24"/>
          <w:lang w:val="en-US" w:eastAsia="zh-CN"/>
        </w:rPr>
        <w:t>一</w:t>
      </w:r>
      <w:r>
        <w:rPr>
          <w:rFonts w:hint="eastAsia" w:ascii="微软雅黑" w:hAnsi="微软雅黑" w:eastAsia="微软雅黑" w:cs="微软雅黑"/>
          <w:b/>
          <w:bCs/>
          <w:sz w:val="24"/>
          <w:szCs w:val="24"/>
          <w:lang w:eastAsia="zh-CN"/>
        </w:rPr>
        <w:t>）</w:t>
      </w:r>
      <w:r>
        <w:rPr>
          <w:rFonts w:hint="eastAsia" w:ascii="微软雅黑" w:hAnsi="微软雅黑" w:eastAsia="微软雅黑" w:cs="微软雅黑"/>
          <w:b/>
          <w:bCs/>
          <w:sz w:val="24"/>
          <w:szCs w:val="24"/>
        </w:rPr>
        <w:t>时代的需要</w:t>
      </w:r>
    </w:p>
    <w:p>
      <w:pPr>
        <w:keepNext w:val="0"/>
        <w:keepLines w:val="0"/>
        <w:pageBreakBefore w:val="0"/>
        <w:widowControl w:val="0"/>
        <w:kinsoku/>
        <w:wordWrap/>
        <w:overflowPunct/>
        <w:topLinePunct w:val="0"/>
        <w:autoSpaceDE/>
        <w:autoSpaceDN/>
        <w:bidi w:val="0"/>
        <w:adjustRightInd/>
        <w:snapToGrid/>
        <w:spacing w:line="460" w:lineRule="exact"/>
        <w:textAlignment w:val="auto"/>
        <w:rPr>
          <w:color w:val="auto"/>
          <w:sz w:val="24"/>
          <w:szCs w:val="24"/>
        </w:rPr>
      </w:pPr>
      <w:r>
        <w:rPr>
          <w:rFonts w:hint="eastAsia" w:ascii="仿宋" w:hAnsi="仿宋" w:eastAsia="仿宋" w:cs="仿宋"/>
          <w:sz w:val="24"/>
          <w:szCs w:val="24"/>
        </w:rPr>
        <w:t xml:space="preserve">    创新创业能力被联合国教科文组织（UNESCO）视为继学术能力、职业能力后的第三种能力。党和国家领导人多次强调创新创业之于国家发展、民族复兴的重要意义。教育部和各省市根据国家“大众创业，万众创新”的总体布局，出台一系列指导性文件</w:t>
      </w:r>
      <w:r>
        <w:rPr>
          <w:rFonts w:hint="eastAsia" w:ascii="仿宋" w:hAnsi="仿宋" w:eastAsia="仿宋" w:cs="仿宋"/>
          <w:color w:val="auto"/>
          <w:sz w:val="24"/>
          <w:szCs w:val="24"/>
          <w:lang w:val="en-US" w:eastAsia="zh-CN"/>
        </w:rPr>
        <w:t>均提</w:t>
      </w:r>
      <w:r>
        <w:rPr>
          <w:rFonts w:hint="eastAsia" w:ascii="仿宋" w:hAnsi="仿宋" w:eastAsia="仿宋" w:cs="仿宋"/>
          <w:color w:val="auto"/>
          <w:sz w:val="24"/>
          <w:szCs w:val="24"/>
        </w:rPr>
        <w:t>出</w:t>
      </w:r>
      <w:r>
        <w:rPr>
          <w:rFonts w:hint="eastAsia" w:ascii="仿宋" w:hAnsi="仿宋" w:eastAsia="仿宋" w:cs="仿宋"/>
          <w:color w:val="auto"/>
          <w:sz w:val="24"/>
          <w:szCs w:val="24"/>
          <w:lang w:val="en-US" w:eastAsia="zh-CN"/>
        </w:rPr>
        <w:t>培育中职生创新创业的重要性。</w:t>
      </w:r>
    </w:p>
    <w:p>
      <w:pPr>
        <w:keepNext w:val="0"/>
        <w:keepLines w:val="0"/>
        <w:pageBreakBefore w:val="0"/>
        <w:widowControl w:val="0"/>
        <w:kinsoku/>
        <w:wordWrap/>
        <w:overflowPunct/>
        <w:topLinePunct w:val="0"/>
        <w:autoSpaceDE/>
        <w:autoSpaceDN/>
        <w:bidi w:val="0"/>
        <w:adjustRightInd/>
        <w:snapToGrid/>
        <w:spacing w:line="460" w:lineRule="exact"/>
        <w:ind w:firstLine="471" w:firstLineChars="196"/>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lang w:eastAsia="zh-CN"/>
        </w:rPr>
        <w:t>（</w:t>
      </w:r>
      <w:r>
        <w:rPr>
          <w:rFonts w:hint="eastAsia" w:ascii="微软雅黑" w:hAnsi="微软雅黑" w:eastAsia="微软雅黑" w:cs="微软雅黑"/>
          <w:b/>
          <w:bCs/>
          <w:sz w:val="24"/>
          <w:szCs w:val="24"/>
          <w:lang w:val="en-US" w:eastAsia="zh-CN"/>
        </w:rPr>
        <w:t>二</w:t>
      </w:r>
      <w:r>
        <w:rPr>
          <w:rFonts w:hint="eastAsia" w:ascii="微软雅黑" w:hAnsi="微软雅黑" w:eastAsia="微软雅黑" w:cs="微软雅黑"/>
          <w:b/>
          <w:bCs/>
          <w:sz w:val="24"/>
          <w:szCs w:val="24"/>
          <w:lang w:eastAsia="zh-CN"/>
        </w:rPr>
        <w:t>）</w:t>
      </w:r>
      <w:r>
        <w:rPr>
          <w:rFonts w:hint="eastAsia" w:ascii="微软雅黑" w:hAnsi="微软雅黑" w:eastAsia="微软雅黑" w:cs="微软雅黑"/>
          <w:b/>
          <w:bCs/>
          <w:sz w:val="24"/>
          <w:szCs w:val="24"/>
        </w:rPr>
        <w:t>中职教育人才培养的需要</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积极开展创新创业教育是时代对中职教育人才培养的</w:t>
      </w:r>
      <w:r>
        <w:rPr>
          <w:rFonts w:hint="eastAsia" w:ascii="仿宋" w:hAnsi="仿宋" w:eastAsia="仿宋" w:cs="仿宋"/>
          <w:sz w:val="24"/>
          <w:szCs w:val="24"/>
          <w:lang w:val="en-US" w:eastAsia="zh-CN"/>
        </w:rPr>
        <w:t>需要</w:t>
      </w:r>
      <w:r>
        <w:rPr>
          <w:rFonts w:hint="eastAsia" w:ascii="仿宋" w:hAnsi="仿宋" w:eastAsia="仿宋" w:cs="仿宋"/>
          <w:sz w:val="24"/>
          <w:szCs w:val="24"/>
        </w:rPr>
        <w:t>，然而目前中职学校普遍存在以下问题：一是对创新创业的认识存在偏差；二是创新创业的基本知识缺乏、技能较弱；三是中职学生创新创业转化率低。这就要求中职学校应将创新创业教育融入到专业人才培养的目标规格中，落实到专业人才培养方案中，贯穿专业人才培养的全过程</w:t>
      </w:r>
      <w:r>
        <w:rPr>
          <w:rFonts w:hint="eastAsia" w:ascii="仿宋" w:hAnsi="仿宋" w:eastAsia="仿宋" w:cs="仿宋"/>
          <w:sz w:val="24"/>
          <w:szCs w:val="24"/>
          <w:lang w:eastAsia="zh-CN"/>
        </w:rPr>
        <w:t>。</w:t>
      </w:r>
    </w:p>
    <w:p>
      <w:pPr>
        <w:keepNext w:val="0"/>
        <w:keepLines w:val="0"/>
        <w:pageBreakBefore w:val="0"/>
        <w:widowControl w:val="0"/>
        <w:kinsoku/>
        <w:wordWrap/>
        <w:overflowPunct/>
        <w:topLinePunct w:val="0"/>
        <w:autoSpaceDE/>
        <w:autoSpaceDN/>
        <w:bidi w:val="0"/>
        <w:adjustRightInd/>
        <w:snapToGrid/>
        <w:spacing w:line="460" w:lineRule="exact"/>
        <w:ind w:firstLine="471" w:firstLineChars="196"/>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lang w:eastAsia="zh-CN"/>
        </w:rPr>
        <w:t>（</w:t>
      </w:r>
      <w:r>
        <w:rPr>
          <w:rFonts w:hint="eastAsia" w:ascii="微软雅黑" w:hAnsi="微软雅黑" w:eastAsia="微软雅黑" w:cs="微软雅黑"/>
          <w:b/>
          <w:bCs/>
          <w:sz w:val="24"/>
          <w:szCs w:val="24"/>
          <w:lang w:val="en-US" w:eastAsia="zh-CN"/>
        </w:rPr>
        <w:t>三</w:t>
      </w:r>
      <w:r>
        <w:rPr>
          <w:rFonts w:hint="eastAsia" w:ascii="微软雅黑" w:hAnsi="微软雅黑" w:eastAsia="微软雅黑" w:cs="微软雅黑"/>
          <w:b/>
          <w:bCs/>
          <w:sz w:val="24"/>
          <w:szCs w:val="24"/>
          <w:lang w:eastAsia="zh-CN"/>
        </w:rPr>
        <w:t>）</w:t>
      </w:r>
      <w:r>
        <w:rPr>
          <w:rFonts w:hint="eastAsia" w:ascii="微软雅黑" w:hAnsi="微软雅黑" w:eastAsia="微软雅黑" w:cs="微软雅黑"/>
          <w:b/>
          <w:bCs/>
          <w:sz w:val="24"/>
          <w:szCs w:val="24"/>
          <w:lang w:val="en-US" w:eastAsia="zh-CN"/>
        </w:rPr>
        <w:t>学校</w:t>
      </w:r>
      <w:r>
        <w:rPr>
          <w:rFonts w:hint="eastAsia" w:ascii="微软雅黑" w:hAnsi="微软雅黑" w:eastAsia="微软雅黑" w:cs="微软雅黑"/>
          <w:b/>
          <w:bCs/>
          <w:sz w:val="24"/>
          <w:szCs w:val="24"/>
        </w:rPr>
        <w:t>创新创业人才培养实施的迫切要求</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2017年全省各专业名师先后开展专业教学问诊发现</w:t>
      </w:r>
      <w:r>
        <w:rPr>
          <w:rFonts w:hint="eastAsia" w:ascii="仿宋" w:hAnsi="仿宋" w:eastAsia="仿宋" w:cs="仿宋"/>
          <w:sz w:val="24"/>
          <w:szCs w:val="24"/>
          <w:lang w:eastAsia="zh-CN"/>
        </w:rPr>
        <w:t>，</w:t>
      </w:r>
      <w:r>
        <w:rPr>
          <w:rFonts w:hint="eastAsia" w:ascii="仿宋" w:hAnsi="仿宋" w:eastAsia="仿宋" w:cs="仿宋"/>
          <w:sz w:val="24"/>
          <w:szCs w:val="24"/>
        </w:rPr>
        <w:t>学校在教育教学过程中，创新创业教育文化认识缺失，创新创业教育课程体系不完备，创新创业教育的环境支持不足</w:t>
      </w:r>
      <w:r>
        <w:rPr>
          <w:rFonts w:hint="eastAsia" w:ascii="仿宋" w:hAnsi="仿宋" w:eastAsia="仿宋" w:cs="仿宋"/>
          <w:sz w:val="24"/>
          <w:szCs w:val="24"/>
          <w:lang w:eastAsia="zh-CN"/>
        </w:rPr>
        <w:t>，</w:t>
      </w:r>
      <w:r>
        <w:rPr>
          <w:rFonts w:hint="eastAsia" w:ascii="仿宋" w:hAnsi="仿宋" w:eastAsia="仿宋" w:cs="仿宋"/>
          <w:sz w:val="24"/>
          <w:szCs w:val="24"/>
        </w:rPr>
        <w:t>不利于学校创新创业人才的培养。</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sz w:val="24"/>
          <w:szCs w:val="24"/>
        </w:rPr>
      </w:pPr>
      <w:r>
        <w:rPr>
          <w:rFonts w:hint="eastAsia" w:ascii="仿宋" w:hAnsi="仿宋" w:eastAsia="仿宋" w:cs="仿宋"/>
          <w:color w:val="000000" w:themeColor="text1"/>
          <w:sz w:val="24"/>
          <w:szCs w:val="24"/>
          <w14:textFill>
            <w14:solidFill>
              <w14:schemeClr w14:val="tx1"/>
            </w14:solidFill>
          </w14:textFill>
        </w:rPr>
        <w:t>由此</w:t>
      </w:r>
      <w:r>
        <w:rPr>
          <w:rFonts w:hint="eastAsia" w:ascii="仿宋" w:hAnsi="仿宋" w:eastAsia="仿宋" w:cs="仿宋"/>
          <w:sz w:val="24"/>
          <w:szCs w:val="24"/>
        </w:rPr>
        <w:t>学校遵循产业发展和专业布局</w:t>
      </w:r>
      <w:r>
        <w:rPr>
          <w:rFonts w:hint="eastAsia" w:ascii="仿宋" w:hAnsi="仿宋" w:eastAsia="仿宋" w:cs="仿宋"/>
          <w:sz w:val="24"/>
          <w:szCs w:val="24"/>
          <w:lang w:eastAsia="zh-CN"/>
        </w:rPr>
        <w:t>，</w:t>
      </w:r>
      <w:r>
        <w:rPr>
          <w:rFonts w:hint="eastAsia" w:ascii="仿宋" w:hAnsi="仿宋" w:eastAsia="仿宋" w:cs="仿宋"/>
          <w:sz w:val="24"/>
          <w:szCs w:val="24"/>
        </w:rPr>
        <w:t>根据自身发展</w:t>
      </w:r>
      <w:r>
        <w:rPr>
          <w:rFonts w:hint="eastAsia" w:ascii="仿宋" w:hAnsi="仿宋" w:eastAsia="仿宋" w:cs="仿宋"/>
          <w:sz w:val="24"/>
          <w:szCs w:val="24"/>
          <w:lang w:val="en-US" w:eastAsia="zh-CN"/>
        </w:rPr>
        <w:t>特点</w:t>
      </w:r>
      <w:r>
        <w:rPr>
          <w:rFonts w:hint="eastAsia" w:ascii="仿宋" w:hAnsi="仿宋" w:eastAsia="仿宋" w:cs="仿宋"/>
          <w:sz w:val="24"/>
          <w:szCs w:val="24"/>
        </w:rPr>
        <w:t>，将创新创业教育与专业教学相融合，</w:t>
      </w:r>
      <w:r>
        <w:rPr>
          <w:rFonts w:hint="eastAsia" w:ascii="仿宋" w:hAnsi="仿宋" w:eastAsia="仿宋" w:cs="仿宋"/>
          <w:sz w:val="24"/>
          <w:szCs w:val="24"/>
          <w:lang w:val="en-US" w:eastAsia="zh-CN"/>
        </w:rPr>
        <w:t>创建实践平台，</w:t>
      </w:r>
      <w:r>
        <w:rPr>
          <w:rFonts w:hint="eastAsia" w:ascii="仿宋" w:hAnsi="仿宋" w:eastAsia="仿宋" w:cs="仿宋"/>
          <w:sz w:val="24"/>
          <w:szCs w:val="24"/>
        </w:rPr>
        <w:t>探索适合县域中职学校创新创业教育的模式并形成学校特色。</w:t>
      </w:r>
    </w:p>
    <w:p>
      <w:pPr>
        <w:keepNext w:val="0"/>
        <w:keepLines w:val="0"/>
        <w:pageBreakBefore w:val="0"/>
        <w:widowControl w:val="0"/>
        <w:kinsoku/>
        <w:wordWrap/>
        <w:overflowPunct/>
        <w:topLinePunct w:val="0"/>
        <w:autoSpaceDE/>
        <w:autoSpaceDN/>
        <w:bidi w:val="0"/>
        <w:adjustRightInd/>
        <w:snapToGrid/>
        <w:spacing w:before="157" w:beforeLines="50" w:line="460" w:lineRule="exact"/>
        <w:ind w:firstLine="560" w:firstLineChars="200"/>
        <w:textAlignment w:val="auto"/>
        <w:outlineLvl w:val="1"/>
        <w:rPr>
          <w:rFonts w:hint="eastAsia" w:ascii="微软雅黑" w:hAnsi="微软雅黑" w:eastAsia="微软雅黑" w:cs="微软雅黑"/>
          <w:b/>
          <w:bCs/>
          <w:sz w:val="28"/>
          <w:szCs w:val="28"/>
          <w:lang w:val="en-US" w:eastAsia="zh-CN"/>
        </w:rPr>
      </w:pPr>
      <w:bookmarkStart w:id="27" w:name="_Toc8648"/>
      <w:r>
        <w:rPr>
          <w:rFonts w:hint="eastAsia" w:ascii="微软雅黑" w:hAnsi="微软雅黑" w:eastAsia="微软雅黑" w:cs="微软雅黑"/>
          <w:b/>
          <w:bCs/>
          <w:sz w:val="28"/>
          <w:szCs w:val="28"/>
          <w:lang w:val="en-US" w:eastAsia="zh-CN"/>
        </w:rPr>
        <w:t>二、措施与做法</w:t>
      </w:r>
      <w:bookmarkEnd w:id="27"/>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微软雅黑" w:hAnsi="微软雅黑" w:eastAsia="微软雅黑" w:cs="微软雅黑"/>
          <w:b/>
          <w:bCs/>
          <w:sz w:val="24"/>
          <w:szCs w:val="24"/>
        </w:rPr>
      </w:pPr>
      <w:r>
        <w:rPr>
          <w:rFonts w:ascii="仿宋" w:hAnsi="仿宋" w:eastAsia="仿宋" w:cs="仿宋"/>
          <w:sz w:val="24"/>
          <w:shd w:val="clear" w:color="auto" w:fill="FFFFFF"/>
        </w:rPr>
        <w:t xml:space="preserve"> </w:t>
      </w:r>
      <w:r>
        <w:rPr>
          <w:rFonts w:ascii="仿宋" w:hAnsi="仿宋" w:eastAsia="仿宋" w:cs="仿宋"/>
          <w:color w:val="auto"/>
          <w:sz w:val="24"/>
        </w:rPr>
        <w:t xml:space="preserve"> </w:t>
      </w:r>
      <w:r>
        <w:rPr>
          <w:rFonts w:hint="eastAsia" w:ascii="微软雅黑" w:hAnsi="微软雅黑" w:eastAsia="微软雅黑" w:cs="微软雅黑"/>
          <w:b/>
          <w:bCs/>
          <w:sz w:val="24"/>
          <w:szCs w:val="24"/>
        </w:rPr>
        <w:t>（一）构建三园创新创业教育实践平台</w:t>
      </w:r>
    </w:p>
    <w:p>
      <w:pPr>
        <w:keepNext w:val="0"/>
        <w:keepLines w:val="0"/>
        <w:pageBreakBefore w:val="0"/>
        <w:widowControl w:val="0"/>
        <w:kinsoku/>
        <w:wordWrap/>
        <w:overflowPunct/>
        <w:topLinePunct w:val="0"/>
        <w:autoSpaceDE/>
        <w:autoSpaceDN/>
        <w:bidi w:val="0"/>
        <w:adjustRightInd/>
        <w:snapToGrid/>
        <w:spacing w:line="460" w:lineRule="exact"/>
        <w:ind w:left="482"/>
        <w:textAlignment w:val="auto"/>
        <w:rPr>
          <w:rFonts w:hint="eastAsia" w:ascii="楷体" w:hAnsi="楷体" w:eastAsia="楷体" w:cs="楷体"/>
          <w:b/>
          <w:bCs/>
          <w:sz w:val="24"/>
        </w:rPr>
      </w:pPr>
      <w:r>
        <w:rPr>
          <w:rFonts w:hint="eastAsia" w:ascii="楷体" w:hAnsi="楷体" w:eastAsia="楷体" w:cs="楷体"/>
          <w:b/>
          <w:bCs/>
          <w:sz w:val="24"/>
        </w:rPr>
        <w:t>1</w:t>
      </w:r>
      <w:r>
        <w:rPr>
          <w:rFonts w:ascii="楷体" w:hAnsi="楷体" w:eastAsia="楷体" w:cs="楷体"/>
          <w:b/>
          <w:bCs/>
          <w:sz w:val="24"/>
        </w:rPr>
        <w:t>.</w:t>
      </w:r>
      <w:r>
        <w:rPr>
          <w:rFonts w:hint="eastAsia" w:ascii="楷体" w:hAnsi="楷体" w:eastAsia="楷体" w:cs="楷体"/>
          <w:b/>
          <w:bCs/>
          <w:sz w:val="24"/>
        </w:rPr>
        <w:t>三园平台的内涵</w:t>
      </w:r>
    </w:p>
    <w:p>
      <w:pPr>
        <w:pStyle w:val="4"/>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ascii="仿宋" w:hAnsi="仿宋" w:eastAsia="仿宋" w:cs="仿宋"/>
          <w:color w:val="auto"/>
          <w:sz w:val="24"/>
          <w:lang w:eastAsia="zh-CN"/>
        </w:rPr>
      </w:pPr>
      <w:r>
        <w:rPr>
          <w:rFonts w:hint="eastAsia" w:ascii="仿宋" w:hAnsi="仿宋" w:eastAsia="仿宋" w:cs="仿宋"/>
          <w:color w:val="auto"/>
          <w:sz w:val="24"/>
        </w:rPr>
        <w:t>学</w:t>
      </w:r>
      <w:r>
        <w:rPr>
          <w:rFonts w:hint="eastAsia" w:ascii="仿宋" w:hAnsi="仿宋" w:eastAsia="仿宋" w:cs="仿宋"/>
          <w:color w:val="auto"/>
          <w:sz w:val="24"/>
          <w:lang w:val="en-US" w:eastAsia="zh-CN"/>
        </w:rPr>
        <w:t>校</w:t>
      </w:r>
      <w:r>
        <w:rPr>
          <w:rFonts w:hint="eastAsia" w:ascii="仿宋" w:hAnsi="仿宋" w:eastAsia="仿宋" w:cs="仿宋"/>
          <w:color w:val="auto"/>
          <w:sz w:val="24"/>
        </w:rPr>
        <w:t>根据</w:t>
      </w:r>
      <w:r>
        <w:rPr>
          <w:rFonts w:hint="eastAsia" w:ascii="仿宋" w:hAnsi="仿宋" w:eastAsia="仿宋" w:cs="仿宋"/>
          <w:color w:val="auto"/>
          <w:sz w:val="24"/>
          <w:lang w:val="en-US" w:eastAsia="zh-CN"/>
        </w:rPr>
        <w:t>县域</w:t>
      </w:r>
      <w:r>
        <w:rPr>
          <w:rFonts w:hint="eastAsia" w:ascii="仿宋" w:hAnsi="仿宋" w:eastAsia="仿宋" w:cs="仿宋"/>
          <w:color w:val="auto"/>
          <w:sz w:val="24"/>
        </w:rPr>
        <w:t>地方产业经济特点，把十三</w:t>
      </w:r>
      <w:r>
        <w:rPr>
          <w:rFonts w:hint="eastAsia" w:ascii="仿宋" w:hAnsi="仿宋" w:eastAsia="仿宋" w:cs="仿宋"/>
          <w:color w:val="auto"/>
          <w:sz w:val="24"/>
          <w:lang w:val="en-US" w:eastAsia="zh-CN"/>
        </w:rPr>
        <w:t>个</w:t>
      </w:r>
      <w:r>
        <w:rPr>
          <w:rFonts w:hint="eastAsia" w:ascii="仿宋" w:hAnsi="仿宋" w:eastAsia="仿宋" w:cs="仿宋"/>
          <w:color w:val="auto"/>
          <w:sz w:val="24"/>
        </w:rPr>
        <w:t>专业划分为艺术类、商贸服务类和制造类三大专业群，对应</w:t>
      </w:r>
      <w:r>
        <w:rPr>
          <w:rFonts w:hint="eastAsia" w:ascii="仿宋" w:hAnsi="仿宋" w:eastAsia="仿宋" w:cs="仿宋"/>
          <w:color w:val="auto"/>
          <w:sz w:val="24"/>
          <w:lang w:val="en-US" w:eastAsia="zh-CN"/>
        </w:rPr>
        <w:t>县域</w:t>
      </w:r>
      <w:r>
        <w:rPr>
          <w:rFonts w:hint="eastAsia" w:ascii="仿宋" w:hAnsi="仿宋" w:eastAsia="仿宋" w:cs="仿宋"/>
          <w:color w:val="auto"/>
          <w:sz w:val="24"/>
        </w:rPr>
        <w:t>水晶（绗缝）、电子商务和挂锁三个主体产业</w:t>
      </w:r>
      <w:r>
        <w:rPr>
          <w:rFonts w:hint="eastAsia" w:ascii="仿宋" w:hAnsi="仿宋" w:eastAsia="仿宋" w:cs="仿宋"/>
          <w:color w:val="auto"/>
          <w:sz w:val="24"/>
          <w:lang w:eastAsia="zh-CN"/>
        </w:rPr>
        <w:t>，</w:t>
      </w:r>
      <w:r>
        <w:rPr>
          <w:rFonts w:hint="eastAsia" w:ascii="仿宋" w:hAnsi="仿宋" w:eastAsia="仿宋" w:cs="仿宋"/>
          <w:color w:val="auto"/>
          <w:sz w:val="24"/>
        </w:rPr>
        <w:t>建立实践教学硬件场所和实践教学项目，为服务地方企业开展实务运作。三园平台是指学校艺术类</w:t>
      </w:r>
      <w:r>
        <w:rPr>
          <w:rFonts w:hint="eastAsia" w:ascii="仿宋" w:hAnsi="仿宋" w:eastAsia="仿宋" w:cs="仿宋"/>
          <w:color w:val="auto"/>
          <w:sz w:val="24"/>
          <w:lang w:val="en-US" w:eastAsia="zh-CN"/>
        </w:rPr>
        <w:t>的文创园</w:t>
      </w:r>
      <w:r>
        <w:rPr>
          <w:rFonts w:hint="eastAsia" w:ascii="仿宋" w:hAnsi="仿宋" w:eastAsia="仿宋" w:cs="仿宋"/>
          <w:color w:val="auto"/>
          <w:sz w:val="24"/>
        </w:rPr>
        <w:t>、制造类</w:t>
      </w:r>
      <w:r>
        <w:rPr>
          <w:rFonts w:hint="eastAsia" w:ascii="仿宋" w:hAnsi="仿宋" w:eastAsia="仿宋" w:cs="仿宋"/>
          <w:color w:val="auto"/>
          <w:sz w:val="24"/>
          <w:lang w:val="en-US" w:eastAsia="zh-CN"/>
        </w:rPr>
        <w:t>的</w:t>
      </w:r>
      <w:r>
        <w:rPr>
          <w:rFonts w:hint="eastAsia" w:ascii="仿宋" w:hAnsi="仿宋" w:eastAsia="仿宋" w:cs="仿宋"/>
          <w:color w:val="auto"/>
          <w:sz w:val="24"/>
        </w:rPr>
        <w:t>制创园、商贸服务类</w:t>
      </w:r>
      <w:r>
        <w:rPr>
          <w:rFonts w:hint="eastAsia" w:ascii="仿宋" w:hAnsi="仿宋" w:eastAsia="仿宋" w:cs="仿宋"/>
          <w:color w:val="auto"/>
          <w:sz w:val="24"/>
          <w:lang w:val="en-US" w:eastAsia="zh-CN"/>
        </w:rPr>
        <w:t>的</w:t>
      </w:r>
      <w:r>
        <w:rPr>
          <w:rFonts w:hint="eastAsia" w:ascii="仿宋" w:hAnsi="仿宋" w:eastAsia="仿宋" w:cs="仿宋"/>
          <w:color w:val="auto"/>
          <w:sz w:val="24"/>
        </w:rPr>
        <w:t>商创园，各园对接地方产业。</w:t>
      </w: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如表1所示</w:t>
      </w:r>
      <w:r>
        <w:rPr>
          <w:rFonts w:hint="eastAsia" w:ascii="仿宋" w:hAnsi="仿宋" w:eastAsia="仿宋" w:cs="仿宋"/>
          <w:color w:val="auto"/>
          <w:sz w:val="24"/>
          <w:lang w:eastAsia="zh-CN"/>
        </w:rPr>
        <w:t>）</w:t>
      </w:r>
    </w:p>
    <w:p>
      <w:pPr>
        <w:pStyle w:val="4"/>
        <w:jc w:val="center"/>
        <w:rPr>
          <w:rFonts w:hint="eastAsia" w:ascii="Times New Roman" w:hAnsi="Times New Roman" w:eastAsia="仿宋_GB2312" w:cs="Times New Roman"/>
          <w:color w:val="auto"/>
          <w:sz w:val="24"/>
        </w:rPr>
      </w:pPr>
      <w:r>
        <w:t xml:space="preserve">表 </w:t>
      </w:r>
      <w:r>
        <w:rPr>
          <w:rFonts w:hint="eastAsia"/>
          <w:lang w:val="en-US" w:eastAsia="zh-CN"/>
        </w:rPr>
        <w:t>1 三园构建规划表</w:t>
      </w:r>
    </w:p>
    <w:p>
      <w:pPr>
        <w:pStyle w:val="4"/>
        <w:jc w:val="center"/>
      </w:pPr>
      <w:r>
        <w:rPr>
          <w:rFonts w:hint="eastAsia" w:ascii="Times New Roman" w:hAnsi="Times New Roman" w:eastAsia="仿宋_GB2312" w:cs="Times New Roman"/>
          <w:color w:val="auto"/>
          <w:sz w:val="24"/>
        </w:rPr>
        <w:drawing>
          <wp:anchor distT="0" distB="0" distL="114300" distR="114300" simplePos="0" relativeHeight="251659264" behindDoc="0" locked="0" layoutInCell="1" allowOverlap="1">
            <wp:simplePos x="0" y="0"/>
            <wp:positionH relativeFrom="column">
              <wp:posOffset>855345</wp:posOffset>
            </wp:positionH>
            <wp:positionV relativeFrom="paragraph">
              <wp:posOffset>46355</wp:posOffset>
            </wp:positionV>
            <wp:extent cx="3571240" cy="2839720"/>
            <wp:effectExtent l="0" t="0" r="10160" b="17780"/>
            <wp:wrapTopAndBottom/>
            <wp:docPr id="1" name="图片 1" descr="C:\Users\潘\Desktop\结题报告\图形\图形原件\三园.png三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潘\Desktop\结题报告\图形\图形原件\三园.png三园"/>
                    <pic:cNvPicPr>
                      <a:picLocks noChangeAspect="1"/>
                    </pic:cNvPicPr>
                  </pic:nvPicPr>
                  <pic:blipFill>
                    <a:blip r:embed="rId5"/>
                    <a:srcRect/>
                    <a:stretch>
                      <a:fillRect/>
                    </a:stretch>
                  </pic:blipFill>
                  <pic:spPr>
                    <a:xfrm>
                      <a:off x="0" y="0"/>
                      <a:ext cx="3571240" cy="283972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仿宋" w:hAnsi="仿宋" w:eastAsia="仿宋" w:cs="仿宋"/>
          <w:color w:val="auto"/>
          <w:sz w:val="24"/>
        </w:rPr>
      </w:pPr>
      <w:r>
        <w:rPr>
          <w:rFonts w:hint="eastAsia" w:ascii="楷体" w:hAnsi="楷体" w:eastAsia="楷体" w:cs="楷体"/>
          <w:b/>
          <w:bCs/>
          <w:color w:val="auto"/>
          <w:sz w:val="24"/>
        </w:rPr>
        <w:t>文创园</w:t>
      </w:r>
      <w:r>
        <w:rPr>
          <w:rFonts w:hint="eastAsia" w:ascii="仿宋" w:hAnsi="仿宋" w:eastAsia="仿宋" w:cs="仿宋"/>
          <w:color w:val="auto"/>
          <w:sz w:val="24"/>
        </w:rPr>
        <w:t>依托地方绗缝和水晶产业，</w:t>
      </w:r>
      <w:r>
        <w:rPr>
          <w:rFonts w:hint="eastAsia" w:ascii="仿宋" w:hAnsi="仿宋" w:eastAsia="仿宋" w:cs="仿宋"/>
          <w:color w:val="auto"/>
          <w:sz w:val="24"/>
          <w:lang w:eastAsia="zh-CN"/>
        </w:rPr>
        <w:t>联动</w:t>
      </w:r>
      <w:r>
        <w:rPr>
          <w:rFonts w:hint="eastAsia" w:ascii="仿宋" w:hAnsi="仿宋" w:eastAsia="仿宋" w:cs="仿宋"/>
          <w:color w:val="auto"/>
          <w:sz w:val="24"/>
        </w:rPr>
        <w:t>政、行、企、校四方</w:t>
      </w:r>
      <w:r>
        <w:rPr>
          <w:rFonts w:hint="eastAsia" w:ascii="仿宋" w:hAnsi="仿宋" w:eastAsia="仿宋" w:cs="仿宋"/>
          <w:color w:val="auto"/>
          <w:sz w:val="24"/>
          <w:lang w:eastAsia="zh-CN"/>
        </w:rPr>
        <w:t>建设</w:t>
      </w:r>
      <w:r>
        <w:rPr>
          <w:rFonts w:hint="eastAsia" w:ascii="仿宋" w:hAnsi="仿宋" w:eastAsia="仿宋" w:cs="仿宋"/>
          <w:color w:val="auto"/>
          <w:sz w:val="24"/>
        </w:rPr>
        <w:t>以培养学生文化创意为主要内容的创新创业教育、服务、实践综合体</w:t>
      </w:r>
      <w:r>
        <w:rPr>
          <w:rFonts w:hint="eastAsia" w:ascii="仿宋" w:hAnsi="仿宋" w:eastAsia="仿宋" w:cs="仿宋"/>
          <w:color w:val="auto"/>
          <w:sz w:val="24"/>
          <w:lang w:eastAsia="zh-CN"/>
        </w:rPr>
        <w:t>，以</w:t>
      </w:r>
      <w:r>
        <w:rPr>
          <w:rFonts w:hint="eastAsia" w:ascii="仿宋" w:hAnsi="仿宋" w:eastAsia="仿宋" w:cs="仿宋"/>
          <w:color w:val="auto"/>
          <w:sz w:val="24"/>
        </w:rPr>
        <w:t>培养校园创意产品和学生创业者为宗旨并致力于孵化出优质成果。</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仿宋" w:hAnsi="仿宋" w:eastAsia="仿宋" w:cs="仿宋"/>
          <w:color w:val="auto"/>
          <w:sz w:val="24"/>
        </w:rPr>
      </w:pPr>
      <w:r>
        <w:rPr>
          <w:rFonts w:hint="eastAsia" w:ascii="楷体" w:hAnsi="楷体" w:eastAsia="楷体" w:cs="楷体"/>
          <w:b/>
          <w:bCs/>
          <w:color w:val="auto"/>
          <w:sz w:val="24"/>
        </w:rPr>
        <w:t>制创园</w:t>
      </w:r>
      <w:r>
        <w:rPr>
          <w:rFonts w:hint="eastAsia" w:ascii="仿宋" w:hAnsi="仿宋" w:eastAsia="仿宋" w:cs="仿宋"/>
          <w:color w:val="auto"/>
          <w:sz w:val="24"/>
        </w:rPr>
        <w:t>以培养学生创新为主要内容、培养校园创新创业产品和学生创业者为宗旨</w:t>
      </w:r>
      <w:r>
        <w:rPr>
          <w:rFonts w:hint="eastAsia" w:ascii="仿宋" w:hAnsi="仿宋" w:eastAsia="仿宋" w:cs="仿宋"/>
          <w:color w:val="auto"/>
          <w:sz w:val="24"/>
          <w:lang w:eastAsia="zh-CN"/>
        </w:rPr>
        <w:t>，</w:t>
      </w:r>
      <w:r>
        <w:rPr>
          <w:rFonts w:hint="eastAsia" w:ascii="仿宋" w:hAnsi="仿宋" w:eastAsia="仿宋" w:cs="仿宋"/>
          <w:color w:val="auto"/>
          <w:sz w:val="24"/>
        </w:rPr>
        <w:t>通过以赛促创的方式致力于孵化出优质成果的创新创业教育、服务、实践综合体。</w:t>
      </w:r>
    </w:p>
    <w:p>
      <w:pPr>
        <w:pStyle w:val="4"/>
        <w:keepNext w:val="0"/>
        <w:keepLines w:val="0"/>
        <w:pageBreakBefore w:val="0"/>
        <w:widowControl w:val="0"/>
        <w:kinsoku/>
        <w:wordWrap/>
        <w:overflowPunct/>
        <w:topLinePunct w:val="0"/>
        <w:autoSpaceDE/>
        <w:autoSpaceDN/>
        <w:bidi w:val="0"/>
        <w:adjustRightInd/>
        <w:snapToGrid/>
        <w:spacing w:line="440" w:lineRule="exact"/>
        <w:ind w:firstLine="482" w:firstLineChars="200"/>
        <w:jc w:val="left"/>
        <w:textAlignment w:val="auto"/>
        <w:rPr>
          <w:rFonts w:hint="eastAsia" w:ascii="Times New Roman" w:hAnsi="Times New Roman" w:eastAsia="仿宋_GB2312" w:cs="Times New Roman"/>
          <w:color w:val="auto"/>
          <w:sz w:val="24"/>
        </w:rPr>
      </w:pPr>
      <w:r>
        <w:rPr>
          <w:rFonts w:hint="eastAsia" w:ascii="楷体" w:hAnsi="楷体" w:eastAsia="楷体" w:cs="楷体"/>
          <w:b/>
          <w:bCs/>
          <w:color w:val="auto"/>
          <w:sz w:val="24"/>
        </w:rPr>
        <w:t>商创园</w:t>
      </w:r>
      <w:r>
        <w:rPr>
          <w:rFonts w:hint="eastAsia" w:ascii="仿宋" w:hAnsi="仿宋" w:eastAsia="仿宋" w:cs="仿宋"/>
          <w:color w:val="auto"/>
          <w:sz w:val="24"/>
        </w:rPr>
        <w:t>以培养学生推广运营为主要内容、</w:t>
      </w:r>
      <w:r>
        <w:rPr>
          <w:rFonts w:hint="eastAsia" w:ascii="仿宋" w:hAnsi="仿宋" w:eastAsia="仿宋" w:cs="仿宋"/>
          <w:color w:val="auto"/>
          <w:sz w:val="24"/>
          <w:lang w:eastAsia="zh-CN"/>
        </w:rPr>
        <w:t>以</w:t>
      </w:r>
      <w:r>
        <w:rPr>
          <w:rFonts w:hint="eastAsia" w:ascii="仿宋" w:hAnsi="仿宋" w:eastAsia="仿宋" w:cs="仿宋"/>
          <w:color w:val="auto"/>
          <w:sz w:val="24"/>
        </w:rPr>
        <w:t>培养校园创新创业产品和学生创业者为宗旨</w:t>
      </w:r>
      <w:r>
        <w:rPr>
          <w:rFonts w:hint="eastAsia" w:ascii="仿宋" w:hAnsi="仿宋" w:eastAsia="仿宋" w:cs="仿宋"/>
          <w:color w:val="auto"/>
          <w:sz w:val="24"/>
          <w:lang w:eastAsia="zh-CN"/>
        </w:rPr>
        <w:t>，</w:t>
      </w:r>
      <w:r>
        <w:rPr>
          <w:rFonts w:hint="eastAsia" w:ascii="仿宋" w:hAnsi="仿宋" w:eastAsia="仿宋" w:cs="仿宋"/>
          <w:color w:val="auto"/>
          <w:sz w:val="24"/>
        </w:rPr>
        <w:t>通过为地方企业实行电商代运营</w:t>
      </w:r>
      <w:r>
        <w:rPr>
          <w:rFonts w:hint="eastAsia" w:ascii="仿宋" w:hAnsi="仿宋" w:eastAsia="仿宋" w:cs="仿宋"/>
          <w:color w:val="auto"/>
          <w:sz w:val="24"/>
          <w:lang w:eastAsia="zh-CN"/>
        </w:rPr>
        <w:t>的</w:t>
      </w:r>
      <w:r>
        <w:rPr>
          <w:rFonts w:hint="eastAsia" w:ascii="仿宋" w:hAnsi="仿宋" w:eastAsia="仿宋" w:cs="仿宋"/>
          <w:color w:val="auto"/>
          <w:sz w:val="24"/>
        </w:rPr>
        <w:t>方式，致力于孵化出优质成果的创新创业教育、服务、实践综合体。</w:t>
      </w:r>
    </w:p>
    <w:p>
      <w:pPr>
        <w:keepNext w:val="0"/>
        <w:keepLines w:val="0"/>
        <w:pageBreakBefore w:val="0"/>
        <w:widowControl w:val="0"/>
        <w:kinsoku/>
        <w:wordWrap/>
        <w:overflowPunct/>
        <w:topLinePunct w:val="0"/>
        <w:autoSpaceDE/>
        <w:autoSpaceDN/>
        <w:bidi w:val="0"/>
        <w:adjustRightInd/>
        <w:snapToGrid/>
        <w:spacing w:line="440" w:lineRule="exact"/>
        <w:ind w:left="482"/>
        <w:textAlignment w:val="auto"/>
        <w:rPr>
          <w:rFonts w:hint="eastAsia" w:ascii="楷体" w:hAnsi="楷体" w:eastAsia="楷体" w:cs="楷体"/>
          <w:color w:val="auto"/>
          <w:sz w:val="24"/>
        </w:rPr>
      </w:pPr>
      <w:r>
        <w:rPr>
          <w:rFonts w:hint="eastAsia" w:ascii="楷体" w:hAnsi="楷体" w:eastAsia="楷体" w:cs="楷体"/>
          <w:b/>
          <w:bCs/>
          <w:sz w:val="24"/>
        </w:rPr>
        <w:t>2.三园平台创设</w:t>
      </w:r>
    </w:p>
    <w:p>
      <w:pPr>
        <w:pStyle w:val="4"/>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color w:val="auto"/>
          <w:sz w:val="24"/>
        </w:rPr>
        <w:t>因专业群特色不一</w:t>
      </w:r>
      <w:r>
        <w:rPr>
          <w:rFonts w:hint="eastAsia" w:ascii="仿宋" w:hAnsi="仿宋" w:eastAsia="仿宋" w:cs="仿宋"/>
          <w:color w:val="auto"/>
          <w:sz w:val="24"/>
          <w:lang w:eastAsia="zh-CN"/>
        </w:rPr>
        <w:t>，</w:t>
      </w:r>
      <w:r>
        <w:rPr>
          <w:rFonts w:hint="eastAsia" w:ascii="仿宋" w:hAnsi="仿宋" w:eastAsia="仿宋" w:cs="仿宋"/>
          <w:color w:val="auto"/>
          <w:sz w:val="24"/>
        </w:rPr>
        <w:t>内部环境创设会稍微有些差异，但都基本包含以下功能区：</w:t>
      </w:r>
      <w:r>
        <w:rPr>
          <w:rFonts w:hint="eastAsia" w:ascii="仿宋" w:hAnsi="仿宋" w:eastAsia="仿宋" w:cs="仿宋"/>
          <w:b/>
          <w:bCs/>
          <w:color w:val="000000" w:themeColor="text1"/>
          <w:sz w:val="24"/>
          <w14:textFill>
            <w14:solidFill>
              <w14:schemeClr w14:val="tx1"/>
            </w14:solidFill>
          </w14:textFill>
        </w:rPr>
        <w:t>服务区、展示区、研讨区、实训区、实践区。</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仿宋" w:hAnsi="仿宋" w:eastAsia="仿宋" w:cs="仿宋"/>
          <w:color w:val="auto"/>
          <w:sz w:val="24"/>
          <w:lang w:eastAsia="zh-CN"/>
        </w:rPr>
      </w:pPr>
      <w:r>
        <w:rPr>
          <w:rFonts w:hint="eastAsia" w:ascii="仿宋" w:hAnsi="仿宋" w:eastAsia="仿宋" w:cs="仿宋"/>
          <w:b/>
          <w:bCs/>
          <w:color w:val="000000" w:themeColor="text1"/>
          <w:sz w:val="24"/>
          <w14:textFill>
            <w14:solidFill>
              <w14:schemeClr w14:val="tx1"/>
            </w14:solidFill>
          </w14:textFill>
        </w:rPr>
        <w:t>服务区：</w:t>
      </w:r>
      <w:r>
        <w:rPr>
          <w:rFonts w:hint="eastAsia" w:ascii="仿宋" w:hAnsi="仿宋" w:eastAsia="仿宋" w:cs="仿宋"/>
          <w:color w:val="auto"/>
          <w:sz w:val="24"/>
        </w:rPr>
        <w:t>在技能导师工作室内设置一块服务区，创业导师对园中的创新创业教育实践活动进行指导、引领、服务和管理</w:t>
      </w:r>
      <w:r>
        <w:rPr>
          <w:rFonts w:hint="eastAsia" w:ascii="仿宋" w:hAnsi="仿宋" w:eastAsia="仿宋" w:cs="仿宋"/>
          <w:color w:val="auto"/>
          <w:sz w:val="24"/>
          <w:lang w:eastAsia="zh-CN"/>
        </w:rPr>
        <w:t>。</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展示区</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auto"/>
          <w:sz w:val="24"/>
        </w:rPr>
        <w:t>各园的展示区分别设在实训区、实践区和技能大师工作室</w:t>
      </w:r>
      <w:r>
        <w:rPr>
          <w:rFonts w:hint="eastAsia" w:ascii="仿宋" w:hAnsi="仿宋" w:eastAsia="仿宋" w:cs="仿宋"/>
          <w:color w:val="auto"/>
          <w:sz w:val="24"/>
          <w:lang w:val="en-US" w:eastAsia="zh-CN"/>
        </w:rPr>
        <w:t>分别</w:t>
      </w:r>
      <w:r>
        <w:rPr>
          <w:rFonts w:hint="eastAsia" w:ascii="仿宋" w:hAnsi="仿宋" w:eastAsia="仿宋" w:cs="仿宋"/>
          <w:color w:val="auto"/>
          <w:sz w:val="24"/>
        </w:rPr>
        <w:t>展示学生作品</w:t>
      </w:r>
      <w:r>
        <w:rPr>
          <w:rFonts w:hint="eastAsia" w:ascii="仿宋" w:hAnsi="仿宋" w:eastAsia="仿宋" w:cs="仿宋"/>
          <w:color w:val="auto"/>
          <w:sz w:val="24"/>
          <w:lang w:eastAsia="zh-CN"/>
        </w:rPr>
        <w:t>、</w:t>
      </w:r>
      <w:r>
        <w:rPr>
          <w:rFonts w:hint="eastAsia" w:ascii="仿宋" w:hAnsi="仿宋" w:eastAsia="仿宋" w:cs="仿宋"/>
          <w:color w:val="auto"/>
          <w:sz w:val="24"/>
        </w:rPr>
        <w:t>大师作品</w:t>
      </w:r>
      <w:r>
        <w:rPr>
          <w:rFonts w:hint="eastAsia" w:ascii="仿宋" w:hAnsi="仿宋" w:eastAsia="仿宋" w:cs="仿宋"/>
          <w:color w:val="auto"/>
          <w:sz w:val="24"/>
          <w:lang w:eastAsia="zh-CN"/>
        </w:rPr>
        <w:t>、</w:t>
      </w:r>
      <w:r>
        <w:rPr>
          <w:rFonts w:hint="eastAsia" w:ascii="仿宋" w:hAnsi="仿宋" w:eastAsia="仿宋" w:cs="仿宋"/>
          <w:color w:val="auto"/>
          <w:sz w:val="24"/>
        </w:rPr>
        <w:t>展示孵化项目作品。</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仿宋" w:hAnsi="仿宋" w:eastAsia="仿宋" w:cs="仿宋"/>
          <w:color w:val="auto"/>
          <w:sz w:val="24"/>
        </w:rPr>
      </w:pPr>
      <w:r>
        <w:rPr>
          <w:rFonts w:hint="eastAsia" w:ascii="仿宋" w:hAnsi="仿宋" w:eastAsia="仿宋" w:cs="仿宋"/>
          <w:b/>
          <w:bCs/>
          <w:color w:val="000000" w:themeColor="text1"/>
          <w:sz w:val="24"/>
          <w14:textFill>
            <w14:solidFill>
              <w14:schemeClr w14:val="tx1"/>
            </w14:solidFill>
          </w14:textFill>
        </w:rPr>
        <w:t>研讨区：</w:t>
      </w:r>
      <w:r>
        <w:rPr>
          <w:rFonts w:hint="eastAsia" w:ascii="仿宋" w:hAnsi="仿宋" w:eastAsia="仿宋" w:cs="仿宋"/>
          <w:color w:val="auto"/>
          <w:sz w:val="24"/>
        </w:rPr>
        <w:t>各园有一个多媒体教室专门用于开展创新创业理论授课、论坛和创新创业研讨。教室内可以张贴创业创新相关的宣传标语。</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仿宋" w:hAnsi="仿宋" w:eastAsia="仿宋" w:cs="仿宋"/>
          <w:color w:val="auto"/>
          <w:sz w:val="24"/>
        </w:rPr>
      </w:pPr>
      <w:r>
        <w:rPr>
          <w:rFonts w:hint="eastAsia" w:ascii="仿宋" w:hAnsi="仿宋" w:eastAsia="仿宋" w:cs="仿宋"/>
          <w:b/>
          <w:bCs/>
          <w:color w:val="000000" w:themeColor="text1"/>
          <w:sz w:val="24"/>
          <w14:textFill>
            <w14:solidFill>
              <w14:schemeClr w14:val="tx1"/>
            </w14:solidFill>
          </w14:textFill>
        </w:rPr>
        <w:t>实训区：</w:t>
      </w:r>
      <w:r>
        <w:rPr>
          <w:rFonts w:hint="eastAsia" w:ascii="仿宋" w:hAnsi="仿宋" w:eastAsia="仿宋" w:cs="仿宋"/>
          <w:color w:val="auto"/>
          <w:sz w:val="24"/>
          <w:lang w:eastAsia="zh-CN"/>
        </w:rPr>
        <w:t>实训区</w:t>
      </w:r>
      <w:r>
        <w:rPr>
          <w:rFonts w:hint="eastAsia" w:ascii="仿宋" w:hAnsi="仿宋" w:eastAsia="仿宋" w:cs="仿宋"/>
          <w:color w:val="auto"/>
          <w:sz w:val="24"/>
        </w:rPr>
        <w:t>主要</w:t>
      </w:r>
      <w:r>
        <w:rPr>
          <w:rFonts w:hint="eastAsia" w:ascii="仿宋" w:hAnsi="仿宋" w:eastAsia="仿宋" w:cs="仿宋"/>
          <w:color w:val="auto"/>
          <w:sz w:val="24"/>
          <w:lang w:eastAsia="zh-CN"/>
        </w:rPr>
        <w:t>设置</w:t>
      </w:r>
      <w:r>
        <w:rPr>
          <w:rFonts w:hint="eastAsia" w:ascii="仿宋" w:hAnsi="仿宋" w:eastAsia="仿宋" w:cs="仿宋"/>
          <w:color w:val="auto"/>
          <w:sz w:val="24"/>
        </w:rPr>
        <w:t>在技能导师工作室及其配套实训室内。</w:t>
      </w:r>
    </w:p>
    <w:p>
      <w:pPr>
        <w:pStyle w:val="4"/>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实践区：</w:t>
      </w:r>
      <w:r>
        <w:rPr>
          <w:rFonts w:hint="eastAsia" w:ascii="仿宋" w:hAnsi="仿宋" w:eastAsia="仿宋" w:cs="仿宋"/>
          <w:color w:val="auto"/>
          <w:w w:val="100"/>
          <w:sz w:val="24"/>
        </w:rPr>
        <w:t>各园设有一个创新创业工作室，</w:t>
      </w:r>
      <w:r>
        <w:rPr>
          <w:rFonts w:hint="eastAsia" w:ascii="仿宋" w:hAnsi="仿宋" w:eastAsia="仿宋" w:cs="仿宋"/>
          <w:color w:val="auto"/>
          <w:w w:val="90"/>
          <w:sz w:val="24"/>
        </w:rPr>
        <w:t>用于学校师生创业项目</w:t>
      </w:r>
      <w:r>
        <w:rPr>
          <w:rFonts w:hint="eastAsia" w:ascii="仿宋" w:hAnsi="仿宋" w:eastAsia="仿宋" w:cs="仿宋"/>
          <w:color w:val="auto"/>
          <w:w w:val="90"/>
          <w:sz w:val="24"/>
          <w:lang w:val="en-US" w:eastAsia="zh-CN"/>
        </w:rPr>
        <w:t>孵化</w:t>
      </w:r>
      <w:r>
        <w:rPr>
          <w:rFonts w:hint="eastAsia" w:ascii="仿宋" w:hAnsi="仿宋" w:eastAsia="仿宋" w:cs="仿宋"/>
          <w:color w:val="auto"/>
          <w:w w:val="90"/>
          <w:sz w:val="24"/>
        </w:rPr>
        <w:t>平台</w:t>
      </w:r>
      <w:r>
        <w:rPr>
          <w:rFonts w:hint="eastAsia" w:ascii="仿宋" w:hAnsi="仿宋" w:eastAsia="仿宋" w:cs="仿宋"/>
          <w:color w:val="auto"/>
          <w:w w:val="100"/>
          <w:sz w:val="24"/>
          <w:lang w:eastAsia="zh-CN"/>
        </w:rPr>
        <w:t>。</w:t>
      </w:r>
      <w:r>
        <w:rPr>
          <w:rFonts w:hint="eastAsia" w:ascii="仿宋" w:hAnsi="仿宋" w:eastAsia="仿宋" w:cs="仿宋"/>
          <w:b/>
          <w:bCs/>
          <w:color w:val="000000" w:themeColor="text1"/>
          <w:sz w:val="24"/>
          <w14:textFill>
            <w14:solidFill>
              <w14:schemeClr w14:val="tx1"/>
            </w14:solidFill>
          </w14:textFill>
        </w:rPr>
        <w:t>（</w:t>
      </w:r>
      <w:r>
        <w:rPr>
          <w:rFonts w:hint="eastAsia" w:ascii="仿宋" w:hAnsi="仿宋" w:eastAsia="仿宋" w:cs="仿宋"/>
          <w:b/>
          <w:bCs/>
          <w:color w:val="000000" w:themeColor="text1"/>
          <w:sz w:val="24"/>
          <w:szCs w:val="24"/>
          <w:lang w:val="en-US" w:eastAsia="zh-CN"/>
          <w14:textFill>
            <w14:solidFill>
              <w14:schemeClr w14:val="tx1"/>
            </w14:solidFill>
          </w14:textFill>
        </w:rPr>
        <w:t>见</w:t>
      </w:r>
      <w:r>
        <w:rPr>
          <w:rFonts w:hint="eastAsia" w:ascii="仿宋" w:hAnsi="仿宋" w:eastAsia="仿宋" w:cs="仿宋"/>
          <w:b/>
          <w:bCs/>
          <w:color w:val="000000" w:themeColor="text1"/>
          <w:sz w:val="24"/>
          <w:szCs w:val="24"/>
          <w:lang w:val="en-US" w:eastAsia="zh-CN"/>
          <w14:textFill>
            <w14:solidFill>
              <w14:schemeClr w14:val="tx1"/>
            </w14:solidFill>
          </w14:textFill>
        </w:rPr>
        <w:fldChar w:fldCharType="begin"/>
      </w:r>
      <w:r>
        <w:rPr>
          <w:rFonts w:hint="eastAsia" w:ascii="仿宋" w:hAnsi="仿宋" w:eastAsia="仿宋" w:cs="仿宋"/>
          <w:b/>
          <w:bCs/>
          <w:color w:val="000000" w:themeColor="text1"/>
          <w:sz w:val="24"/>
          <w:szCs w:val="24"/>
          <w:lang w:val="en-US" w:eastAsia="zh-CN"/>
          <w14:textFill>
            <w14:solidFill>
              <w14:schemeClr w14:val="tx1"/>
            </w14:solidFill>
          </w14:textFill>
        </w:rPr>
        <w:instrText xml:space="preserve"> REF _Ref32437 </w:instrText>
      </w:r>
      <w:r>
        <w:rPr>
          <w:rFonts w:hint="eastAsia" w:ascii="仿宋" w:hAnsi="仿宋" w:eastAsia="仿宋" w:cs="仿宋"/>
          <w:b/>
          <w:bCs/>
          <w:color w:val="000000" w:themeColor="text1"/>
          <w:sz w:val="24"/>
          <w:szCs w:val="24"/>
          <w:lang w:val="en-US" w:eastAsia="zh-CN"/>
          <w14:textFill>
            <w14:solidFill>
              <w14:schemeClr w14:val="tx1"/>
            </w14:solidFill>
          </w14:textFill>
        </w:rPr>
        <w:fldChar w:fldCharType="separate"/>
      </w:r>
      <w:r>
        <w:rPr>
          <w:sz w:val="24"/>
          <w:szCs w:val="24"/>
        </w:rPr>
        <w:t xml:space="preserve">图 </w:t>
      </w:r>
      <w:r>
        <w:rPr>
          <w:rFonts w:hint="eastAsia"/>
          <w:sz w:val="24"/>
          <w:szCs w:val="24"/>
          <w:lang w:val="en-US" w:eastAsia="zh-CN"/>
        </w:rPr>
        <w:t>1</w:t>
      </w:r>
      <w:r>
        <w:rPr>
          <w:rFonts w:hint="eastAsia" w:ascii="仿宋" w:hAnsi="仿宋" w:eastAsia="仿宋" w:cs="仿宋"/>
          <w:b/>
          <w:bCs/>
          <w:color w:val="000000" w:themeColor="text1"/>
          <w:sz w:val="24"/>
          <w:szCs w:val="24"/>
          <w:lang w:val="en-US" w:eastAsia="zh-CN"/>
          <w14:textFill>
            <w14:solidFill>
              <w14:schemeClr w14:val="tx1"/>
            </w14:solidFill>
          </w14:textFill>
        </w:rPr>
        <w:fldChar w:fldCharType="end"/>
      </w:r>
      <w:r>
        <w:rPr>
          <w:rFonts w:hint="eastAsia" w:ascii="仿宋" w:hAnsi="仿宋" w:eastAsia="仿宋" w:cs="仿宋"/>
          <w:b/>
          <w:bCs/>
          <w:color w:val="000000" w:themeColor="text1"/>
          <w:sz w:val="24"/>
          <w14:textFill>
            <w14:solidFill>
              <w14:schemeClr w14:val="tx1"/>
            </w14:solidFill>
          </w14:textFill>
        </w:rPr>
        <w:t>）</w:t>
      </w:r>
    </w:p>
    <w:p>
      <w:pPr>
        <w:pStyle w:val="2"/>
        <w:jc w:val="center"/>
        <w:outlineLvl w:val="9"/>
        <w:rPr>
          <w:rFonts w:hint="eastAsia" w:ascii="仿宋" w:hAnsi="仿宋" w:eastAsia="仿宋" w:cs="仿宋"/>
          <w:b/>
          <w:bCs/>
          <w:color w:val="000000" w:themeColor="text1"/>
          <w:sz w:val="24"/>
          <w:lang w:eastAsia="zh-CN"/>
          <w14:textFill>
            <w14:solidFill>
              <w14:schemeClr w14:val="tx1"/>
            </w14:solidFill>
          </w14:textFill>
        </w:rPr>
      </w:pPr>
      <w:bookmarkStart w:id="28" w:name="_Toc6593"/>
      <w:r>
        <w:rPr>
          <w:rFonts w:hint="eastAsia" w:ascii="仿宋" w:hAnsi="仿宋" w:eastAsia="仿宋" w:cs="仿宋"/>
          <w:b/>
          <w:bCs/>
          <w:color w:val="000000" w:themeColor="text1"/>
          <w:sz w:val="24"/>
          <w:lang w:eastAsia="zh-CN"/>
          <w14:textFill>
            <w14:solidFill>
              <w14:schemeClr w14:val="tx1"/>
            </w14:solidFill>
          </w14:textFill>
        </w:rPr>
        <w:drawing>
          <wp:inline distT="0" distB="0" distL="114300" distR="114300">
            <wp:extent cx="3871595" cy="2265680"/>
            <wp:effectExtent l="0" t="0" r="14605" b="1270"/>
            <wp:docPr id="3" name="图片 3" descr="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2"/>
                    <pic:cNvPicPr>
                      <a:picLocks noChangeAspect="1"/>
                    </pic:cNvPicPr>
                  </pic:nvPicPr>
                  <pic:blipFill>
                    <a:blip r:embed="rId6"/>
                    <a:stretch>
                      <a:fillRect/>
                    </a:stretch>
                  </pic:blipFill>
                  <pic:spPr>
                    <a:xfrm>
                      <a:off x="0" y="0"/>
                      <a:ext cx="3871595" cy="2265680"/>
                    </a:xfrm>
                    <a:prstGeom prst="rect">
                      <a:avLst/>
                    </a:prstGeom>
                  </pic:spPr>
                </pic:pic>
              </a:graphicData>
            </a:graphic>
          </wp:inline>
        </w:drawing>
      </w:r>
      <w:bookmarkEnd w:id="28"/>
    </w:p>
    <w:p>
      <w:pPr>
        <w:pStyle w:val="4"/>
        <w:jc w:val="center"/>
        <w:rPr>
          <w:rFonts w:hint="default" w:eastAsia="黑体"/>
          <w:lang w:val="en-US" w:eastAsia="zh-CN"/>
        </w:rPr>
      </w:pPr>
      <w:r>
        <w:t xml:space="preserve">图 </w:t>
      </w:r>
      <w:r>
        <w:rPr>
          <w:rFonts w:hint="eastAsia"/>
          <w:lang w:val="en-US" w:eastAsia="zh-CN"/>
        </w:rPr>
        <w:t>1 三园功能区</w:t>
      </w:r>
    </w:p>
    <w:p>
      <w:pPr>
        <w:pStyle w:val="3"/>
        <w:keepNext/>
        <w:keepLines/>
        <w:pageBreakBefore w:val="0"/>
        <w:widowControl w:val="0"/>
        <w:numPr>
          <w:ilvl w:val="0"/>
          <w:numId w:val="9"/>
        </w:numPr>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rPr>
      </w:pPr>
      <w:r>
        <w:rPr>
          <w:rFonts w:hint="eastAsia" w:ascii="微软雅黑" w:hAnsi="微软雅黑" w:eastAsia="微软雅黑" w:cs="微软雅黑"/>
        </w:rPr>
        <w:t>三园创新创业教育平台的四阶运行模式</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Times New Roman" w:hAnsi="Times New Roman" w:eastAsia="仿宋_GB2312" w:cs="Times New Roman"/>
          <w:color w:val="auto"/>
          <w:sz w:val="24"/>
        </w:rPr>
      </w:pPr>
      <w:r>
        <w:rPr>
          <w:rFonts w:hint="eastAsia" w:ascii="仿宋" w:hAnsi="仿宋" w:eastAsia="仿宋" w:cs="仿宋"/>
          <w:color w:val="auto"/>
          <w:sz w:val="24"/>
        </w:rPr>
        <w:t>依靠三园平台和载体，以创新创业教育成长规律为依据，创建递进的“四阶”（意识阶段、知识阶段、能力阶段、孵化阶段）创新创业教育实践运行</w:t>
      </w:r>
      <w:r>
        <w:rPr>
          <w:rFonts w:hint="eastAsia" w:ascii="仿宋" w:hAnsi="仿宋" w:eastAsia="仿宋" w:cs="仿宋"/>
          <w:color w:val="auto"/>
          <w:sz w:val="24"/>
          <w:lang w:eastAsia="zh-CN"/>
        </w:rPr>
        <w:t>模式</w:t>
      </w:r>
      <w:r>
        <w:rPr>
          <w:rFonts w:hint="eastAsia" w:ascii="仿宋" w:hAnsi="仿宋" w:eastAsia="仿宋" w:cs="仿宋"/>
          <w:color w:val="auto"/>
          <w:sz w:val="24"/>
        </w:rPr>
        <w:t>。</w:t>
      </w:r>
      <w:r>
        <w:rPr>
          <w:rFonts w:hint="eastAsia" w:ascii="Times New Roman" w:hAnsi="Times New Roman" w:eastAsia="仿宋_GB2312" w:cs="Times New Roman"/>
          <w:color w:val="auto"/>
          <w:sz w:val="24"/>
        </w:rPr>
        <w:t>（见</w:t>
      </w:r>
      <w:r>
        <w:rPr>
          <w:rFonts w:hint="eastAsia" w:ascii="Times New Roman" w:hAnsi="Times New Roman" w:eastAsia="仿宋_GB2312" w:cs="Times New Roman"/>
          <w:color w:val="auto"/>
          <w:sz w:val="24"/>
          <w:lang w:eastAsia="zh-CN"/>
        </w:rPr>
        <w:fldChar w:fldCharType="begin"/>
      </w:r>
      <w:r>
        <w:rPr>
          <w:rFonts w:hint="eastAsia" w:ascii="Times New Roman" w:hAnsi="Times New Roman" w:eastAsia="仿宋_GB2312" w:cs="Times New Roman"/>
          <w:color w:val="auto"/>
          <w:sz w:val="24"/>
          <w:lang w:eastAsia="zh-CN"/>
        </w:rPr>
        <w:instrText xml:space="preserve"> REF _Ref149 </w:instrText>
      </w:r>
      <w:r>
        <w:rPr>
          <w:rFonts w:hint="eastAsia" w:ascii="Times New Roman" w:hAnsi="Times New Roman" w:eastAsia="仿宋_GB2312" w:cs="Times New Roman"/>
          <w:color w:val="auto"/>
          <w:sz w:val="24"/>
          <w:lang w:eastAsia="zh-CN"/>
        </w:rPr>
        <w:fldChar w:fldCharType="separate"/>
      </w:r>
      <w:r>
        <w:rPr>
          <w:rFonts w:hint="eastAsia" w:ascii="Times New Roman" w:hAnsi="Times New Roman" w:eastAsia="仿宋_GB2312" w:cs="Times New Roman"/>
          <w:color w:val="auto"/>
          <w:sz w:val="24"/>
        </w:rPr>
        <w:t xml:space="preserve">图 </w:t>
      </w:r>
      <w:r>
        <w:rPr>
          <w:rFonts w:hint="eastAsia" w:ascii="Times New Roman" w:hAnsi="Times New Roman" w:eastAsia="仿宋_GB2312" w:cs="Times New Roman"/>
          <w:color w:val="auto"/>
          <w:sz w:val="24"/>
          <w:lang w:val="en-US" w:eastAsia="zh-CN"/>
        </w:rPr>
        <w:t>2</w:t>
      </w:r>
      <w:r>
        <w:rPr>
          <w:rFonts w:hint="eastAsia" w:ascii="Times New Roman" w:hAnsi="Times New Roman" w:eastAsia="仿宋_GB2312" w:cs="Times New Roman"/>
          <w:color w:val="auto"/>
          <w:sz w:val="24"/>
          <w:lang w:eastAsia="zh-CN"/>
        </w:rPr>
        <w:fldChar w:fldCharType="end"/>
      </w:r>
      <w:r>
        <w:rPr>
          <w:rFonts w:hint="eastAsia" w:ascii="Times New Roman" w:hAnsi="Times New Roman" w:eastAsia="仿宋_GB2312" w:cs="Times New Roman"/>
          <w:color w:val="auto"/>
          <w:sz w:val="24"/>
        </w:rPr>
        <w:t>）</w:t>
      </w:r>
    </w:p>
    <w:p>
      <w:pPr>
        <w:numPr>
          <w:ilvl w:val="0"/>
          <w:numId w:val="0"/>
        </w:numPr>
        <w:rPr>
          <w:rFonts w:hint="eastAsia" w:eastAsia="仿宋_GB2312"/>
          <w:lang w:eastAsia="zh-CN"/>
        </w:rPr>
      </w:pPr>
      <w:r>
        <w:rPr>
          <w:rFonts w:hint="eastAsia" w:eastAsia="仿宋_GB2312"/>
          <w:lang w:eastAsia="zh-CN"/>
        </w:rPr>
        <w:drawing>
          <wp:inline distT="0" distB="0" distL="114300" distR="114300">
            <wp:extent cx="5267960" cy="3190240"/>
            <wp:effectExtent l="0" t="0" r="8890" b="10160"/>
            <wp:docPr id="6" name="图片 6" descr="三园模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三园模型"/>
                    <pic:cNvPicPr>
                      <a:picLocks noChangeAspect="1"/>
                    </pic:cNvPicPr>
                  </pic:nvPicPr>
                  <pic:blipFill>
                    <a:blip r:embed="rId7"/>
                    <a:stretch>
                      <a:fillRect/>
                    </a:stretch>
                  </pic:blipFill>
                  <pic:spPr>
                    <a:xfrm>
                      <a:off x="0" y="0"/>
                      <a:ext cx="5267960" cy="3190240"/>
                    </a:xfrm>
                    <a:prstGeom prst="rect">
                      <a:avLst/>
                    </a:prstGeom>
                  </pic:spPr>
                </pic:pic>
              </a:graphicData>
            </a:graphic>
          </wp:inline>
        </w:drawing>
      </w:r>
    </w:p>
    <w:p>
      <w:pPr>
        <w:pStyle w:val="4"/>
        <w:jc w:val="center"/>
        <w:rPr>
          <w:rFonts w:hint="eastAsia" w:eastAsia="黑体"/>
          <w:lang w:val="en-US" w:eastAsia="zh-CN"/>
        </w:rPr>
      </w:pPr>
      <w:r>
        <w:t xml:space="preserve">图 </w:t>
      </w:r>
      <w:r>
        <w:rPr>
          <w:rFonts w:hint="eastAsia"/>
          <w:lang w:val="en-US" w:eastAsia="zh-CN"/>
        </w:rPr>
        <w:t xml:space="preserve">2 </w:t>
      </w:r>
      <w:r>
        <w:rPr>
          <w:rFonts w:hint="eastAsia"/>
          <w:b w:val="0"/>
          <w:bCs w:val="0"/>
        </w:rPr>
        <w:t>三园创新创业教育平台的四阶运行模式</w:t>
      </w:r>
    </w:p>
    <w:p>
      <w:pPr>
        <w:spacing w:line="312" w:lineRule="auto"/>
        <w:ind w:firstLine="420" w:firstLineChars="200"/>
        <w:rPr>
          <w:rFonts w:hint="eastAsia"/>
          <w:lang w:val="en-US" w:eastAsia="zh-CN"/>
        </w:rPr>
      </w:pPr>
      <w:r>
        <w:rPr>
          <w:rFonts w:hint="eastAsia"/>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lang w:val="en-US" w:eastAsia="zh-CN"/>
        </w:rPr>
        <w:t>1</w:t>
      </w:r>
      <w:r>
        <w:rPr>
          <w:rFonts w:hint="eastAsia" w:ascii="仿宋" w:hAnsi="仿宋" w:eastAsia="仿宋" w:cs="仿宋"/>
          <w:b/>
          <w:bCs/>
          <w:color w:val="000000" w:themeColor="text1"/>
          <w:sz w:val="24"/>
          <w14:textFill>
            <w14:solidFill>
              <w14:schemeClr w14:val="tx1"/>
            </w14:solidFill>
          </w14:textFill>
        </w:rPr>
        <w:t>.意识阶段：融合办学理念，促创新创业意识萌生</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Times New Roman" w:hAnsi="Times New Roman" w:eastAsia="仿宋_GB2312" w:cs="Times New Roman"/>
          <w:color w:val="auto"/>
          <w:sz w:val="24"/>
          <w:lang w:eastAsia="zh-CN"/>
        </w:rPr>
      </w:pPr>
      <w:r>
        <w:rPr>
          <w:rFonts w:hint="eastAsia" w:ascii="仿宋" w:hAnsi="仿宋" w:eastAsia="仿宋" w:cs="仿宋"/>
          <w:color w:val="auto"/>
          <w:sz w:val="24"/>
        </w:rPr>
        <w:t>《联合国教科文组织TVET战略（2016-2021）》强调“要培养所有的青年与成人具备创业与创新思维……”。据此每位学生</w:t>
      </w:r>
      <w:r>
        <w:rPr>
          <w:rFonts w:hint="eastAsia" w:ascii="仿宋" w:hAnsi="仿宋" w:eastAsia="仿宋" w:cs="仿宋"/>
          <w:color w:val="auto"/>
          <w:sz w:val="24"/>
          <w:lang w:val="en-US" w:eastAsia="zh-CN"/>
        </w:rPr>
        <w:t>都应</w:t>
      </w:r>
      <w:r>
        <w:rPr>
          <w:rFonts w:hint="eastAsia" w:ascii="仿宋" w:hAnsi="仿宋" w:eastAsia="仿宋" w:cs="仿宋"/>
          <w:color w:val="auto"/>
          <w:sz w:val="24"/>
        </w:rPr>
        <w:t>树立创新创业意识，了解创新创业的精神和对工作生活的作用。</w:t>
      </w:r>
      <w:r>
        <w:rPr>
          <w:rFonts w:hint="eastAsia" w:ascii="仿宋" w:hAnsi="仿宋" w:eastAsia="仿宋" w:cs="仿宋"/>
          <w:color w:val="auto"/>
          <w:sz w:val="24"/>
          <w:lang w:val="en-US" w:eastAsia="zh-CN"/>
        </w:rPr>
        <w:t>此阶段面向全体学生，</w:t>
      </w:r>
      <w:r>
        <w:rPr>
          <w:rFonts w:hint="eastAsia" w:ascii="仿宋" w:hAnsi="仿宋" w:eastAsia="仿宋" w:cs="仿宋"/>
          <w:color w:val="auto"/>
          <w:sz w:val="24"/>
        </w:rPr>
        <w:t>开展</w:t>
      </w:r>
      <w:r>
        <w:rPr>
          <w:rFonts w:hint="eastAsia" w:ascii="仿宋" w:hAnsi="仿宋" w:eastAsia="仿宋" w:cs="仿宋"/>
          <w:b/>
          <w:bCs/>
          <w:color w:val="auto"/>
          <w:sz w:val="24"/>
        </w:rPr>
        <w:t>“5个1”</w:t>
      </w:r>
      <w:r>
        <w:rPr>
          <w:rFonts w:hint="eastAsia" w:ascii="仿宋" w:hAnsi="仿宋" w:eastAsia="仿宋" w:cs="仿宋"/>
          <w:color w:val="auto"/>
          <w:sz w:val="24"/>
        </w:rPr>
        <w:t>活动，激发中职生的创新创业意识。</w:t>
      </w:r>
      <w:r>
        <w:rPr>
          <w:rFonts w:hint="eastAsia" w:ascii="Times New Roman" w:hAnsi="Times New Roman" w:eastAsia="仿宋_GB2312" w:cs="Times New Roman"/>
          <w:color w:val="auto"/>
          <w:sz w:val="24"/>
          <w:lang w:eastAsia="zh-CN"/>
        </w:rPr>
        <w:t>（</w:t>
      </w:r>
      <w:r>
        <w:rPr>
          <w:rFonts w:hint="eastAsia" w:ascii="Times New Roman" w:hAnsi="Times New Roman" w:eastAsia="仿宋_GB2312" w:cs="Times New Roman"/>
          <w:color w:val="auto"/>
          <w:sz w:val="24"/>
          <w:lang w:val="en-US" w:eastAsia="zh-CN"/>
        </w:rPr>
        <w:t>见图3</w:t>
      </w:r>
      <w:r>
        <w:rPr>
          <w:rFonts w:hint="eastAsia" w:ascii="Times New Roman" w:hAnsi="Times New Roman" w:eastAsia="仿宋_GB2312" w:cs="Times New Roman"/>
          <w:color w:val="auto"/>
          <w:sz w:val="24"/>
          <w:lang w:eastAsia="zh-CN"/>
        </w:rPr>
        <w:t>）</w:t>
      </w:r>
    </w:p>
    <w:p>
      <w:pPr>
        <w:pStyle w:val="2"/>
        <w:keepNext/>
        <w:keepLines/>
        <w:pageBreakBefore w:val="0"/>
        <w:widowControl w:val="0"/>
        <w:kinsoku/>
        <w:wordWrap/>
        <w:overflowPunct/>
        <w:topLinePunct w:val="0"/>
        <w:autoSpaceDE/>
        <w:autoSpaceDN/>
        <w:bidi w:val="0"/>
        <w:adjustRightInd/>
        <w:snapToGrid/>
        <w:spacing w:before="0" w:after="0" w:line="220" w:lineRule="atLeast"/>
        <w:textAlignment w:val="auto"/>
        <w:outlineLvl w:val="9"/>
        <w:rPr>
          <w:rFonts w:hint="eastAsia"/>
          <w:lang w:eastAsia="zh-CN"/>
        </w:rPr>
      </w:pPr>
      <w:bookmarkStart w:id="29" w:name="_Toc15356"/>
      <w:r>
        <w:rPr>
          <w:rFonts w:hint="eastAsia" w:eastAsiaTheme="minorEastAsia"/>
          <w:lang w:eastAsia="zh-CN"/>
        </w:rPr>
        <w:drawing>
          <wp:inline distT="0" distB="0" distL="114300" distR="114300">
            <wp:extent cx="5266690" cy="1638935"/>
            <wp:effectExtent l="0" t="0" r="10160" b="18415"/>
            <wp:docPr id="7" name="图片 7" descr="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3"/>
                    <pic:cNvPicPr>
                      <a:picLocks noChangeAspect="1"/>
                    </pic:cNvPicPr>
                  </pic:nvPicPr>
                  <pic:blipFill>
                    <a:blip r:embed="rId8"/>
                    <a:stretch>
                      <a:fillRect/>
                    </a:stretch>
                  </pic:blipFill>
                  <pic:spPr>
                    <a:xfrm>
                      <a:off x="0" y="0"/>
                      <a:ext cx="5266690" cy="1638935"/>
                    </a:xfrm>
                    <a:prstGeom prst="rect">
                      <a:avLst/>
                    </a:prstGeom>
                  </pic:spPr>
                </pic:pic>
              </a:graphicData>
            </a:graphic>
          </wp:inline>
        </w:drawing>
      </w:r>
      <w:bookmarkEnd w:id="29"/>
    </w:p>
    <w:p>
      <w:pPr>
        <w:pStyle w:val="4"/>
        <w:jc w:val="center"/>
        <w:rPr>
          <w:rFonts w:hint="eastAsia"/>
          <w:lang w:eastAsia="zh-CN"/>
        </w:rPr>
      </w:pPr>
      <w:r>
        <w:t xml:space="preserve">图 </w:t>
      </w:r>
      <w:r>
        <w:rPr>
          <w:rFonts w:hint="eastAsia"/>
          <w:lang w:val="en-US" w:eastAsia="zh-CN"/>
        </w:rPr>
        <w:t xml:space="preserve">3 </w:t>
      </w:r>
      <w:r>
        <w:rPr>
          <w:rFonts w:hint="eastAsia"/>
        </w:rPr>
        <w:t>意识阶段教育运行图</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仿宋" w:hAnsi="仿宋" w:eastAsia="仿宋" w:cs="仿宋"/>
          <w:color w:val="FF0000"/>
          <w:sz w:val="24"/>
        </w:rPr>
      </w:pPr>
      <w:r>
        <w:rPr>
          <w:rFonts w:hint="eastAsia" w:ascii="仿宋" w:hAnsi="仿宋" w:eastAsia="仿宋" w:cs="仿宋"/>
          <w:color w:val="auto"/>
          <w:sz w:val="24"/>
        </w:rPr>
        <w:t>新生军训时开展</w:t>
      </w:r>
      <w:r>
        <w:rPr>
          <w:rFonts w:hint="eastAsia" w:ascii="仿宋" w:hAnsi="仿宋" w:eastAsia="仿宋" w:cs="仿宋"/>
          <w:b/>
          <w:bCs/>
          <w:color w:val="auto"/>
          <w:sz w:val="24"/>
        </w:rPr>
        <w:t>1次学校校训</w:t>
      </w:r>
      <w:r>
        <w:rPr>
          <w:rFonts w:hint="eastAsia" w:ascii="仿宋" w:hAnsi="仿宋" w:eastAsia="仿宋" w:cs="仿宋"/>
          <w:color w:val="auto"/>
          <w:sz w:val="24"/>
        </w:rPr>
        <w:t>“敬业修德、重能创业”和育人理念“相信人人有才，帮助人人成才”的宣传教育。始业教育时开展</w:t>
      </w:r>
      <w:r>
        <w:rPr>
          <w:rFonts w:hint="eastAsia" w:ascii="仿宋" w:hAnsi="仿宋" w:eastAsia="仿宋" w:cs="仿宋"/>
          <w:b/>
          <w:bCs/>
          <w:color w:val="auto"/>
          <w:sz w:val="24"/>
        </w:rPr>
        <w:t>1次优秀校友展出</w:t>
      </w:r>
      <w:r>
        <w:rPr>
          <w:rFonts w:hint="eastAsia" w:ascii="仿宋" w:hAnsi="仿宋" w:eastAsia="仿宋" w:cs="仿宋"/>
          <w:color w:val="auto"/>
          <w:sz w:val="24"/>
        </w:rPr>
        <w:t>和1</w:t>
      </w:r>
      <w:r>
        <w:rPr>
          <w:rFonts w:hint="eastAsia" w:ascii="仿宋" w:hAnsi="仿宋" w:eastAsia="仿宋" w:cs="仿宋"/>
          <w:b/>
          <w:bCs/>
          <w:color w:val="auto"/>
          <w:sz w:val="24"/>
        </w:rPr>
        <w:t>次职业生涯规划讲座</w:t>
      </w:r>
      <w:r>
        <w:rPr>
          <w:rFonts w:hint="eastAsia" w:ascii="仿宋" w:hAnsi="仿宋" w:eastAsia="仿宋" w:cs="仿宋"/>
          <w:color w:val="auto"/>
          <w:sz w:val="24"/>
        </w:rPr>
        <w:t>，学习校友的钻研创新创业的精神，让学生定下今后学习工作的初步努力目标。在自由选修课中开设</w:t>
      </w:r>
      <w:r>
        <w:rPr>
          <w:rFonts w:hint="eastAsia" w:ascii="仿宋" w:hAnsi="仿宋" w:eastAsia="仿宋" w:cs="仿宋"/>
          <w:b/>
          <w:bCs/>
          <w:color w:val="auto"/>
          <w:sz w:val="24"/>
        </w:rPr>
        <w:t>1个创新创业讲堂</w:t>
      </w:r>
      <w:r>
        <w:rPr>
          <w:rFonts w:hint="eastAsia" w:ascii="仿宋" w:hAnsi="仿宋" w:eastAsia="仿宋" w:cs="仿宋"/>
          <w:color w:val="auto"/>
          <w:sz w:val="24"/>
        </w:rPr>
        <w:t>，邀请创新创业成功人士</w:t>
      </w:r>
      <w:r>
        <w:rPr>
          <w:rFonts w:hint="eastAsia" w:ascii="仿宋" w:hAnsi="仿宋" w:eastAsia="仿宋" w:cs="仿宋"/>
          <w:color w:val="auto"/>
          <w:sz w:val="24"/>
          <w:lang w:eastAsia="zh-CN"/>
        </w:rPr>
        <w:t>讲述</w:t>
      </w:r>
      <w:r>
        <w:rPr>
          <w:rFonts w:hint="eastAsia" w:ascii="仿宋" w:hAnsi="仿宋" w:eastAsia="仿宋" w:cs="仿宋"/>
          <w:color w:val="auto"/>
          <w:sz w:val="24"/>
        </w:rPr>
        <w:t>亲身经历</w:t>
      </w:r>
      <w:r>
        <w:rPr>
          <w:rFonts w:hint="eastAsia" w:ascii="仿宋" w:hAnsi="仿宋" w:eastAsia="仿宋" w:cs="仿宋"/>
          <w:color w:val="auto"/>
          <w:sz w:val="24"/>
          <w:lang w:eastAsia="zh-CN"/>
        </w:rPr>
        <w:t>，</w:t>
      </w:r>
      <w:r>
        <w:rPr>
          <w:rFonts w:hint="eastAsia" w:ascii="仿宋" w:hAnsi="仿宋" w:eastAsia="仿宋" w:cs="仿宋"/>
          <w:color w:val="auto"/>
          <w:sz w:val="24"/>
        </w:rPr>
        <w:t>唤起学生主动感受创新创业的热情，</w:t>
      </w:r>
      <w:r>
        <w:rPr>
          <w:rFonts w:hint="eastAsia" w:ascii="仿宋" w:hAnsi="仿宋" w:eastAsia="仿宋" w:cs="仿宋"/>
          <w:color w:val="auto"/>
          <w:sz w:val="24"/>
          <w:lang w:eastAsia="zh-CN"/>
        </w:rPr>
        <w:t>提升</w:t>
      </w:r>
      <w:r>
        <w:rPr>
          <w:rFonts w:hint="eastAsia" w:ascii="仿宋" w:hAnsi="仿宋" w:eastAsia="仿宋" w:cs="仿宋"/>
          <w:color w:val="auto"/>
          <w:sz w:val="24"/>
        </w:rPr>
        <w:t>学生创新意识，</w:t>
      </w:r>
      <w:r>
        <w:rPr>
          <w:rFonts w:hint="eastAsia" w:ascii="仿宋" w:hAnsi="仿宋" w:eastAsia="仿宋" w:cs="仿宋"/>
          <w:color w:val="auto"/>
          <w:sz w:val="24"/>
          <w:lang w:eastAsia="zh-CN"/>
        </w:rPr>
        <w:t>激发</w:t>
      </w:r>
      <w:r>
        <w:rPr>
          <w:rFonts w:hint="eastAsia" w:ascii="仿宋" w:hAnsi="仿宋" w:eastAsia="仿宋" w:cs="仿宋"/>
          <w:color w:val="auto"/>
          <w:sz w:val="24"/>
        </w:rPr>
        <w:t>创新创业学习</w:t>
      </w:r>
      <w:r>
        <w:rPr>
          <w:rFonts w:hint="eastAsia" w:ascii="仿宋" w:hAnsi="仿宋" w:eastAsia="仿宋" w:cs="仿宋"/>
          <w:color w:val="auto"/>
          <w:sz w:val="24"/>
          <w:lang w:val="en-US" w:eastAsia="zh-CN"/>
        </w:rPr>
        <w:t>热情</w:t>
      </w:r>
      <w:r>
        <w:rPr>
          <w:rFonts w:hint="eastAsia" w:ascii="仿宋" w:hAnsi="仿宋" w:eastAsia="仿宋" w:cs="仿宋"/>
          <w:color w:val="auto"/>
          <w:sz w:val="24"/>
        </w:rPr>
        <w:t>；最后通过</w:t>
      </w:r>
      <w:r>
        <w:rPr>
          <w:rFonts w:hint="eastAsia" w:ascii="仿宋" w:hAnsi="仿宋" w:eastAsia="仿宋" w:cs="仿宋"/>
          <w:b/>
          <w:bCs/>
          <w:color w:val="auto"/>
          <w:sz w:val="24"/>
        </w:rPr>
        <w:t>1次校内生涯规划设计比赛</w:t>
      </w:r>
      <w:r>
        <w:rPr>
          <w:rFonts w:hint="eastAsia" w:ascii="仿宋" w:hAnsi="仿宋" w:eastAsia="仿宋" w:cs="仿宋"/>
          <w:color w:val="auto"/>
          <w:sz w:val="24"/>
        </w:rPr>
        <w:t>，使创新创业内化于心。</w:t>
      </w:r>
    </w:p>
    <w:p>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2.知识阶段：融合专业知识，授创新创业知识技能</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jc w:val="left"/>
        <w:textAlignment w:val="auto"/>
        <w:rPr>
          <w:rFonts w:hint="eastAsia" w:ascii="Times New Roman" w:hAnsi="Times New Roman" w:eastAsia="仿宋_GB2312" w:cs="Times New Roman"/>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该阶段</w:t>
      </w:r>
      <w:r>
        <w:rPr>
          <w:rFonts w:hint="eastAsia" w:ascii="仿宋" w:hAnsi="仿宋" w:eastAsia="仿宋" w:cs="仿宋"/>
          <w:color w:val="000000" w:themeColor="text1"/>
          <w:sz w:val="24"/>
          <w:lang w:val="en-US" w:eastAsia="zh-CN"/>
          <w14:textFill>
            <w14:solidFill>
              <w14:schemeClr w14:val="tx1"/>
            </w14:solidFill>
          </w14:textFill>
        </w:rPr>
        <w:t>通过挑选意识阶段的优秀学生，融合专业开展“1讲3学”活动，并以一个调研报告作为考核，达成创新创业知识与技能的传授。</w:t>
      </w:r>
      <w:r>
        <w:rPr>
          <w:rFonts w:hint="eastAsia" w:ascii="Times New Roman" w:hAnsi="Times New Roman" w:eastAsia="仿宋_GB2312" w:cs="Times New Roman"/>
          <w:color w:val="000000" w:themeColor="text1"/>
          <w:sz w:val="24"/>
          <w:lang w:val="en-US" w:eastAsia="zh-CN"/>
          <w14:textFill>
            <w14:solidFill>
              <w14:schemeClr w14:val="tx1"/>
            </w14:solidFill>
          </w14:textFill>
        </w:rPr>
        <w:t>（见</w:t>
      </w:r>
      <w:r>
        <w:rPr>
          <w:rFonts w:hint="eastAsia" w:ascii="Times New Roman" w:hAnsi="Times New Roman" w:eastAsia="仿宋_GB2312" w:cs="Times New Roman"/>
          <w:color w:val="000000" w:themeColor="text1"/>
          <w:sz w:val="24"/>
          <w:lang w:val="en-US" w:eastAsia="zh-CN"/>
          <w14:textFill>
            <w14:solidFill>
              <w14:schemeClr w14:val="tx1"/>
            </w14:solidFill>
          </w14:textFill>
        </w:rPr>
        <w:fldChar w:fldCharType="begin"/>
      </w:r>
      <w:r>
        <w:rPr>
          <w:rFonts w:hint="eastAsia" w:ascii="Times New Roman" w:hAnsi="Times New Roman" w:eastAsia="仿宋_GB2312" w:cs="Times New Roman"/>
          <w:color w:val="000000" w:themeColor="text1"/>
          <w:sz w:val="24"/>
          <w:lang w:val="en-US" w:eastAsia="zh-CN"/>
          <w14:textFill>
            <w14:solidFill>
              <w14:schemeClr w14:val="tx1"/>
            </w14:solidFill>
          </w14:textFill>
        </w:rPr>
        <w:instrText xml:space="preserve"> REF _Ref1981 </w:instrText>
      </w:r>
      <w:r>
        <w:rPr>
          <w:rFonts w:hint="eastAsia" w:ascii="Times New Roman" w:hAnsi="Times New Roman" w:eastAsia="仿宋_GB2312" w:cs="Times New Roman"/>
          <w:color w:val="000000" w:themeColor="text1"/>
          <w:sz w:val="24"/>
          <w:lang w:val="en-US" w:eastAsia="zh-CN"/>
          <w14:textFill>
            <w14:solidFill>
              <w14:schemeClr w14:val="tx1"/>
            </w14:solidFill>
          </w14:textFill>
        </w:rPr>
        <w:fldChar w:fldCharType="separate"/>
      </w:r>
      <w:r>
        <w:t>图</w:t>
      </w:r>
      <w:r>
        <w:rPr>
          <w:rFonts w:hint="eastAsia"/>
          <w:lang w:val="en-US" w:eastAsia="zh-CN"/>
        </w:rPr>
        <w:t>4</w:t>
      </w:r>
      <w:r>
        <w:rPr>
          <w:rFonts w:hint="eastAsia" w:ascii="Times New Roman" w:hAnsi="Times New Roman" w:eastAsia="仿宋_GB2312" w:cs="Times New Roman"/>
          <w:color w:val="000000" w:themeColor="text1"/>
          <w:sz w:val="24"/>
          <w:lang w:val="en-US" w:eastAsia="zh-CN"/>
          <w14:textFill>
            <w14:solidFill>
              <w14:schemeClr w14:val="tx1"/>
            </w14:solidFill>
          </w14:textFill>
        </w:rPr>
        <w:fldChar w:fldCharType="end"/>
      </w:r>
      <w:r>
        <w:rPr>
          <w:rFonts w:hint="eastAsia" w:ascii="Times New Roman" w:hAnsi="Times New Roman" w:eastAsia="仿宋_GB2312" w:cs="Times New Roman"/>
          <w:color w:val="000000" w:themeColor="text1"/>
          <w:sz w:val="24"/>
          <w:lang w:val="en-US" w:eastAsia="zh-CN"/>
          <w14:textFill>
            <w14:solidFill>
              <w14:schemeClr w14:val="tx1"/>
            </w14:solidFill>
          </w14:textFill>
        </w:rPr>
        <w:t>）</w:t>
      </w:r>
    </w:p>
    <w:p>
      <w:pPr>
        <w:bidi w:val="0"/>
        <w:jc w:val="center"/>
        <w:rPr>
          <w:rFonts w:hint="eastAsia" w:eastAsiaTheme="minorEastAsia"/>
          <w:lang w:eastAsia="zh-CN"/>
        </w:rPr>
      </w:pPr>
      <w:r>
        <w:rPr>
          <w:rFonts w:hint="eastAsia" w:eastAsiaTheme="minorEastAsia"/>
          <w:lang w:eastAsia="zh-CN"/>
        </w:rPr>
        <w:drawing>
          <wp:inline distT="0" distB="0" distL="114300" distR="114300">
            <wp:extent cx="5094605" cy="2188845"/>
            <wp:effectExtent l="0" t="0" r="10795" b="1905"/>
            <wp:docPr id="8" name="图片 8" descr="图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4"/>
                    <pic:cNvPicPr>
                      <a:picLocks noChangeAspect="1"/>
                    </pic:cNvPicPr>
                  </pic:nvPicPr>
                  <pic:blipFill>
                    <a:blip r:embed="rId9"/>
                    <a:stretch>
                      <a:fillRect/>
                    </a:stretch>
                  </pic:blipFill>
                  <pic:spPr>
                    <a:xfrm>
                      <a:off x="0" y="0"/>
                      <a:ext cx="5094605" cy="2188845"/>
                    </a:xfrm>
                    <a:prstGeom prst="rect">
                      <a:avLst/>
                    </a:prstGeom>
                  </pic:spPr>
                </pic:pic>
              </a:graphicData>
            </a:graphic>
          </wp:inline>
        </w:drawing>
      </w:r>
    </w:p>
    <w:p>
      <w:pPr>
        <w:pStyle w:val="4"/>
        <w:jc w:val="center"/>
        <w:rPr>
          <w:rFonts w:hint="eastAsia"/>
        </w:rPr>
      </w:pPr>
      <w:r>
        <w:t xml:space="preserve">图 </w:t>
      </w:r>
      <w:r>
        <w:rPr>
          <w:rFonts w:hint="eastAsia"/>
          <w:lang w:val="en-US" w:eastAsia="zh-CN"/>
        </w:rPr>
        <w:t xml:space="preserve">4 </w:t>
      </w:r>
      <w:r>
        <w:rPr>
          <w:rFonts w:hint="eastAsia"/>
        </w:rPr>
        <w:t>知识阶段创新创业教育运行图</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rPr>
      </w:pPr>
      <w:r>
        <w:rPr>
          <w:rFonts w:hint="eastAsia" w:ascii="仿宋" w:hAnsi="仿宋" w:eastAsia="仿宋" w:cs="仿宋"/>
          <w:color w:val="auto"/>
          <w:sz w:val="24"/>
        </w:rPr>
        <w:t>通过2赛的学员学习创新创业及其辅助知识和技能。</w:t>
      </w:r>
      <w:r>
        <w:rPr>
          <w:rFonts w:hint="eastAsia" w:ascii="仿宋" w:hAnsi="仿宋" w:eastAsia="仿宋" w:cs="仿宋"/>
          <w:b/>
          <w:bCs/>
          <w:sz w:val="24"/>
        </w:rPr>
        <w:t>2赛</w:t>
      </w:r>
      <w:r>
        <w:rPr>
          <w:rFonts w:hint="eastAsia" w:ascii="仿宋" w:hAnsi="仿宋" w:eastAsia="仿宋" w:cs="仿宋"/>
          <w:color w:val="auto"/>
          <w:sz w:val="24"/>
        </w:rPr>
        <w:t>即一场创新创业基础知识竞赛和一场专业基本技能竞赛，</w:t>
      </w:r>
      <w:r>
        <w:rPr>
          <w:rFonts w:hint="eastAsia" w:ascii="仿宋" w:hAnsi="仿宋" w:eastAsia="仿宋" w:cs="仿宋"/>
          <w:color w:val="auto"/>
          <w:sz w:val="24"/>
          <w:lang w:val="en-US" w:eastAsia="zh-CN"/>
        </w:rPr>
        <w:t>以此</w:t>
      </w:r>
      <w:r>
        <w:rPr>
          <w:rFonts w:hint="eastAsia" w:ascii="仿宋" w:hAnsi="仿宋" w:eastAsia="仿宋" w:cs="仿宋"/>
          <w:color w:val="auto"/>
          <w:sz w:val="24"/>
        </w:rPr>
        <w:t>测试学生自主学习的能力、专业动手能力。</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rPr>
      </w:pPr>
      <w:r>
        <w:rPr>
          <w:rFonts w:hint="eastAsia" w:ascii="仿宋" w:hAnsi="仿宋" w:eastAsia="仿宋" w:cs="仿宋"/>
          <w:color w:val="auto"/>
          <w:sz w:val="24"/>
        </w:rPr>
        <w:t>过关的学生将</w:t>
      </w:r>
      <w:r>
        <w:rPr>
          <w:rFonts w:hint="eastAsia" w:ascii="仿宋" w:hAnsi="仿宋" w:eastAsia="仿宋" w:cs="仿宋"/>
          <w:color w:val="auto"/>
          <w:sz w:val="24"/>
          <w:lang w:val="en-US" w:eastAsia="zh-CN"/>
        </w:rPr>
        <w:t>在</w:t>
      </w:r>
      <w:r>
        <w:rPr>
          <w:rFonts w:hint="eastAsia" w:ascii="仿宋" w:hAnsi="仿宋" w:eastAsia="仿宋" w:cs="仿宋"/>
          <w:color w:val="auto"/>
          <w:sz w:val="24"/>
        </w:rPr>
        <w:t>相应园内接受</w:t>
      </w:r>
      <w:r>
        <w:rPr>
          <w:rFonts w:hint="eastAsia" w:ascii="仿宋" w:hAnsi="仿宋" w:eastAsia="仿宋" w:cs="仿宋"/>
          <w:b/>
          <w:bCs/>
          <w:sz w:val="24"/>
        </w:rPr>
        <w:t>“1讲3学”</w:t>
      </w:r>
      <w:r>
        <w:rPr>
          <w:rFonts w:hint="eastAsia" w:ascii="仿宋" w:hAnsi="仿宋" w:eastAsia="仿宋" w:cs="仿宋"/>
          <w:color w:val="auto"/>
          <w:sz w:val="24"/>
        </w:rPr>
        <w:t>的教育。</w:t>
      </w:r>
      <w:r>
        <w:rPr>
          <w:rFonts w:hint="eastAsia" w:ascii="仿宋" w:hAnsi="仿宋" w:eastAsia="仿宋" w:cs="仿宋"/>
          <w:b/>
          <w:bCs/>
          <w:sz w:val="24"/>
        </w:rPr>
        <w:t>1讲</w:t>
      </w:r>
      <w:r>
        <w:rPr>
          <w:rFonts w:hint="eastAsia" w:ascii="仿宋" w:hAnsi="仿宋" w:eastAsia="仿宋" w:cs="仿宋"/>
          <w:color w:val="auto"/>
          <w:sz w:val="24"/>
        </w:rPr>
        <w:t>是各园结合专业的新技术新工艺讲座，让学生了解专业前沿知识。</w:t>
      </w:r>
      <w:r>
        <w:rPr>
          <w:rFonts w:hint="eastAsia" w:ascii="仿宋" w:hAnsi="仿宋" w:eastAsia="仿宋" w:cs="仿宋"/>
          <w:b/>
          <w:bCs/>
          <w:sz w:val="24"/>
        </w:rPr>
        <w:t>3学</w:t>
      </w:r>
      <w:r>
        <w:rPr>
          <w:rFonts w:hint="eastAsia" w:ascii="仿宋" w:hAnsi="仿宋" w:eastAsia="仿宋" w:cs="仿宋"/>
          <w:color w:val="auto"/>
          <w:sz w:val="24"/>
        </w:rPr>
        <w:t>是指开设</w:t>
      </w:r>
      <w:r>
        <w:rPr>
          <w:rFonts w:hint="eastAsia" w:ascii="仿宋" w:hAnsi="仿宋" w:eastAsia="仿宋" w:cs="仿宋"/>
          <w:b/>
          <w:bCs/>
          <w:sz w:val="24"/>
        </w:rPr>
        <w:t>一周的网络通识课程学习、法律知识和调研学习</w:t>
      </w:r>
      <w:r>
        <w:rPr>
          <w:rFonts w:hint="eastAsia" w:ascii="仿宋" w:hAnsi="仿宋" w:eastAsia="仿宋" w:cs="仿宋"/>
          <w:sz w:val="24"/>
        </w:rPr>
        <w:t>，</w:t>
      </w:r>
      <w:r>
        <w:rPr>
          <w:rFonts w:hint="eastAsia" w:ascii="仿宋" w:hAnsi="仿宋" w:eastAsia="仿宋" w:cs="仿宋"/>
          <w:color w:val="auto"/>
          <w:sz w:val="24"/>
        </w:rPr>
        <w:t>使学生具有法律规则意识，学会基本互联网思维、基本的调查方法，掌握基本的资料的搜索、筛选、储存等技能。</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仿宋" w:hAnsi="仿宋" w:eastAsia="仿宋" w:cs="仿宋"/>
          <w:sz w:val="24"/>
        </w:rPr>
      </w:pPr>
      <w:r>
        <w:rPr>
          <w:rFonts w:hint="eastAsia" w:ascii="仿宋" w:hAnsi="仿宋" w:eastAsia="仿宋" w:cs="仿宋"/>
          <w:b/>
          <w:bCs/>
          <w:sz w:val="24"/>
        </w:rPr>
        <w:t>3.</w:t>
      </w:r>
      <w:r>
        <w:rPr>
          <w:rFonts w:hint="eastAsia" w:ascii="仿宋" w:hAnsi="仿宋" w:eastAsia="仿宋" w:cs="仿宋"/>
          <w:b/>
          <w:bCs/>
          <w:color w:val="000000" w:themeColor="text1"/>
          <w:sz w:val="24"/>
          <w14:textFill>
            <w14:solidFill>
              <w14:schemeClr w14:val="tx1"/>
            </w14:solidFill>
          </w14:textFill>
        </w:rPr>
        <w:t>能力</w:t>
      </w:r>
      <w:r>
        <w:rPr>
          <w:rFonts w:hint="eastAsia" w:ascii="仿宋" w:hAnsi="仿宋" w:eastAsia="仿宋" w:cs="仿宋"/>
          <w:b/>
          <w:bCs/>
          <w:sz w:val="24"/>
        </w:rPr>
        <w:t>阶段：融合专业项目，练创新创业本领素养</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imes New Roman" w:hAnsi="Times New Roman" w:eastAsia="仿宋_GB2312" w:cs="Times New Roman"/>
          <w:color w:val="auto"/>
          <w:sz w:val="24"/>
          <w:lang w:eastAsia="zh-CN"/>
        </w:rPr>
      </w:pPr>
      <w:r>
        <w:rPr>
          <w:rFonts w:hint="eastAsia" w:ascii="仿宋" w:hAnsi="仿宋" w:eastAsia="仿宋" w:cs="仿宋"/>
          <w:color w:val="auto"/>
          <w:sz w:val="24"/>
          <w:lang w:val="en-US" w:eastAsia="zh-CN"/>
        </w:rPr>
        <w:t>此</w:t>
      </w:r>
      <w:r>
        <w:rPr>
          <w:rFonts w:hint="eastAsia" w:ascii="仿宋" w:hAnsi="仿宋" w:eastAsia="仿宋" w:cs="仿宋"/>
          <w:color w:val="auto"/>
          <w:sz w:val="24"/>
        </w:rPr>
        <w:t>阶段面向</w:t>
      </w:r>
      <w:r>
        <w:rPr>
          <w:rFonts w:hint="eastAsia" w:ascii="仿宋" w:hAnsi="仿宋" w:eastAsia="仿宋" w:cs="仿宋"/>
          <w:color w:val="auto"/>
          <w:sz w:val="24"/>
          <w:lang w:val="en-US" w:eastAsia="zh-CN"/>
        </w:rPr>
        <w:t>知识</w:t>
      </w:r>
      <w:r>
        <w:rPr>
          <w:rFonts w:hint="eastAsia" w:ascii="仿宋" w:hAnsi="仿宋" w:eastAsia="仿宋" w:cs="仿宋"/>
          <w:color w:val="auto"/>
          <w:sz w:val="24"/>
        </w:rPr>
        <w:t>阶段的优秀学生，</w:t>
      </w:r>
      <w:r>
        <w:rPr>
          <w:rFonts w:hint="eastAsia" w:ascii="仿宋" w:hAnsi="仿宋" w:eastAsia="仿宋" w:cs="仿宋"/>
          <w:color w:val="auto"/>
          <w:sz w:val="24"/>
          <w:lang w:val="en-US" w:eastAsia="zh-CN"/>
        </w:rPr>
        <w:t>根据创业体验学习原理，</w:t>
      </w:r>
      <w:r>
        <w:rPr>
          <w:rFonts w:hint="eastAsia" w:ascii="仿宋" w:hAnsi="仿宋" w:eastAsia="仿宋" w:cs="仿宋"/>
          <w:color w:val="auto"/>
          <w:sz w:val="24"/>
        </w:rPr>
        <w:t>通过“1</w:t>
      </w:r>
      <w:r>
        <w:rPr>
          <w:rFonts w:hint="eastAsia" w:ascii="仿宋" w:hAnsi="仿宋" w:eastAsia="仿宋" w:cs="仿宋"/>
          <w:color w:val="auto"/>
          <w:sz w:val="24"/>
          <w:lang w:val="en-US" w:eastAsia="zh-CN"/>
        </w:rPr>
        <w:t>+</w:t>
      </w:r>
      <w:r>
        <w:rPr>
          <w:rFonts w:hint="eastAsia" w:ascii="仿宋" w:hAnsi="仿宋" w:eastAsia="仿宋" w:cs="仿宋"/>
          <w:color w:val="auto"/>
          <w:sz w:val="24"/>
        </w:rPr>
        <w:t>5”方式让学生</w:t>
      </w:r>
      <w:r>
        <w:rPr>
          <w:rFonts w:hint="eastAsia" w:ascii="仿宋" w:hAnsi="仿宋" w:eastAsia="仿宋" w:cs="仿宋"/>
          <w:color w:val="auto"/>
          <w:sz w:val="24"/>
          <w:lang w:val="en-US" w:eastAsia="zh-CN"/>
        </w:rPr>
        <w:t>在导师带领下</w:t>
      </w:r>
      <w:r>
        <w:rPr>
          <w:rFonts w:hint="eastAsia" w:ascii="仿宋" w:hAnsi="仿宋" w:eastAsia="仿宋" w:cs="仿宋"/>
          <w:color w:val="auto"/>
          <w:sz w:val="24"/>
        </w:rPr>
        <w:t>体验</w:t>
      </w:r>
      <w:r>
        <w:rPr>
          <w:rFonts w:hint="eastAsia" w:ascii="仿宋" w:hAnsi="仿宋" w:eastAsia="仿宋" w:cs="仿宋"/>
          <w:color w:val="auto"/>
          <w:sz w:val="24"/>
          <w:lang w:val="en-US" w:eastAsia="zh-CN"/>
        </w:rPr>
        <w:t>1个来自企业的</w:t>
      </w:r>
      <w:r>
        <w:rPr>
          <w:rFonts w:hint="eastAsia" w:ascii="仿宋" w:hAnsi="仿宋" w:eastAsia="仿宋" w:cs="仿宋"/>
          <w:color w:val="auto"/>
          <w:sz w:val="24"/>
        </w:rPr>
        <w:t>创新创业</w:t>
      </w:r>
      <w:r>
        <w:rPr>
          <w:rFonts w:hint="eastAsia" w:ascii="仿宋" w:hAnsi="仿宋" w:eastAsia="仿宋" w:cs="仿宋"/>
          <w:color w:val="auto"/>
          <w:sz w:val="24"/>
          <w:lang w:val="en-US" w:eastAsia="zh-CN"/>
        </w:rPr>
        <w:t>专业项目</w:t>
      </w:r>
      <w:r>
        <w:rPr>
          <w:rFonts w:hint="eastAsia" w:ascii="仿宋" w:hAnsi="仿宋" w:eastAsia="仿宋" w:cs="仿宋"/>
          <w:color w:val="auto"/>
          <w:sz w:val="24"/>
        </w:rPr>
        <w:t>，</w:t>
      </w:r>
      <w:r>
        <w:rPr>
          <w:rFonts w:hint="eastAsia" w:ascii="仿宋" w:hAnsi="仿宋" w:eastAsia="仿宋" w:cs="仿宋"/>
          <w:color w:val="auto"/>
          <w:sz w:val="24"/>
          <w:lang w:val="en-US" w:eastAsia="zh-CN"/>
        </w:rPr>
        <w:t>实践体验后进行反思概括，然后从反思概括后对相关的5</w:t>
      </w:r>
      <w:r>
        <w:rPr>
          <w:rFonts w:hint="eastAsia" w:ascii="仿宋" w:hAnsi="仿宋" w:eastAsia="仿宋" w:cs="仿宋"/>
          <w:color w:val="auto"/>
          <w:sz w:val="24"/>
        </w:rPr>
        <w:t>门理论课程</w:t>
      </w:r>
      <w:r>
        <w:rPr>
          <w:rFonts w:hint="eastAsia" w:ascii="仿宋" w:hAnsi="仿宋" w:eastAsia="仿宋" w:cs="仿宋"/>
          <w:color w:val="auto"/>
          <w:sz w:val="24"/>
          <w:lang w:val="en-US" w:eastAsia="zh-CN"/>
        </w:rPr>
        <w:t>进行理论学习，为后一阶段的学习打下基础。其中</w:t>
      </w:r>
      <w:r>
        <w:rPr>
          <w:rFonts w:hint="eastAsia" w:ascii="仿宋" w:hAnsi="仿宋" w:eastAsia="仿宋" w:cs="仿宋"/>
          <w:color w:val="auto"/>
          <w:sz w:val="24"/>
        </w:rPr>
        <w:t>“1”是指1个来自企业的真实专业实践项目；“5”是指开设创意与机会识别、资源获取、成本核算、营销策划、PPT路演</w:t>
      </w:r>
      <w:r>
        <w:rPr>
          <w:rFonts w:hint="eastAsia" w:ascii="仿宋" w:hAnsi="仿宋" w:eastAsia="仿宋" w:cs="仿宋"/>
          <w:color w:val="auto"/>
          <w:sz w:val="24"/>
          <w:lang w:val="en-US" w:eastAsia="zh-CN"/>
        </w:rPr>
        <w:t>五门课程</w:t>
      </w:r>
      <w:r>
        <w:rPr>
          <w:rFonts w:hint="eastAsia" w:ascii="仿宋" w:hAnsi="仿宋" w:eastAsia="仿宋" w:cs="仿宋"/>
          <w:color w:val="auto"/>
          <w:sz w:val="24"/>
        </w:rPr>
        <w:t>。</w:t>
      </w:r>
      <w:r>
        <w:rPr>
          <w:rFonts w:hint="eastAsia" w:ascii="Times New Roman" w:hAnsi="Times New Roman" w:eastAsia="仿宋_GB2312" w:cs="Times New Roman"/>
          <w:color w:val="auto"/>
          <w:sz w:val="24"/>
          <w:lang w:eastAsia="zh-CN"/>
        </w:rPr>
        <w:t>（</w:t>
      </w:r>
      <w:r>
        <w:rPr>
          <w:rFonts w:hint="eastAsia" w:ascii="Times New Roman" w:hAnsi="Times New Roman" w:eastAsia="仿宋_GB2312" w:cs="Times New Roman"/>
          <w:color w:val="auto"/>
          <w:sz w:val="24"/>
          <w:lang w:val="en-US" w:eastAsia="zh-CN"/>
        </w:rPr>
        <w:t>见</w:t>
      </w:r>
      <w:r>
        <w:rPr>
          <w:rFonts w:hint="eastAsia" w:ascii="Times New Roman" w:hAnsi="Times New Roman" w:eastAsia="仿宋_GB2312" w:cs="Times New Roman"/>
          <w:color w:val="auto"/>
          <w:sz w:val="24"/>
          <w:lang w:val="en-US" w:eastAsia="zh-CN"/>
        </w:rPr>
        <w:fldChar w:fldCharType="begin"/>
      </w:r>
      <w:r>
        <w:rPr>
          <w:rFonts w:hint="eastAsia" w:ascii="Times New Roman" w:hAnsi="Times New Roman" w:eastAsia="仿宋_GB2312" w:cs="Times New Roman"/>
          <w:color w:val="auto"/>
          <w:sz w:val="24"/>
          <w:lang w:val="en-US" w:eastAsia="zh-CN"/>
        </w:rPr>
        <w:instrText xml:space="preserve"> REF _Ref2190 </w:instrText>
      </w:r>
      <w:r>
        <w:rPr>
          <w:rFonts w:hint="eastAsia" w:ascii="Times New Roman" w:hAnsi="Times New Roman" w:eastAsia="仿宋_GB2312" w:cs="Times New Roman"/>
          <w:color w:val="auto"/>
          <w:sz w:val="24"/>
          <w:lang w:val="en-US" w:eastAsia="zh-CN"/>
        </w:rPr>
        <w:fldChar w:fldCharType="separate"/>
      </w:r>
      <w:r>
        <w:t xml:space="preserve">图 </w:t>
      </w:r>
      <w:r>
        <w:rPr>
          <w:rFonts w:hint="eastAsia"/>
          <w:lang w:val="en-US" w:eastAsia="zh-CN"/>
        </w:rPr>
        <w:t>5</w:t>
      </w:r>
      <w:r>
        <w:rPr>
          <w:rFonts w:hint="eastAsia" w:ascii="Times New Roman" w:hAnsi="Times New Roman" w:eastAsia="仿宋_GB2312" w:cs="Times New Roman"/>
          <w:color w:val="auto"/>
          <w:sz w:val="24"/>
          <w:lang w:val="en-US" w:eastAsia="zh-CN"/>
        </w:rPr>
        <w:fldChar w:fldCharType="end"/>
      </w:r>
      <w:r>
        <w:rPr>
          <w:rFonts w:hint="eastAsia" w:ascii="Times New Roman" w:hAnsi="Times New Roman" w:eastAsia="仿宋_GB2312" w:cs="Times New Roman"/>
          <w:color w:val="auto"/>
          <w:sz w:val="24"/>
          <w:lang w:eastAsia="zh-CN"/>
        </w:rPr>
        <w:t>）</w:t>
      </w:r>
    </w:p>
    <w:p>
      <w:pPr>
        <w:bidi w:val="0"/>
        <w:jc w:val="center"/>
        <w:rPr>
          <w:rFonts w:hint="eastAsia"/>
          <w:lang w:eastAsia="zh-CN"/>
        </w:rPr>
      </w:pPr>
      <w:r>
        <w:rPr>
          <w:rFonts w:hint="eastAsia"/>
          <w:lang w:eastAsia="zh-CN"/>
        </w:rPr>
        <w:drawing>
          <wp:inline distT="0" distB="0" distL="114300" distR="114300">
            <wp:extent cx="5266690" cy="1918970"/>
            <wp:effectExtent l="0" t="0" r="10160" b="5080"/>
            <wp:docPr id="9" name="图片 9" descr="图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5"/>
                    <pic:cNvPicPr>
                      <a:picLocks noChangeAspect="1"/>
                    </pic:cNvPicPr>
                  </pic:nvPicPr>
                  <pic:blipFill>
                    <a:blip r:embed="rId10"/>
                    <a:stretch>
                      <a:fillRect/>
                    </a:stretch>
                  </pic:blipFill>
                  <pic:spPr>
                    <a:xfrm>
                      <a:off x="0" y="0"/>
                      <a:ext cx="5266690" cy="1918970"/>
                    </a:xfrm>
                    <a:prstGeom prst="rect">
                      <a:avLst/>
                    </a:prstGeom>
                  </pic:spPr>
                </pic:pic>
              </a:graphicData>
            </a:graphic>
          </wp:inline>
        </w:drawing>
      </w:r>
    </w:p>
    <w:p>
      <w:pPr>
        <w:pStyle w:val="4"/>
        <w:jc w:val="center"/>
        <w:rPr>
          <w:rFonts w:hint="eastAsia"/>
          <w:lang w:val="en-US" w:eastAsia="zh-CN"/>
        </w:rPr>
      </w:pPr>
      <w:r>
        <w:t xml:space="preserve">图 </w:t>
      </w:r>
      <w:r>
        <w:rPr>
          <w:rFonts w:hint="eastAsia"/>
          <w:lang w:val="en-US" w:eastAsia="zh-CN"/>
        </w:rPr>
        <w:t>5 能力阶段创新创业教育运行图</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该阶段通过校企协同、专创协同、理论学习与创业实践协同通过六个环节完成来自企业的真实实践项目。具体操作如下（见图 6）：</w:t>
      </w:r>
    </w:p>
    <w:p>
      <w:pPr>
        <w:rPr>
          <w:rFonts w:hint="default"/>
          <w:lang w:val="en-US"/>
        </w:rPr>
      </w:pPr>
      <w:r>
        <w:rPr>
          <w:rFonts w:hint="default"/>
          <w:lang w:val="en-US"/>
        </w:rPr>
        <w:drawing>
          <wp:inline distT="0" distB="0" distL="114300" distR="114300">
            <wp:extent cx="5272405" cy="1460500"/>
            <wp:effectExtent l="0" t="0" r="4445" b="6350"/>
            <wp:docPr id="10" name="图片 10" descr="图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7"/>
                    <pic:cNvPicPr>
                      <a:picLocks noChangeAspect="1"/>
                    </pic:cNvPicPr>
                  </pic:nvPicPr>
                  <pic:blipFill>
                    <a:blip r:embed="rId11"/>
                    <a:stretch>
                      <a:fillRect/>
                    </a:stretch>
                  </pic:blipFill>
                  <pic:spPr>
                    <a:xfrm>
                      <a:off x="0" y="0"/>
                      <a:ext cx="5272405" cy="1460500"/>
                    </a:xfrm>
                    <a:prstGeom prst="rect">
                      <a:avLst/>
                    </a:prstGeom>
                  </pic:spPr>
                </pic:pic>
              </a:graphicData>
            </a:graphic>
          </wp:inline>
        </w:drawing>
      </w:r>
    </w:p>
    <w:p>
      <w:pPr>
        <w:pStyle w:val="4"/>
        <w:jc w:val="center"/>
        <w:rPr>
          <w:rFonts w:hint="eastAsia"/>
          <w:lang w:val="en-US" w:eastAsia="zh-CN"/>
        </w:rPr>
      </w:pPr>
      <w:r>
        <w:t xml:space="preserve">图 </w:t>
      </w:r>
      <w:r>
        <w:rPr>
          <w:rFonts w:hint="eastAsia"/>
          <w:lang w:val="en-US" w:eastAsia="zh-CN"/>
        </w:rPr>
        <w:t>6 专业项目实践活动六环节</w:t>
      </w:r>
    </w:p>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仿宋" w:hAnsi="仿宋" w:eastAsia="仿宋" w:cs="仿宋"/>
          <w:b/>
          <w:bCs/>
          <w:sz w:val="24"/>
        </w:rPr>
      </w:pPr>
      <w:r>
        <w:rPr>
          <w:rFonts w:hint="eastAsia" w:ascii="仿宋" w:hAnsi="仿宋" w:eastAsia="仿宋" w:cs="仿宋"/>
          <w:b/>
          <w:bCs/>
          <w:kern w:val="44"/>
          <w:sz w:val="24"/>
        </w:rPr>
        <w:t>（1）对</w:t>
      </w:r>
      <w:r>
        <w:rPr>
          <w:rFonts w:hint="eastAsia" w:ascii="仿宋" w:hAnsi="仿宋" w:eastAsia="仿宋" w:cs="仿宋"/>
          <w:b/>
          <w:bCs/>
          <w:sz w:val="24"/>
        </w:rPr>
        <w:t>接校企合作优势资源，引入企业真实项目</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val="0"/>
          <w:bCs w:val="0"/>
          <w:color w:val="auto"/>
          <w:kern w:val="2"/>
          <w:sz w:val="24"/>
          <w:szCs w:val="24"/>
          <w:lang w:val="en-US" w:eastAsia="zh-CN" w:bidi="ar-SA"/>
        </w:rPr>
        <w:t>依托三园平台把教师、学生、企业三者联合起来。学校提供场地和相关设施设备，企业向三园提供真实项目、教学资源和职业化团队管理服务模式，签订校企合作协议，确定三园项目运营团队为“德育教师+企业项目经理+专业教师+企业专职技术人员”。双方共同制定项目开展方案，共同指导学生开展任务训练，共同制定项目管理制度及奖励办法。</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仿宋" w:hAnsi="仿宋" w:eastAsia="仿宋" w:cs="仿宋"/>
          <w:b/>
          <w:bCs/>
          <w:sz w:val="24"/>
        </w:rPr>
      </w:pPr>
      <w:r>
        <w:rPr>
          <w:rFonts w:hint="eastAsia" w:ascii="仿宋" w:hAnsi="仿宋" w:eastAsia="仿宋" w:cs="仿宋"/>
          <w:b/>
          <w:bCs/>
          <w:sz w:val="24"/>
        </w:rPr>
        <w:t>（2）对接企业环境氛围，创设项目实践情境</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将企业正在进行的项目引入各园</w:t>
      </w:r>
      <w:r>
        <w:rPr>
          <w:rFonts w:hint="eastAsia" w:ascii="仿宋" w:hAnsi="仿宋" w:eastAsia="仿宋" w:cs="仿宋"/>
          <w:color w:val="000000" w:themeColor="text1"/>
          <w:sz w:val="24"/>
          <w:lang w:val="en-US" w:eastAsia="zh-CN"/>
          <w14:textFill>
            <w14:solidFill>
              <w14:schemeClr w14:val="tx1"/>
            </w14:solidFill>
          </w14:textFill>
        </w:rPr>
        <w:t>并</w:t>
      </w:r>
      <w:r>
        <w:rPr>
          <w:rFonts w:hint="eastAsia" w:ascii="仿宋" w:hAnsi="仿宋" w:eastAsia="仿宋" w:cs="仿宋"/>
          <w:color w:val="000000" w:themeColor="text1"/>
          <w:sz w:val="24"/>
          <w14:textFill>
            <w14:solidFill>
              <w14:schemeClr w14:val="tx1"/>
            </w14:solidFill>
          </w14:textFill>
        </w:rPr>
        <w:t>模拟企业真实生产环境。企业派项目总监或设计主管来园进行项目的规划和启发，</w:t>
      </w:r>
      <w:r>
        <w:rPr>
          <w:rFonts w:hint="eastAsia" w:ascii="仿宋" w:hAnsi="仿宋" w:eastAsia="仿宋" w:cs="仿宋"/>
          <w:color w:val="000000" w:themeColor="text1"/>
          <w:sz w:val="24"/>
          <w:lang w:eastAsia="zh-CN"/>
          <w14:textFill>
            <w14:solidFill>
              <w14:schemeClr w14:val="tx1"/>
            </w14:solidFill>
          </w14:textFill>
        </w:rPr>
        <w:t>校方安排</w:t>
      </w:r>
      <w:r>
        <w:rPr>
          <w:rFonts w:hint="eastAsia" w:ascii="仿宋" w:hAnsi="仿宋" w:eastAsia="仿宋" w:cs="仿宋"/>
          <w:color w:val="000000" w:themeColor="text1"/>
          <w:sz w:val="24"/>
          <w14:textFill>
            <w14:solidFill>
              <w14:schemeClr w14:val="tx1"/>
            </w14:solidFill>
          </w14:textFill>
        </w:rPr>
        <w:t>专业教师</w:t>
      </w:r>
      <w:r>
        <w:rPr>
          <w:rFonts w:hint="eastAsia" w:ascii="仿宋" w:hAnsi="仿宋" w:eastAsia="仿宋" w:cs="仿宋"/>
          <w:color w:val="000000" w:themeColor="text1"/>
          <w:sz w:val="24"/>
          <w:lang w:eastAsia="zh-CN"/>
          <w14:textFill>
            <w14:solidFill>
              <w14:schemeClr w14:val="tx1"/>
            </w14:solidFill>
          </w14:textFill>
        </w:rPr>
        <w:t>担任</w:t>
      </w:r>
      <w:r>
        <w:rPr>
          <w:rFonts w:hint="eastAsia" w:ascii="仿宋" w:hAnsi="仿宋" w:eastAsia="仿宋" w:cs="仿宋"/>
          <w:color w:val="000000" w:themeColor="text1"/>
          <w:sz w:val="24"/>
          <w14:textFill>
            <w14:solidFill>
              <w14:schemeClr w14:val="tx1"/>
            </w14:solidFill>
          </w14:textFill>
        </w:rPr>
        <w:t>总监助理</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学生为设计师或者设计助理</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模拟企业真实岗位</w:t>
      </w:r>
      <w:r>
        <w:rPr>
          <w:rFonts w:hint="eastAsia" w:ascii="仿宋" w:hAnsi="仿宋" w:eastAsia="仿宋" w:cs="仿宋"/>
          <w:color w:val="000000" w:themeColor="text1"/>
          <w:sz w:val="24"/>
          <w14:textFill>
            <w14:solidFill>
              <w14:schemeClr w14:val="tx1"/>
            </w14:solidFill>
          </w14:textFill>
        </w:rPr>
        <w:t>将</w:t>
      </w:r>
      <w:r>
        <w:rPr>
          <w:rFonts w:hint="eastAsia" w:ascii="仿宋" w:hAnsi="仿宋" w:eastAsia="仿宋" w:cs="仿宋"/>
          <w:color w:val="000000" w:themeColor="text1"/>
          <w:sz w:val="24"/>
          <w:lang w:val="en-US" w:eastAsia="zh-CN"/>
          <w14:textFill>
            <w14:solidFill>
              <w14:schemeClr w14:val="tx1"/>
            </w14:solidFill>
          </w14:textFill>
        </w:rPr>
        <w:t>学生分组</w:t>
      </w:r>
      <w:r>
        <w:rPr>
          <w:rFonts w:hint="eastAsia" w:ascii="仿宋" w:hAnsi="仿宋" w:eastAsia="仿宋" w:cs="仿宋"/>
          <w:color w:val="000000" w:themeColor="text1"/>
          <w:sz w:val="24"/>
          <w14:textFill>
            <w14:solidFill>
              <w14:schemeClr w14:val="tx1"/>
            </w14:solidFill>
          </w14:textFill>
        </w:rPr>
        <w:t>分配</w:t>
      </w:r>
      <w:r>
        <w:rPr>
          <w:rFonts w:hint="eastAsia" w:ascii="仿宋" w:hAnsi="仿宋" w:eastAsia="仿宋" w:cs="仿宋"/>
          <w:color w:val="000000" w:themeColor="text1"/>
          <w:sz w:val="24"/>
          <w:lang w:val="en-US" w:eastAsia="zh-CN"/>
          <w14:textFill>
            <w14:solidFill>
              <w14:schemeClr w14:val="tx1"/>
            </w14:solidFill>
          </w14:textFill>
        </w:rPr>
        <w:t>到</w:t>
      </w:r>
      <w:r>
        <w:rPr>
          <w:rFonts w:hint="eastAsia" w:ascii="仿宋" w:hAnsi="仿宋" w:eastAsia="仿宋" w:cs="仿宋"/>
          <w:color w:val="000000" w:themeColor="text1"/>
          <w:sz w:val="24"/>
          <w14:textFill>
            <w14:solidFill>
              <w14:schemeClr w14:val="tx1"/>
            </w14:solidFill>
          </w14:textFill>
        </w:rPr>
        <w:t>具体岗位</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切实做到教学与实践操作、教学与行业需求的紧密结合；小组之间形成相互竞争的关系，使学生的学习积极性和团队协作能力得到有效提升。</w:t>
      </w:r>
    </w:p>
    <w:p>
      <w:pPr>
        <w:keepNext w:val="0"/>
        <w:keepLines w:val="0"/>
        <w:pageBreakBefore w:val="0"/>
        <w:widowControl w:val="0"/>
        <w:kinsoku/>
        <w:wordWrap/>
        <w:overflowPunct/>
        <w:topLinePunct w:val="0"/>
        <w:autoSpaceDE/>
        <w:autoSpaceDN/>
        <w:bidi w:val="0"/>
        <w:adjustRightInd/>
        <w:snapToGrid/>
        <w:spacing w:line="440" w:lineRule="exact"/>
        <w:ind w:firstLine="241" w:firstLineChars="100"/>
        <w:textAlignment w:val="auto"/>
        <w:rPr>
          <w:rFonts w:hint="eastAsia" w:ascii="仿宋" w:hAnsi="仿宋" w:eastAsia="仿宋" w:cs="仿宋"/>
          <w:b/>
          <w:bCs/>
          <w:sz w:val="24"/>
        </w:rPr>
      </w:pPr>
      <w:r>
        <w:rPr>
          <w:rFonts w:hint="eastAsia" w:ascii="仿宋" w:hAnsi="仿宋" w:eastAsia="仿宋" w:cs="仿宋"/>
          <w:b/>
          <w:bCs/>
          <w:sz w:val="24"/>
        </w:rPr>
        <w:t>（3）对接项目学生画像，开展项目实践体验</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在项目实践体验中，以学生画像为参考，针对学生的个体差异为其分配适合的岗位，开展</w:t>
      </w:r>
      <w:r>
        <w:rPr>
          <w:rFonts w:hint="eastAsia" w:ascii="仿宋" w:hAnsi="仿宋" w:eastAsia="仿宋" w:cs="仿宋"/>
          <w:color w:val="000000" w:themeColor="text1"/>
          <w:sz w:val="24"/>
          <w:lang w:eastAsia="zh-CN"/>
          <w14:textFill>
            <w14:solidFill>
              <w14:schemeClr w14:val="tx1"/>
            </w14:solidFill>
          </w14:textFill>
        </w:rPr>
        <w:t>有</w:t>
      </w:r>
      <w:r>
        <w:rPr>
          <w:rFonts w:hint="eastAsia" w:ascii="仿宋" w:hAnsi="仿宋" w:eastAsia="仿宋" w:cs="仿宋"/>
          <w:color w:val="000000" w:themeColor="text1"/>
          <w:sz w:val="24"/>
          <w14:textFill>
            <w14:solidFill>
              <w14:schemeClr w14:val="tx1"/>
            </w14:solidFill>
          </w14:textFill>
        </w:rPr>
        <w:t>针对性的个性化教学，帮助学生扬长避短、挖掘自身潜力、释放创造力、实现自我价值。</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在项目实践体验中，双方导师共同确定项目主要议程，企业导师负责调控项目的进度、项目技术指导</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德育教师负责学生的日常管理和协调</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专业教师进行理论授课，学生则需要根据项目要求完成任务。</w:t>
      </w:r>
    </w:p>
    <w:p>
      <w:pPr>
        <w:keepNext w:val="0"/>
        <w:keepLines w:val="0"/>
        <w:pageBreakBefore w:val="0"/>
        <w:widowControl w:val="0"/>
        <w:kinsoku/>
        <w:wordWrap/>
        <w:overflowPunct/>
        <w:topLinePunct w:val="0"/>
        <w:autoSpaceDE/>
        <w:autoSpaceDN/>
        <w:bidi w:val="0"/>
        <w:adjustRightInd/>
        <w:snapToGrid/>
        <w:spacing w:line="440" w:lineRule="exact"/>
        <w:ind w:left="481"/>
        <w:textAlignment w:val="auto"/>
        <w:rPr>
          <w:rFonts w:hint="eastAsia" w:ascii="仿宋" w:hAnsi="仿宋" w:eastAsia="仿宋" w:cs="仿宋"/>
          <w:b/>
          <w:bCs/>
          <w:sz w:val="24"/>
        </w:rPr>
      </w:pPr>
      <w:r>
        <w:rPr>
          <w:rFonts w:hint="eastAsia" w:ascii="仿宋" w:hAnsi="仿宋" w:eastAsia="仿宋" w:cs="仿宋"/>
          <w:b/>
          <w:bCs/>
          <w:sz w:val="24"/>
        </w:rPr>
        <w:t>（4）对接项目实践过程，填写实践反思手册</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在项目实践体验过程中，学生需要填写“1表2手册”，即一张项目计划书运行表、一本参与实践活动过程手册和一本学生自我评估手册。通过填写“1表2手册”</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学生不仅仅局限于参加创业活动，而是对创业实践及时做了总结反思并且从项目导师和同伴中获得启示，从而促进</w:t>
      </w:r>
      <w:r>
        <w:rPr>
          <w:rFonts w:hint="eastAsia" w:ascii="仿宋" w:hAnsi="仿宋" w:eastAsia="仿宋" w:cs="仿宋"/>
          <w:color w:val="000000" w:themeColor="text1"/>
          <w:sz w:val="24"/>
          <w:lang w:eastAsia="zh-CN"/>
          <w14:textFill>
            <w14:solidFill>
              <w14:schemeClr w14:val="tx1"/>
            </w14:solidFill>
          </w14:textFill>
        </w:rPr>
        <w:t>对</w:t>
      </w:r>
      <w:r>
        <w:rPr>
          <w:rFonts w:hint="eastAsia" w:ascii="仿宋" w:hAnsi="仿宋" w:eastAsia="仿宋" w:cs="仿宋"/>
          <w:color w:val="000000" w:themeColor="text1"/>
          <w:sz w:val="24"/>
          <w14:textFill>
            <w14:solidFill>
              <w14:schemeClr w14:val="tx1"/>
            </w14:solidFill>
          </w14:textFill>
        </w:rPr>
        <w:t>创新创业认识的变化。</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仿宋" w:hAnsi="仿宋" w:eastAsia="仿宋" w:cs="仿宋"/>
          <w:b/>
          <w:bCs/>
        </w:rPr>
      </w:pPr>
      <w:r>
        <w:rPr>
          <w:rFonts w:hint="eastAsia" w:ascii="仿宋" w:hAnsi="仿宋" w:eastAsia="仿宋" w:cs="仿宋"/>
          <w:b/>
          <w:bCs/>
          <w:sz w:val="24"/>
        </w:rPr>
        <w:t>（5）对接项目实践反思，进行项目知识指引</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b/>
          <w:bCs/>
          <w:sz w:val="24"/>
        </w:rPr>
      </w:pPr>
      <w:r>
        <w:rPr>
          <w:rFonts w:hint="eastAsia" w:ascii="仿宋" w:hAnsi="仿宋" w:eastAsia="仿宋" w:cs="仿宋"/>
          <w:color w:val="000000" w:themeColor="text1"/>
          <w:sz w:val="24"/>
          <w14:textFill>
            <w14:solidFill>
              <w14:schemeClr w14:val="tx1"/>
            </w14:solidFill>
          </w14:textFill>
        </w:rPr>
        <w:t>在项目实践体验中，以具体的议题工作任务为引领，双方导师共同制定有针对性的授课计划，开设创意与机会识别、资源获取、成本核算、营销策划、PPT路演五个模块理论课程；同时根据学生的项目实践反思，有针对性地进行相关知识的共性授课或者个性的、及时的指导和帮助，使学生获得</w:t>
      </w:r>
      <w:r>
        <w:rPr>
          <w:rFonts w:hint="eastAsia" w:ascii="仿宋" w:hAnsi="仿宋" w:eastAsia="仿宋" w:cs="仿宋"/>
          <w:color w:val="000000" w:themeColor="text1"/>
          <w:sz w:val="24"/>
          <w:lang w:eastAsia="zh-CN"/>
          <w14:textFill>
            <w14:solidFill>
              <w14:schemeClr w14:val="tx1"/>
            </w14:solidFill>
          </w14:textFill>
        </w:rPr>
        <w:t>与体验相结合的</w:t>
      </w:r>
      <w:r>
        <w:rPr>
          <w:rFonts w:hint="eastAsia" w:ascii="仿宋" w:hAnsi="仿宋" w:eastAsia="仿宋" w:cs="仿宋"/>
          <w:color w:val="000000" w:themeColor="text1"/>
          <w:sz w:val="24"/>
          <w14:textFill>
            <w14:solidFill>
              <w14:schemeClr w14:val="tx1"/>
            </w14:solidFill>
          </w14:textFill>
        </w:rPr>
        <w:t>创业知识，促进知识掌握上的变化。</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仿宋" w:hAnsi="仿宋" w:eastAsia="仿宋" w:cs="仿宋"/>
          <w:b/>
          <w:bCs/>
          <w:sz w:val="24"/>
        </w:rPr>
      </w:pPr>
      <w:r>
        <w:rPr>
          <w:rFonts w:hint="eastAsia" w:ascii="仿宋" w:hAnsi="仿宋" w:eastAsia="仿宋" w:cs="仿宋"/>
          <w:b/>
          <w:bCs/>
          <w:sz w:val="24"/>
        </w:rPr>
        <w:t>（6）对接项目完成情况，完成校企综合评审</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在整个项目完成后，师生填写1份综合评审表</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内容涉及项目实践活动中学生对岗位工作内容、职责、能力要求的认识</w:t>
      </w:r>
      <w:r>
        <w:rPr>
          <w:rFonts w:hint="eastAsia" w:ascii="仿宋" w:hAnsi="仿宋" w:eastAsia="仿宋" w:cs="仿宋"/>
          <w:color w:val="000000" w:themeColor="text1"/>
          <w:sz w:val="24"/>
          <w:lang w:val="en-US" w:eastAsia="zh-CN"/>
          <w14:textFill>
            <w14:solidFill>
              <w14:schemeClr w14:val="tx1"/>
            </w14:solidFill>
          </w14:textFill>
        </w:rPr>
        <w:t>以及</w:t>
      </w:r>
      <w:r>
        <w:rPr>
          <w:rFonts w:hint="eastAsia" w:ascii="仿宋" w:hAnsi="仿宋" w:eastAsia="仿宋" w:cs="仿宋"/>
          <w:color w:val="000000" w:themeColor="text1"/>
          <w:sz w:val="24"/>
          <w14:textFill>
            <w14:solidFill>
              <w14:schemeClr w14:val="tx1"/>
            </w14:solidFill>
          </w14:textFill>
        </w:rPr>
        <w:t>学生自我评价和导师评价；学生对团队提供的有价值的建议想法；从同伴身上学到的东西；学生参与这个项目实践活动觉得最宝贵的经验等。</w:t>
      </w:r>
      <w:r>
        <w:rPr>
          <w:rFonts w:hint="eastAsia" w:ascii="仿宋" w:hAnsi="仿宋" w:eastAsia="仿宋" w:cs="仿宋"/>
          <w:color w:val="000000" w:themeColor="text1"/>
          <w:sz w:val="24"/>
          <w:lang w:eastAsia="zh-CN"/>
          <w14:textFill>
            <w14:solidFill>
              <w14:schemeClr w14:val="tx1"/>
            </w14:solidFill>
          </w14:textFill>
        </w:rPr>
        <w:t>这些</w:t>
      </w:r>
      <w:r>
        <w:rPr>
          <w:rFonts w:hint="eastAsia" w:ascii="仿宋" w:hAnsi="仿宋" w:eastAsia="仿宋" w:cs="仿宋"/>
          <w:color w:val="000000" w:themeColor="text1"/>
          <w:sz w:val="24"/>
          <w14:textFill>
            <w14:solidFill>
              <w14:schemeClr w14:val="tx1"/>
            </w14:solidFill>
          </w14:textFill>
        </w:rPr>
        <w:t>评价有助于师生总结反思并不断改进教、学方法，帮助学生建立信心。</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仿宋" w:hAnsi="仿宋" w:eastAsia="仿宋" w:cs="仿宋"/>
          <w:sz w:val="24"/>
        </w:rPr>
      </w:pPr>
      <w:r>
        <w:rPr>
          <w:rFonts w:hint="eastAsia" w:ascii="仿宋" w:hAnsi="仿宋" w:eastAsia="仿宋" w:cs="仿宋"/>
          <w:b/>
          <w:bCs/>
          <w:sz w:val="24"/>
        </w:rPr>
        <w:t>4.孵化阶段：融合双创项目，孵创新创业项目/达人</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该阶段主要是面向前一阶段思想明确和有较成熟项目的学生或团队，主要通过“1+N+1平台”让学生的作品和项目有机会得到认可和孵化，从而使更多的学生领会创业创新的重要意义。</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前面的“1”是指搭建1个</w:t>
      </w:r>
      <w:r>
        <w:rPr>
          <w:rFonts w:hint="eastAsia" w:ascii="仿宋" w:hAnsi="仿宋" w:eastAsia="仿宋" w:cs="仿宋"/>
          <w:color w:val="000000" w:themeColor="text1"/>
          <w:sz w:val="24"/>
          <w:lang w:val="en-US" w:eastAsia="zh-CN"/>
          <w14:textFill>
            <w14:solidFill>
              <w14:schemeClr w14:val="tx1"/>
            </w14:solidFill>
          </w14:textFill>
        </w:rPr>
        <w:t>孵化项目</w:t>
      </w:r>
      <w:r>
        <w:rPr>
          <w:rFonts w:hint="eastAsia" w:ascii="仿宋" w:hAnsi="仿宋" w:eastAsia="仿宋" w:cs="仿宋"/>
          <w:color w:val="000000" w:themeColor="text1"/>
          <w:sz w:val="24"/>
          <w14:textFill>
            <w14:solidFill>
              <w14:schemeClr w14:val="tx1"/>
            </w14:solidFill>
          </w14:textFill>
        </w:rPr>
        <w:t>路演平台，“N”是指</w:t>
      </w:r>
      <w:r>
        <w:rPr>
          <w:rFonts w:hint="eastAsia" w:ascii="仿宋" w:hAnsi="仿宋" w:eastAsia="仿宋" w:cs="仿宋"/>
          <w:color w:val="000000" w:themeColor="text1"/>
          <w:sz w:val="24"/>
          <w:lang w:val="en-US" w:eastAsia="zh-CN"/>
          <w14:textFill>
            <w14:solidFill>
              <w14:schemeClr w14:val="tx1"/>
            </w14:solidFill>
          </w14:textFill>
        </w:rPr>
        <w:t>为落选的项目搭建若干个</w:t>
      </w:r>
      <w:r>
        <w:rPr>
          <w:rFonts w:hint="eastAsia" w:ascii="仿宋" w:hAnsi="仿宋" w:eastAsia="仿宋" w:cs="仿宋"/>
          <w:color w:val="000000" w:themeColor="text1"/>
          <w:sz w:val="24"/>
          <w14:textFill>
            <w14:solidFill>
              <w14:schemeClr w14:val="tx1"/>
            </w14:solidFill>
          </w14:textFill>
        </w:rPr>
        <w:t>比赛或者销售平台，后面的“1”是指对各类比赛的优秀作品进行一次校内展览。（如</w:t>
      </w:r>
      <w:r>
        <w:rPr>
          <w:rFonts w:hint="eastAsia" w:ascii="仿宋" w:hAnsi="仿宋" w:eastAsia="仿宋" w:cs="仿宋"/>
          <w:color w:val="000000" w:themeColor="text1"/>
          <w:sz w:val="24"/>
          <w:lang w:eastAsia="zh-CN"/>
          <w14:textFill>
            <w14:solidFill>
              <w14:schemeClr w14:val="tx1"/>
            </w14:solidFill>
          </w14:textFill>
        </w:rPr>
        <w:fldChar w:fldCharType="begin"/>
      </w:r>
      <w:r>
        <w:rPr>
          <w:rFonts w:hint="eastAsia" w:ascii="仿宋" w:hAnsi="仿宋" w:eastAsia="仿宋" w:cs="仿宋"/>
          <w:color w:val="000000" w:themeColor="text1"/>
          <w:sz w:val="24"/>
          <w:lang w:eastAsia="zh-CN"/>
          <w14:textFill>
            <w14:solidFill>
              <w14:schemeClr w14:val="tx1"/>
            </w14:solidFill>
          </w14:textFill>
        </w:rPr>
        <w:instrText xml:space="preserve"> REF _Ref3463 </w:instrText>
      </w:r>
      <w:r>
        <w:rPr>
          <w:rFonts w:hint="eastAsia" w:ascii="仿宋" w:hAnsi="仿宋" w:eastAsia="仿宋" w:cs="仿宋"/>
          <w:color w:val="000000" w:themeColor="text1"/>
          <w:sz w:val="24"/>
          <w:lang w:eastAsia="zh-CN"/>
          <w14:textFill>
            <w14:solidFill>
              <w14:schemeClr w14:val="tx1"/>
            </w14:solidFill>
          </w14:textFill>
        </w:rPr>
        <w:fldChar w:fldCharType="separate"/>
      </w:r>
      <w:r>
        <w:t xml:space="preserve">图 </w:t>
      </w:r>
      <w:r>
        <w:rPr>
          <w:rFonts w:hint="eastAsia"/>
          <w:lang w:val="en-US" w:eastAsia="zh-CN"/>
        </w:rPr>
        <w:t>7</w:t>
      </w:r>
      <w:r>
        <w:rPr>
          <w:rFonts w:hint="eastAsia" w:ascii="仿宋" w:hAnsi="仿宋" w:eastAsia="仿宋" w:cs="仿宋"/>
          <w:color w:val="000000" w:themeColor="text1"/>
          <w:sz w:val="24"/>
          <w:lang w:eastAsia="zh-CN"/>
          <w14:textFill>
            <w14:solidFill>
              <w14:schemeClr w14:val="tx1"/>
            </w14:solidFill>
          </w14:textFill>
        </w:rPr>
        <w:fldChar w:fldCharType="end"/>
      </w:r>
      <w:r>
        <w:rPr>
          <w:rFonts w:hint="eastAsia" w:ascii="仿宋" w:hAnsi="仿宋" w:eastAsia="仿宋" w:cs="仿宋"/>
          <w:color w:val="000000" w:themeColor="text1"/>
          <w:sz w:val="24"/>
          <w14:textFill>
            <w14:solidFill>
              <w14:schemeClr w14:val="tx1"/>
            </w14:solidFill>
          </w14:textFill>
        </w:rPr>
        <w:t>）</w:t>
      </w:r>
    </w:p>
    <w:p>
      <w:pPr>
        <w:jc w:val="center"/>
        <w:rPr>
          <w:rFonts w:hint="eastAsia" w:ascii="仿宋" w:hAnsi="仿宋" w:eastAsia="仿宋" w:cs="仿宋"/>
          <w:sz w:val="24"/>
        </w:rPr>
      </w:pPr>
      <w:r>
        <w:rPr>
          <w:rFonts w:hint="eastAsia" w:ascii="仿宋" w:hAnsi="仿宋" w:eastAsia="仿宋" w:cs="仿宋"/>
          <w:sz w:val="24"/>
        </w:rPr>
        <w:drawing>
          <wp:inline distT="0" distB="0" distL="114300" distR="114300">
            <wp:extent cx="5269865" cy="1461135"/>
            <wp:effectExtent l="0" t="0" r="6985" b="5715"/>
            <wp:docPr id="11" name="图片 11" descr="图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8"/>
                    <pic:cNvPicPr>
                      <a:picLocks noChangeAspect="1"/>
                    </pic:cNvPicPr>
                  </pic:nvPicPr>
                  <pic:blipFill>
                    <a:blip r:embed="rId12"/>
                    <a:stretch>
                      <a:fillRect/>
                    </a:stretch>
                  </pic:blipFill>
                  <pic:spPr>
                    <a:xfrm>
                      <a:off x="0" y="0"/>
                      <a:ext cx="5269865" cy="1461135"/>
                    </a:xfrm>
                    <a:prstGeom prst="rect">
                      <a:avLst/>
                    </a:prstGeom>
                  </pic:spPr>
                </pic:pic>
              </a:graphicData>
            </a:graphic>
          </wp:inline>
        </w:drawing>
      </w:r>
    </w:p>
    <w:p>
      <w:pPr>
        <w:pStyle w:val="4"/>
        <w:jc w:val="center"/>
        <w:rPr>
          <w:rFonts w:hint="eastAsia" w:eastAsia="黑体"/>
          <w:lang w:val="en-US" w:eastAsia="zh-CN"/>
        </w:rPr>
      </w:pPr>
      <w:r>
        <w:t xml:space="preserve">图 </w:t>
      </w:r>
      <w:r>
        <w:rPr>
          <w:rFonts w:hint="eastAsia"/>
          <w:lang w:val="en-US" w:eastAsia="zh-CN"/>
        </w:rPr>
        <w:t>7 孵化阶段创新创业教育运行图</w:t>
      </w:r>
    </w:p>
    <w:p>
      <w:pPr>
        <w:keepNext w:val="0"/>
        <w:keepLines w:val="0"/>
        <w:pageBreakBefore w:val="0"/>
        <w:widowControl w:val="0"/>
        <w:kinsoku/>
        <w:wordWrap/>
        <w:overflowPunct/>
        <w:topLinePunct w:val="0"/>
        <w:autoSpaceDE/>
        <w:autoSpaceDN/>
        <w:bidi w:val="0"/>
        <w:adjustRightInd/>
        <w:snapToGrid/>
        <w:spacing w:before="157" w:beforeLines="50" w:line="420" w:lineRule="exact"/>
        <w:ind w:firstLine="482"/>
        <w:textAlignment w:val="auto"/>
        <w:rPr>
          <w:rFonts w:hint="eastAsia" w:ascii="仿宋" w:hAnsi="仿宋" w:eastAsia="仿宋" w:cs="仿宋"/>
          <w:b w:val="0"/>
          <w:bCs w:val="0"/>
          <w:sz w:val="24"/>
        </w:rPr>
      </w:pPr>
      <w:r>
        <w:rPr>
          <w:rFonts w:hint="eastAsia" w:ascii="仿宋" w:hAnsi="仿宋" w:eastAsia="仿宋" w:cs="仿宋"/>
          <w:b w:val="0"/>
          <w:bCs w:val="0"/>
          <w:sz w:val="24"/>
        </w:rPr>
        <w:t>具体组织流程如下</w:t>
      </w:r>
      <w:r>
        <w:rPr>
          <w:rFonts w:hint="eastAsia" w:ascii="仿宋" w:hAnsi="仿宋" w:eastAsia="仿宋" w:cs="仿宋"/>
          <w:b w:val="0"/>
          <w:bCs w:val="0"/>
          <w:sz w:val="24"/>
          <w:lang w:eastAsia="zh-CN"/>
        </w:rPr>
        <w:t>（</w:t>
      </w:r>
      <w:r>
        <w:rPr>
          <w:rFonts w:hint="eastAsia" w:ascii="仿宋" w:hAnsi="仿宋" w:eastAsia="仿宋" w:cs="仿宋"/>
          <w:b w:val="0"/>
          <w:bCs w:val="0"/>
          <w:sz w:val="24"/>
          <w:lang w:val="en-US" w:eastAsia="zh-CN"/>
        </w:rPr>
        <w:t>见</w:t>
      </w:r>
      <w:r>
        <w:rPr>
          <w:rFonts w:hint="eastAsia" w:ascii="仿宋" w:hAnsi="仿宋" w:eastAsia="仿宋" w:cs="仿宋"/>
          <w:b w:val="0"/>
          <w:bCs w:val="0"/>
          <w:sz w:val="24"/>
          <w:lang w:val="en-US" w:eastAsia="zh-CN"/>
        </w:rPr>
        <w:fldChar w:fldCharType="begin"/>
      </w:r>
      <w:r>
        <w:rPr>
          <w:rFonts w:hint="eastAsia" w:ascii="仿宋" w:hAnsi="仿宋" w:eastAsia="仿宋" w:cs="仿宋"/>
          <w:b w:val="0"/>
          <w:bCs w:val="0"/>
          <w:sz w:val="24"/>
          <w:lang w:val="en-US" w:eastAsia="zh-CN"/>
        </w:rPr>
        <w:instrText xml:space="preserve"> REF _Ref3581 </w:instrText>
      </w:r>
      <w:r>
        <w:rPr>
          <w:rFonts w:hint="eastAsia" w:ascii="仿宋" w:hAnsi="仿宋" w:eastAsia="仿宋" w:cs="仿宋"/>
          <w:b w:val="0"/>
          <w:bCs w:val="0"/>
          <w:sz w:val="24"/>
          <w:lang w:val="en-US" w:eastAsia="zh-CN"/>
        </w:rPr>
        <w:fldChar w:fldCharType="separate"/>
      </w:r>
      <w:r>
        <w:t xml:space="preserve">图 </w:t>
      </w:r>
      <w:r>
        <w:rPr>
          <w:rFonts w:hint="eastAsia"/>
          <w:lang w:val="en-US" w:eastAsia="zh-CN"/>
        </w:rPr>
        <w:t>8</w:t>
      </w:r>
      <w:r>
        <w:rPr>
          <w:rFonts w:hint="eastAsia" w:ascii="仿宋" w:hAnsi="仿宋" w:eastAsia="仿宋" w:cs="仿宋"/>
          <w:b w:val="0"/>
          <w:bCs w:val="0"/>
          <w:sz w:val="24"/>
          <w:lang w:val="en-US" w:eastAsia="zh-CN"/>
        </w:rPr>
        <w:fldChar w:fldCharType="end"/>
      </w:r>
      <w:r>
        <w:rPr>
          <w:rFonts w:hint="eastAsia" w:ascii="仿宋" w:hAnsi="仿宋" w:eastAsia="仿宋" w:cs="仿宋"/>
          <w:b w:val="0"/>
          <w:bCs w:val="0"/>
          <w:sz w:val="24"/>
          <w:lang w:eastAsia="zh-CN"/>
        </w:rPr>
        <w:t>）</w:t>
      </w:r>
      <w:r>
        <w:rPr>
          <w:rFonts w:hint="eastAsia" w:ascii="仿宋" w:hAnsi="仿宋" w:eastAsia="仿宋" w:cs="仿宋"/>
          <w:b w:val="0"/>
          <w:bCs w:val="0"/>
          <w:sz w:val="24"/>
        </w:rPr>
        <w:t>：</w:t>
      </w:r>
    </w:p>
    <w:p>
      <w:pPr>
        <w:bidi w:val="0"/>
        <w:rPr>
          <w:rFonts w:hint="eastAsia" w:eastAsiaTheme="minorEastAsia"/>
          <w:lang w:eastAsia="zh-CN"/>
        </w:rPr>
      </w:pPr>
      <w:r>
        <w:rPr>
          <w:rFonts w:hint="eastAsia" w:eastAsiaTheme="minorEastAsia"/>
          <w:lang w:eastAsia="zh-CN"/>
        </w:rPr>
        <w:drawing>
          <wp:inline distT="0" distB="0" distL="114300" distR="114300">
            <wp:extent cx="5269865" cy="1901825"/>
            <wp:effectExtent l="0" t="0" r="6985" b="3175"/>
            <wp:docPr id="13" name="图片 13" descr="图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10"/>
                    <pic:cNvPicPr>
                      <a:picLocks noChangeAspect="1"/>
                    </pic:cNvPicPr>
                  </pic:nvPicPr>
                  <pic:blipFill>
                    <a:blip r:embed="rId13"/>
                    <a:stretch>
                      <a:fillRect/>
                    </a:stretch>
                  </pic:blipFill>
                  <pic:spPr>
                    <a:xfrm>
                      <a:off x="0" y="0"/>
                      <a:ext cx="5269865" cy="1901825"/>
                    </a:xfrm>
                    <a:prstGeom prst="rect">
                      <a:avLst/>
                    </a:prstGeom>
                  </pic:spPr>
                </pic:pic>
              </a:graphicData>
            </a:graphic>
          </wp:inline>
        </w:drawing>
      </w:r>
    </w:p>
    <w:p>
      <w:pPr>
        <w:pStyle w:val="4"/>
        <w:jc w:val="center"/>
        <w:rPr>
          <w:rFonts w:hint="eastAsia"/>
          <w:lang w:eastAsia="zh-CN"/>
        </w:rPr>
      </w:pPr>
      <w:r>
        <w:t xml:space="preserve">图 </w:t>
      </w:r>
      <w:r>
        <w:rPr>
          <w:rFonts w:hint="eastAsia"/>
          <w:lang w:val="en-US" w:eastAsia="zh-CN"/>
        </w:rPr>
        <w:t xml:space="preserve">8 </w:t>
      </w:r>
      <w:r>
        <w:rPr>
          <w:rFonts w:hint="eastAsia"/>
        </w:rPr>
        <w:t>孵化阶段组织流程</w:t>
      </w:r>
    </w:p>
    <w:p>
      <w:pPr>
        <w:pageBreakBefore w:val="0"/>
        <w:widowControl w:val="0"/>
        <w:kinsoku/>
        <w:wordWrap/>
        <w:overflowPunct/>
        <w:topLinePunct w:val="0"/>
        <w:autoSpaceDE/>
        <w:autoSpaceDN/>
        <w:bidi w:val="0"/>
        <w:adjustRightInd/>
        <w:snapToGrid/>
        <w:spacing w:line="440" w:lineRule="exact"/>
        <w:ind w:firstLine="482" w:firstLineChars="200"/>
        <w:textAlignment w:val="auto"/>
      </w:pPr>
      <w:r>
        <w:rPr>
          <w:rFonts w:hint="eastAsia" w:ascii="仿宋" w:hAnsi="仿宋" w:eastAsia="仿宋" w:cs="仿宋"/>
          <w:b/>
          <w:bCs/>
          <w:sz w:val="24"/>
        </w:rPr>
        <w:t>（1）组织专家初选</w:t>
      </w:r>
    </w:p>
    <w:p>
      <w:pPr>
        <w:pageBreakBefore w:val="0"/>
        <w:widowControl w:val="0"/>
        <w:kinsoku/>
        <w:wordWrap/>
        <w:overflowPunct/>
        <w:topLinePunct w:val="0"/>
        <w:autoSpaceDE/>
        <w:autoSpaceDN/>
        <w:bidi w:val="0"/>
        <w:adjustRightInd/>
        <w:snapToGrid/>
        <w:spacing w:line="440" w:lineRule="exact"/>
        <w:ind w:firstLine="480"/>
        <w:textAlignment w:val="auto"/>
        <w:rPr>
          <w:rFonts w:ascii="仿宋" w:hAnsi="仿宋" w:eastAsia="仿宋" w:cs="仿宋"/>
          <w:kern w:val="44"/>
          <w:sz w:val="24"/>
        </w:rPr>
      </w:pPr>
      <w:r>
        <w:rPr>
          <w:rFonts w:hint="eastAsia" w:ascii="仿宋" w:hAnsi="仿宋" w:eastAsia="仿宋" w:cs="仿宋"/>
          <w:kern w:val="44"/>
          <w:sz w:val="24"/>
        </w:rPr>
        <w:t>三园先组织行业企业专家、专业教师对该阶段学生的创业计划书</w:t>
      </w:r>
      <w:r>
        <w:rPr>
          <w:rFonts w:hint="eastAsia" w:ascii="仿宋" w:hAnsi="仿宋" w:eastAsia="仿宋" w:cs="仿宋"/>
          <w:kern w:val="44"/>
          <w:sz w:val="24"/>
          <w:lang w:eastAsia="zh-CN"/>
        </w:rPr>
        <w:t>、</w:t>
      </w:r>
      <w:r>
        <w:rPr>
          <w:rFonts w:hint="eastAsia" w:ascii="仿宋" w:hAnsi="仿宋" w:eastAsia="仿宋" w:cs="仿宋"/>
          <w:kern w:val="44"/>
          <w:sz w:val="24"/>
        </w:rPr>
        <w:t>项目计划书或者设计作品进行初选。</w:t>
      </w:r>
    </w:p>
    <w:p>
      <w:pPr>
        <w:pageBreakBefore w:val="0"/>
        <w:widowControl w:val="0"/>
        <w:kinsoku/>
        <w:wordWrap/>
        <w:overflowPunct/>
        <w:topLinePunct w:val="0"/>
        <w:autoSpaceDE/>
        <w:autoSpaceDN/>
        <w:bidi w:val="0"/>
        <w:adjustRightInd/>
        <w:snapToGrid/>
        <w:spacing w:line="440" w:lineRule="exact"/>
        <w:ind w:firstLine="482" w:firstLineChars="200"/>
        <w:textAlignment w:val="auto"/>
        <w:rPr>
          <w:rFonts w:ascii="仿宋" w:hAnsi="仿宋" w:eastAsia="仿宋" w:cs="仿宋"/>
          <w:b/>
          <w:bCs/>
          <w:sz w:val="24"/>
        </w:rPr>
      </w:pPr>
      <w:r>
        <w:rPr>
          <w:rFonts w:hint="eastAsia" w:ascii="仿宋" w:hAnsi="仿宋" w:eastAsia="仿宋" w:cs="仿宋"/>
          <w:b/>
          <w:bCs/>
          <w:sz w:val="24"/>
        </w:rPr>
        <w:t>（2）入围项目培训</w:t>
      </w:r>
    </w:p>
    <w:p>
      <w:pPr>
        <w:pageBreakBefore w:val="0"/>
        <w:widowControl w:val="0"/>
        <w:kinsoku/>
        <w:wordWrap/>
        <w:overflowPunct/>
        <w:topLinePunct w:val="0"/>
        <w:autoSpaceDE/>
        <w:autoSpaceDN/>
        <w:bidi w:val="0"/>
        <w:adjustRightInd/>
        <w:snapToGrid/>
        <w:spacing w:line="440" w:lineRule="exact"/>
        <w:ind w:firstLine="480"/>
        <w:textAlignment w:val="auto"/>
        <w:rPr>
          <w:rFonts w:ascii="仿宋" w:hAnsi="仿宋" w:eastAsia="仿宋" w:cs="仿宋"/>
          <w:kern w:val="44"/>
          <w:sz w:val="24"/>
        </w:rPr>
      </w:pPr>
      <w:r>
        <w:rPr>
          <w:rFonts w:hint="eastAsia" w:ascii="仿宋" w:hAnsi="仿宋" w:eastAsia="仿宋" w:cs="仿宋"/>
          <w:kern w:val="44"/>
          <w:sz w:val="24"/>
        </w:rPr>
        <w:t>初选通过的学生或者团队，各园一起进行SYB课程的</w:t>
      </w:r>
      <w:r>
        <w:rPr>
          <w:rFonts w:hint="eastAsia" w:ascii="仿宋" w:hAnsi="仿宋" w:eastAsia="仿宋" w:cs="仿宋"/>
          <w:kern w:val="44"/>
          <w:sz w:val="24"/>
          <w:lang w:val="en-US" w:eastAsia="zh-CN"/>
        </w:rPr>
        <w:t>学习</w:t>
      </w:r>
      <w:r>
        <w:rPr>
          <w:rFonts w:hint="eastAsia" w:ascii="仿宋" w:hAnsi="仿宋" w:eastAsia="仿宋" w:cs="仿宋"/>
          <w:kern w:val="44"/>
          <w:sz w:val="24"/>
        </w:rPr>
        <w:t>，学生团队对项目进行完善，并且准备复试。</w:t>
      </w:r>
    </w:p>
    <w:p>
      <w:pPr>
        <w:pageBreakBefore w:val="0"/>
        <w:widowControl w:val="0"/>
        <w:kinsoku/>
        <w:wordWrap/>
        <w:overflowPunct/>
        <w:topLinePunct w:val="0"/>
        <w:autoSpaceDE/>
        <w:autoSpaceDN/>
        <w:bidi w:val="0"/>
        <w:adjustRightInd/>
        <w:snapToGrid/>
        <w:spacing w:line="440" w:lineRule="exact"/>
        <w:ind w:firstLine="482" w:firstLineChars="200"/>
        <w:textAlignment w:val="auto"/>
        <w:rPr>
          <w:rFonts w:ascii="仿宋" w:hAnsi="仿宋" w:eastAsia="仿宋" w:cs="仿宋"/>
          <w:b/>
          <w:bCs/>
          <w:sz w:val="24"/>
        </w:rPr>
      </w:pPr>
      <w:r>
        <w:rPr>
          <w:rFonts w:hint="eastAsia" w:ascii="仿宋" w:hAnsi="仿宋" w:eastAsia="仿宋" w:cs="仿宋"/>
          <w:b/>
          <w:bCs/>
          <w:sz w:val="24"/>
        </w:rPr>
        <w:t>（3）入围项目复试</w:t>
      </w:r>
    </w:p>
    <w:p>
      <w:pPr>
        <w:pageBreakBefore w:val="0"/>
        <w:widowControl w:val="0"/>
        <w:kinsoku/>
        <w:wordWrap/>
        <w:overflowPunct/>
        <w:topLinePunct w:val="0"/>
        <w:autoSpaceDE/>
        <w:autoSpaceDN/>
        <w:bidi w:val="0"/>
        <w:adjustRightInd/>
        <w:snapToGrid/>
        <w:spacing w:line="440" w:lineRule="exact"/>
        <w:ind w:firstLine="480"/>
        <w:textAlignment w:val="auto"/>
        <w:rPr>
          <w:rFonts w:ascii="仿宋" w:hAnsi="仿宋" w:eastAsia="仿宋" w:cs="仿宋"/>
          <w:kern w:val="44"/>
          <w:sz w:val="24"/>
        </w:rPr>
      </w:pPr>
      <w:r>
        <w:rPr>
          <w:rFonts w:hint="eastAsia" w:ascii="仿宋" w:hAnsi="仿宋" w:eastAsia="仿宋" w:cs="仿宋"/>
          <w:kern w:val="44"/>
          <w:sz w:val="24"/>
        </w:rPr>
        <w:t>三园项目一起路演复试，邀请行业企业专家、科协、市场监管局相关部门成员</w:t>
      </w:r>
      <w:r>
        <w:rPr>
          <w:rFonts w:hint="eastAsia" w:ascii="仿宋" w:hAnsi="仿宋" w:eastAsia="仿宋" w:cs="仿宋"/>
          <w:kern w:val="44"/>
          <w:sz w:val="24"/>
          <w:lang w:eastAsia="zh-CN"/>
        </w:rPr>
        <w:t>组成</w:t>
      </w:r>
      <w:r>
        <w:rPr>
          <w:rFonts w:hint="eastAsia" w:ascii="仿宋" w:hAnsi="仿宋" w:eastAsia="仿宋" w:cs="仿宋"/>
          <w:kern w:val="44"/>
          <w:sz w:val="24"/>
        </w:rPr>
        <w:t>专家评委，学生组成大众评委对初选入围的项目进行评价，选出孵化可能性较大的项目入驻三园实践区。</w:t>
      </w:r>
    </w:p>
    <w:p>
      <w:pPr>
        <w:pageBreakBefore w:val="0"/>
        <w:widowControl w:val="0"/>
        <w:kinsoku/>
        <w:wordWrap/>
        <w:overflowPunct/>
        <w:topLinePunct w:val="0"/>
        <w:autoSpaceDE/>
        <w:autoSpaceDN/>
        <w:bidi w:val="0"/>
        <w:adjustRightInd/>
        <w:snapToGrid/>
        <w:spacing w:line="440" w:lineRule="exact"/>
        <w:ind w:firstLine="482" w:firstLineChars="200"/>
        <w:textAlignment w:val="auto"/>
        <w:rPr>
          <w:rFonts w:ascii="仿宋" w:hAnsi="仿宋" w:eastAsia="仿宋" w:cs="仿宋"/>
          <w:b/>
          <w:bCs/>
          <w:sz w:val="24"/>
        </w:rPr>
      </w:pPr>
      <w:r>
        <w:rPr>
          <w:rFonts w:hint="eastAsia" w:ascii="仿宋" w:hAnsi="仿宋" w:eastAsia="仿宋" w:cs="仿宋"/>
          <w:b/>
          <w:bCs/>
          <w:sz w:val="24"/>
        </w:rPr>
        <w:t>（4）入驻项目扶持</w:t>
      </w:r>
    </w:p>
    <w:p>
      <w:pPr>
        <w:pageBreakBefore w:val="0"/>
        <w:widowControl w:val="0"/>
        <w:kinsoku/>
        <w:wordWrap/>
        <w:overflowPunct/>
        <w:topLinePunct w:val="0"/>
        <w:autoSpaceDE/>
        <w:autoSpaceDN/>
        <w:bidi w:val="0"/>
        <w:adjustRightInd/>
        <w:snapToGrid/>
        <w:spacing w:line="440" w:lineRule="exact"/>
        <w:ind w:firstLine="480"/>
        <w:textAlignment w:val="auto"/>
        <w:rPr>
          <w:rFonts w:ascii="仿宋" w:hAnsi="仿宋" w:eastAsia="仿宋" w:cs="仿宋"/>
          <w:kern w:val="44"/>
          <w:sz w:val="24"/>
        </w:rPr>
      </w:pPr>
      <w:r>
        <w:rPr>
          <w:rFonts w:hint="eastAsia" w:ascii="仿宋" w:hAnsi="仿宋" w:eastAsia="仿宋" w:cs="仿宋"/>
          <w:kern w:val="44"/>
          <w:sz w:val="24"/>
          <w:lang w:eastAsia="zh-CN"/>
        </w:rPr>
        <w:t>三</w:t>
      </w:r>
      <w:r>
        <w:rPr>
          <w:rFonts w:hint="eastAsia" w:ascii="仿宋" w:hAnsi="仿宋" w:eastAsia="仿宋" w:cs="仿宋"/>
          <w:kern w:val="44"/>
          <w:sz w:val="24"/>
        </w:rPr>
        <w:t>组项目进住各园实践区</w:t>
      </w:r>
      <w:r>
        <w:rPr>
          <w:rFonts w:hint="eastAsia" w:ascii="仿宋" w:hAnsi="仿宋" w:eastAsia="仿宋" w:cs="仿宋"/>
          <w:kern w:val="44"/>
          <w:sz w:val="24"/>
          <w:lang w:eastAsia="zh-CN"/>
        </w:rPr>
        <w:t>后</w:t>
      </w:r>
      <w:r>
        <w:rPr>
          <w:rFonts w:hint="eastAsia" w:ascii="仿宋" w:hAnsi="仿宋" w:eastAsia="仿宋" w:cs="仿宋"/>
          <w:kern w:val="44"/>
          <w:sz w:val="24"/>
        </w:rPr>
        <w:t>，各园的服务区将给</w:t>
      </w:r>
      <w:r>
        <w:rPr>
          <w:rFonts w:hint="eastAsia" w:ascii="仿宋" w:hAnsi="仿宋" w:eastAsia="仿宋" w:cs="仿宋"/>
          <w:kern w:val="44"/>
          <w:sz w:val="24"/>
          <w:lang w:eastAsia="zh-CN"/>
        </w:rPr>
        <w:t>予</w:t>
      </w:r>
      <w:r>
        <w:rPr>
          <w:rFonts w:hint="eastAsia" w:ascii="仿宋" w:hAnsi="仿宋" w:eastAsia="仿宋" w:cs="仿宋"/>
          <w:kern w:val="44"/>
          <w:sz w:val="24"/>
        </w:rPr>
        <w:t>他们在技术、资源上的帮扶，对于在园区实践区设备支持不了的项目，各园将对接地方企业，把实践区放到企业。学校将根据项目的级别给予资金扶持。</w:t>
      </w:r>
    </w:p>
    <w:p>
      <w:pPr>
        <w:pageBreakBefore w:val="0"/>
        <w:widowControl w:val="0"/>
        <w:kinsoku/>
        <w:wordWrap/>
        <w:overflowPunct/>
        <w:topLinePunct w:val="0"/>
        <w:autoSpaceDE/>
        <w:autoSpaceDN/>
        <w:bidi w:val="0"/>
        <w:adjustRightInd/>
        <w:snapToGrid/>
        <w:spacing w:line="440" w:lineRule="exact"/>
        <w:ind w:firstLine="482" w:firstLineChars="200"/>
        <w:textAlignment w:val="auto"/>
        <w:rPr>
          <w:rFonts w:ascii="仿宋" w:hAnsi="仿宋" w:eastAsia="仿宋" w:cs="仿宋"/>
          <w:b/>
          <w:bCs/>
          <w:sz w:val="24"/>
        </w:rPr>
      </w:pPr>
      <w:r>
        <w:rPr>
          <w:rFonts w:hint="eastAsia" w:ascii="仿宋" w:hAnsi="仿宋" w:eastAsia="仿宋" w:cs="仿宋"/>
          <w:b/>
          <w:bCs/>
          <w:sz w:val="24"/>
        </w:rPr>
        <w:t>（5）淘汰项目平台</w:t>
      </w:r>
    </w:p>
    <w:p>
      <w:pPr>
        <w:pageBreakBefore w:val="0"/>
        <w:widowControl w:val="0"/>
        <w:kinsoku/>
        <w:wordWrap/>
        <w:overflowPunct/>
        <w:topLinePunct w:val="0"/>
        <w:autoSpaceDE/>
        <w:autoSpaceDN/>
        <w:bidi w:val="0"/>
        <w:adjustRightInd/>
        <w:snapToGrid/>
        <w:spacing w:line="440" w:lineRule="exact"/>
        <w:ind w:firstLine="480"/>
        <w:textAlignment w:val="auto"/>
        <w:rPr>
          <w:rFonts w:ascii="仿宋" w:hAnsi="仿宋" w:eastAsia="仿宋" w:cs="仿宋"/>
          <w:kern w:val="44"/>
          <w:sz w:val="24"/>
        </w:rPr>
      </w:pPr>
      <w:r>
        <w:rPr>
          <w:rFonts w:hint="eastAsia" w:ascii="仿宋" w:hAnsi="仿宋" w:eastAsia="仿宋" w:cs="仿宋"/>
          <w:kern w:val="44"/>
          <w:sz w:val="24"/>
        </w:rPr>
        <w:t>对于积极参与而未被入选的项目，园区积极搭建平台</w:t>
      </w:r>
      <w:r>
        <w:rPr>
          <w:rFonts w:hint="eastAsia" w:ascii="仿宋" w:hAnsi="仿宋" w:eastAsia="仿宋" w:cs="仿宋"/>
          <w:kern w:val="44"/>
          <w:sz w:val="24"/>
          <w:lang w:eastAsia="zh-CN"/>
        </w:rPr>
        <w:t>，</w:t>
      </w:r>
      <w:r>
        <w:rPr>
          <w:rFonts w:hint="eastAsia" w:ascii="仿宋" w:hAnsi="仿宋" w:eastAsia="仿宋" w:cs="仿宋"/>
          <w:kern w:val="44"/>
          <w:sz w:val="24"/>
        </w:rPr>
        <w:t>如各类创新创业大赛</w:t>
      </w:r>
      <w:r>
        <w:rPr>
          <w:rFonts w:hint="eastAsia" w:ascii="仿宋" w:hAnsi="仿宋" w:eastAsia="仿宋" w:cs="仿宋"/>
          <w:kern w:val="44"/>
          <w:sz w:val="24"/>
          <w:lang w:eastAsia="zh-CN"/>
        </w:rPr>
        <w:t>（</w:t>
      </w:r>
      <w:r>
        <w:rPr>
          <w:rFonts w:hint="eastAsia" w:ascii="仿宋" w:hAnsi="仿宋" w:eastAsia="仿宋" w:cs="仿宋"/>
          <w:kern w:val="44"/>
          <w:sz w:val="24"/>
        </w:rPr>
        <w:t>县市的青少年科技节、省市创新创业大赛等和校园内的跳蚤市场等</w:t>
      </w:r>
      <w:r>
        <w:rPr>
          <w:rFonts w:hint="eastAsia" w:ascii="仿宋" w:hAnsi="仿宋" w:eastAsia="仿宋" w:cs="仿宋"/>
          <w:kern w:val="44"/>
          <w:sz w:val="24"/>
          <w:lang w:eastAsia="zh-CN"/>
        </w:rPr>
        <w:t>）</w:t>
      </w:r>
      <w:r>
        <w:rPr>
          <w:rFonts w:hint="eastAsia" w:ascii="仿宋" w:hAnsi="仿宋" w:eastAsia="仿宋" w:cs="仿宋"/>
          <w:kern w:val="44"/>
          <w:sz w:val="24"/>
        </w:rPr>
        <w:t>争取让每位学生至少独立或者团队完成一个项目并参加过一次创新创业大赛，让</w:t>
      </w:r>
      <w:r>
        <w:rPr>
          <w:rFonts w:hint="eastAsia" w:ascii="仿宋" w:hAnsi="仿宋" w:eastAsia="仿宋" w:cs="仿宋"/>
          <w:kern w:val="44"/>
          <w:sz w:val="24"/>
          <w:lang w:val="en-US" w:eastAsia="zh-CN"/>
        </w:rPr>
        <w:t>他们</w:t>
      </w:r>
      <w:r>
        <w:rPr>
          <w:rFonts w:hint="eastAsia" w:ascii="仿宋" w:hAnsi="仿宋" w:eastAsia="仿宋" w:cs="仿宋"/>
          <w:sz w:val="24"/>
        </w:rPr>
        <w:t>有更多的机会参与创新创业活动，增强信心。</w:t>
      </w:r>
      <w:r>
        <w:rPr>
          <w:rFonts w:hint="eastAsia" w:ascii="仿宋" w:hAnsi="仿宋" w:eastAsia="仿宋" w:cs="仿宋"/>
          <w:kern w:val="44"/>
          <w:sz w:val="24"/>
        </w:rPr>
        <w:t>最后，对此阶段所有优秀作品进行一次校内展览</w:t>
      </w:r>
      <w:r>
        <w:rPr>
          <w:rFonts w:hint="eastAsia" w:ascii="仿宋" w:hAnsi="仿宋" w:eastAsia="仿宋" w:cs="仿宋"/>
          <w:kern w:val="44"/>
          <w:sz w:val="24"/>
          <w:lang w:eastAsia="zh-CN"/>
        </w:rPr>
        <w:t>，</w:t>
      </w:r>
      <w:r>
        <w:rPr>
          <w:rFonts w:hint="eastAsia" w:ascii="仿宋" w:hAnsi="仿宋" w:eastAsia="仿宋" w:cs="仿宋"/>
          <w:kern w:val="44"/>
          <w:sz w:val="24"/>
        </w:rPr>
        <w:t>使</w:t>
      </w:r>
      <w:r>
        <w:rPr>
          <w:rFonts w:hint="eastAsia" w:ascii="仿宋" w:hAnsi="仿宋" w:eastAsia="仿宋" w:cs="仿宋"/>
          <w:kern w:val="44"/>
          <w:sz w:val="24"/>
          <w:lang w:eastAsia="zh-CN"/>
        </w:rPr>
        <w:t>学生</w:t>
      </w:r>
      <w:r>
        <w:rPr>
          <w:rFonts w:hint="eastAsia" w:ascii="仿宋" w:hAnsi="仿宋" w:eastAsia="仿宋" w:cs="仿宋"/>
          <w:kern w:val="44"/>
          <w:sz w:val="24"/>
        </w:rPr>
        <w:t>明白创新创业</w:t>
      </w:r>
      <w:r>
        <w:rPr>
          <w:rFonts w:hint="eastAsia" w:ascii="仿宋" w:hAnsi="仿宋" w:eastAsia="仿宋" w:cs="仿宋"/>
          <w:kern w:val="44"/>
          <w:sz w:val="24"/>
          <w:lang w:val="en-US" w:eastAsia="zh-CN"/>
        </w:rPr>
        <w:t>无处不</w:t>
      </w:r>
      <w:r>
        <w:rPr>
          <w:rFonts w:hint="eastAsia" w:ascii="仿宋" w:hAnsi="仿宋" w:eastAsia="仿宋" w:cs="仿宋"/>
          <w:kern w:val="44"/>
          <w:sz w:val="24"/>
        </w:rPr>
        <w:t>在。</w:t>
      </w:r>
    </w:p>
    <w:p>
      <w:pPr>
        <w:pStyle w:val="3"/>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微软雅黑" w:hAnsi="微软雅黑" w:eastAsia="微软雅黑" w:cs="微软雅黑"/>
          <w:lang w:val="en-US" w:eastAsia="zh-CN"/>
        </w:rPr>
      </w:pPr>
      <w:r>
        <w:rPr>
          <w:rFonts w:hint="eastAsia" w:ascii="微软雅黑" w:hAnsi="微软雅黑" w:eastAsia="微软雅黑" w:cs="微软雅黑"/>
        </w:rPr>
        <w:t>（三）</w:t>
      </w:r>
      <w:r>
        <w:rPr>
          <w:rFonts w:hint="eastAsia" w:ascii="微软雅黑" w:hAnsi="微软雅黑" w:eastAsia="微软雅黑" w:cs="微软雅黑"/>
          <w:lang w:val="en-US" w:eastAsia="zh-CN"/>
        </w:rPr>
        <w:t>三园共建制度保障机制</w:t>
      </w:r>
    </w:p>
    <w:p>
      <w:pPr>
        <w:pageBreakBefore w:val="0"/>
        <w:widowControl w:val="0"/>
        <w:kinsoku/>
        <w:wordWrap/>
        <w:overflowPunct/>
        <w:topLinePunct w:val="0"/>
        <w:autoSpaceDE/>
        <w:autoSpaceDN/>
        <w:bidi w:val="0"/>
        <w:adjustRightInd/>
        <w:snapToGrid/>
        <w:spacing w:line="440" w:lineRule="exact"/>
        <w:ind w:firstLine="480" w:firstLineChars="200"/>
        <w:textAlignment w:val="auto"/>
        <w:rPr>
          <w:rFonts w:ascii="宋体" w:hAnsi="宋体" w:eastAsia="仿宋" w:cs="宋体"/>
          <w:sz w:val="24"/>
        </w:rPr>
      </w:pPr>
      <w:r>
        <w:rPr>
          <w:rFonts w:hint="eastAsia" w:ascii="仿宋" w:hAnsi="仿宋" w:eastAsia="仿宋" w:cs="仿宋"/>
          <w:sz w:val="24"/>
        </w:rPr>
        <w:t>在实践中总结，建立了学校三园创新创业教育的管理制度，包括：中职生三园基地创新创业教育管理办法、中职生创业孵化项目专项经费和使用办法、校企协同育人协议等保障三园运行。学校</w:t>
      </w:r>
      <w:r>
        <w:rPr>
          <w:rFonts w:hint="eastAsia" w:ascii="仿宋" w:hAnsi="仿宋" w:eastAsia="仿宋" w:cs="仿宋"/>
          <w:sz w:val="24"/>
          <w:lang w:val="en-US" w:eastAsia="zh-CN"/>
        </w:rPr>
        <w:t>统筹</w:t>
      </w:r>
      <w:r>
        <w:rPr>
          <w:rFonts w:hint="eastAsia" w:ascii="仿宋" w:hAnsi="仿宋" w:eastAsia="仿宋" w:cs="仿宋"/>
          <w:sz w:val="24"/>
        </w:rPr>
        <w:t>布局，深度融合各方资源，进行创新创业教育顶层设计，深化校企合作，明确</w:t>
      </w:r>
      <w:r>
        <w:rPr>
          <w:rFonts w:hint="eastAsia" w:ascii="仿宋" w:hAnsi="仿宋" w:eastAsia="仿宋" w:cs="仿宋"/>
          <w:sz w:val="24"/>
          <w:lang w:val="en-US" w:eastAsia="zh-CN"/>
        </w:rPr>
        <w:t>双方</w:t>
      </w:r>
      <w:r>
        <w:rPr>
          <w:rFonts w:hint="eastAsia" w:ascii="仿宋" w:hAnsi="仿宋" w:eastAsia="仿宋" w:cs="仿宋"/>
          <w:sz w:val="24"/>
        </w:rPr>
        <w:t>责、权、利，同时建立利益保障机制，保障合作双方互惠双赢，签订校企合作协议；与市场监管局达成协议，在校建立“三园”工作站，</w:t>
      </w:r>
      <w:r>
        <w:rPr>
          <w:rFonts w:hint="eastAsia" w:ascii="仿宋" w:hAnsi="仿宋" w:eastAsia="仿宋" w:cs="仿宋"/>
          <w:sz w:val="24"/>
          <w:lang w:val="en-US" w:eastAsia="zh-CN"/>
        </w:rPr>
        <w:t>建立</w:t>
      </w:r>
      <w:r>
        <w:rPr>
          <w:rFonts w:hint="eastAsia" w:ascii="仿宋" w:hAnsi="仿宋" w:eastAsia="仿宋" w:cs="仿宋"/>
          <w:sz w:val="24"/>
        </w:rPr>
        <w:t>学生创业扶持机制。</w:t>
      </w:r>
    </w:p>
    <w:p>
      <w:pPr>
        <w:keepNext w:val="0"/>
        <w:keepLines w:val="0"/>
        <w:pageBreakBefore w:val="0"/>
        <w:widowControl w:val="0"/>
        <w:kinsoku/>
        <w:wordWrap/>
        <w:overflowPunct/>
        <w:topLinePunct w:val="0"/>
        <w:autoSpaceDE/>
        <w:autoSpaceDN/>
        <w:bidi w:val="0"/>
        <w:adjustRightInd/>
        <w:snapToGrid/>
        <w:spacing w:before="157" w:beforeLines="50" w:line="440" w:lineRule="exact"/>
        <w:ind w:firstLine="560" w:firstLineChars="200"/>
        <w:textAlignment w:val="auto"/>
        <w:outlineLvl w:val="1"/>
        <w:rPr>
          <w:rFonts w:hint="eastAsia" w:ascii="微软雅黑" w:hAnsi="微软雅黑" w:eastAsia="微软雅黑" w:cs="微软雅黑"/>
          <w:b/>
          <w:bCs/>
          <w:sz w:val="28"/>
          <w:szCs w:val="28"/>
          <w:lang w:val="en-US" w:eastAsia="zh-CN"/>
        </w:rPr>
      </w:pPr>
      <w:bookmarkStart w:id="30" w:name="_Toc779"/>
      <w:r>
        <w:rPr>
          <w:rFonts w:hint="eastAsia" w:ascii="微软雅黑" w:hAnsi="微软雅黑" w:eastAsia="微软雅黑" w:cs="微软雅黑"/>
          <w:b/>
          <w:bCs/>
          <w:sz w:val="28"/>
          <w:szCs w:val="28"/>
          <w:lang w:val="en-US" w:eastAsia="zh-CN"/>
        </w:rPr>
        <w:t>三、成效与影响</w:t>
      </w:r>
      <w:bookmarkEnd w:id="30"/>
    </w:p>
    <w:p>
      <w:pPr>
        <w:pStyle w:val="3"/>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rPr>
      </w:pPr>
      <w:r>
        <w:rPr>
          <w:rFonts w:hint="eastAsia" w:ascii="微软雅黑" w:hAnsi="微软雅黑" w:eastAsia="微软雅黑" w:cs="微软雅黑"/>
        </w:rPr>
        <w:t>（一）学生创新创业意识、能力和精神明显增强</w:t>
      </w:r>
    </w:p>
    <w:p>
      <w:pPr>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楷体" w:hAnsi="楷体" w:eastAsia="楷体" w:cs="楷体"/>
          <w:b/>
          <w:bCs/>
          <w:color w:val="000000" w:themeColor="text1"/>
          <w:kern w:val="44"/>
          <w:sz w:val="24"/>
          <w14:textFill>
            <w14:solidFill>
              <w14:schemeClr w14:val="tx1"/>
            </w14:solidFill>
          </w14:textFill>
        </w:rPr>
      </w:pPr>
      <w:r>
        <w:rPr>
          <w:rFonts w:hint="eastAsia" w:ascii="楷体" w:hAnsi="楷体" w:eastAsia="楷体" w:cs="楷体"/>
          <w:b/>
          <w:bCs/>
          <w:color w:val="000000" w:themeColor="text1"/>
          <w:kern w:val="44"/>
          <w:sz w:val="24"/>
          <w14:textFill>
            <w14:solidFill>
              <w14:schemeClr w14:val="tx1"/>
            </w14:solidFill>
          </w14:textFill>
        </w:rPr>
        <w:t>1.学生双创意识不断提升，竞赛成绩显著提高</w:t>
      </w:r>
    </w:p>
    <w:p>
      <w:pPr>
        <w:pageBreakBefore w:val="0"/>
        <w:widowControl w:val="0"/>
        <w:kinsoku/>
        <w:wordWrap/>
        <w:overflowPunct/>
        <w:topLinePunct w:val="0"/>
        <w:autoSpaceDE/>
        <w:autoSpaceDN/>
        <w:bidi w:val="0"/>
        <w:adjustRightInd/>
        <w:snapToGrid/>
        <w:spacing w:line="440" w:lineRule="exact"/>
        <w:ind w:firstLine="480" w:firstLineChars="200"/>
        <w:textAlignment w:val="auto"/>
        <w:rPr>
          <w:rFonts w:ascii="仿宋" w:hAnsi="仿宋" w:eastAsia="仿宋" w:cs="仿宋"/>
          <w:kern w:val="44"/>
          <w:sz w:val="24"/>
        </w:rPr>
      </w:pPr>
      <w:r>
        <w:rPr>
          <w:rFonts w:hint="eastAsia" w:ascii="仿宋" w:hAnsi="仿宋" w:eastAsia="仿宋" w:cs="仿宋"/>
          <w:kern w:val="44"/>
          <w:sz w:val="24"/>
          <w:lang w:val="en-US" w:eastAsia="zh-CN"/>
        </w:rPr>
        <w:t>各</w:t>
      </w:r>
      <w:r>
        <w:rPr>
          <w:rFonts w:hint="eastAsia" w:ascii="仿宋" w:hAnsi="仿宋" w:eastAsia="仿宋" w:cs="仿宋"/>
          <w:kern w:val="44"/>
          <w:sz w:val="24"/>
        </w:rPr>
        <w:t>阶段结束</w:t>
      </w:r>
      <w:r>
        <w:rPr>
          <w:rFonts w:hint="eastAsia" w:ascii="仿宋" w:hAnsi="仿宋" w:eastAsia="仿宋" w:cs="仿宋"/>
          <w:kern w:val="44"/>
          <w:sz w:val="24"/>
          <w:lang w:val="en-US" w:eastAsia="zh-CN"/>
        </w:rPr>
        <w:t>后</w:t>
      </w:r>
      <w:r>
        <w:rPr>
          <w:rFonts w:hint="eastAsia" w:ascii="仿宋" w:hAnsi="仿宋" w:eastAsia="仿宋" w:cs="仿宋"/>
          <w:kern w:val="44"/>
          <w:sz w:val="24"/>
        </w:rPr>
        <w:t>对学生</w:t>
      </w:r>
      <w:r>
        <w:rPr>
          <w:rFonts w:hint="eastAsia" w:ascii="仿宋" w:hAnsi="仿宋" w:eastAsia="仿宋" w:cs="仿宋"/>
          <w:kern w:val="44"/>
          <w:sz w:val="24"/>
          <w:lang w:val="en-US" w:eastAsia="zh-CN"/>
        </w:rPr>
        <w:t>分别</w:t>
      </w:r>
      <w:r>
        <w:rPr>
          <w:rFonts w:hint="eastAsia" w:ascii="仿宋" w:hAnsi="仿宋" w:eastAsia="仿宋" w:cs="仿宋"/>
          <w:kern w:val="44"/>
          <w:sz w:val="24"/>
        </w:rPr>
        <w:t>开展访谈，</w:t>
      </w:r>
      <w:r>
        <w:rPr>
          <w:rFonts w:hint="eastAsia" w:ascii="仿宋" w:hAnsi="仿宋" w:eastAsia="仿宋" w:cs="仿宋"/>
          <w:kern w:val="44"/>
          <w:sz w:val="24"/>
          <w:lang w:val="en-US" w:eastAsia="zh-CN"/>
        </w:rPr>
        <w:t>发现越</w:t>
      </w:r>
      <w:r>
        <w:rPr>
          <w:rFonts w:hint="eastAsia" w:ascii="仿宋" w:hAnsi="仿宋" w:eastAsia="仿宋" w:cs="仿宋"/>
          <w:kern w:val="44"/>
          <w:sz w:val="24"/>
        </w:rPr>
        <w:t>靠后的阶段学生</w:t>
      </w:r>
      <w:r>
        <w:rPr>
          <w:rFonts w:hint="eastAsia" w:ascii="仿宋" w:hAnsi="仿宋" w:eastAsia="仿宋" w:cs="仿宋"/>
          <w:kern w:val="44"/>
          <w:sz w:val="24"/>
          <w:lang w:eastAsia="zh-CN"/>
        </w:rPr>
        <w:t>的</w:t>
      </w:r>
      <w:r>
        <w:rPr>
          <w:rFonts w:hint="eastAsia" w:ascii="仿宋" w:hAnsi="仿宋" w:eastAsia="仿宋" w:cs="仿宋"/>
          <w:kern w:val="44"/>
          <w:sz w:val="24"/>
        </w:rPr>
        <w:t>创新创业意识、精神、能力更强。三年来</w:t>
      </w:r>
      <w:r>
        <w:rPr>
          <w:rFonts w:hint="eastAsia" w:ascii="仿宋" w:hAnsi="仿宋" w:eastAsia="仿宋" w:cs="仿宋"/>
          <w:kern w:val="44"/>
          <w:sz w:val="24"/>
          <w:lang w:eastAsia="zh-CN"/>
        </w:rPr>
        <w:t>，</w:t>
      </w:r>
      <w:r>
        <w:rPr>
          <w:rFonts w:hint="eastAsia" w:ascii="仿宋" w:hAnsi="仿宋" w:eastAsia="仿宋" w:cs="仿宋"/>
          <w:kern w:val="44"/>
          <w:sz w:val="24"/>
        </w:rPr>
        <w:t>学生在省级及以上双创比赛中，获得国家级三等奖</w:t>
      </w:r>
      <w:r>
        <w:rPr>
          <w:rFonts w:hint="eastAsia" w:ascii="仿宋" w:hAnsi="仿宋" w:eastAsia="仿宋" w:cs="仿宋"/>
          <w:kern w:val="44"/>
          <w:sz w:val="24"/>
          <w:lang w:val="en-US" w:eastAsia="zh-CN"/>
        </w:rPr>
        <w:t>2</w:t>
      </w:r>
      <w:r>
        <w:rPr>
          <w:rFonts w:hint="eastAsia" w:ascii="仿宋" w:hAnsi="仿宋" w:eastAsia="仿宋" w:cs="仿宋"/>
          <w:kern w:val="44"/>
          <w:sz w:val="24"/>
        </w:rPr>
        <w:t>次</w:t>
      </w:r>
      <w:r>
        <w:rPr>
          <w:rFonts w:hint="eastAsia" w:ascii="仿宋" w:hAnsi="仿宋" w:eastAsia="仿宋" w:cs="仿宋"/>
          <w:kern w:val="44"/>
          <w:sz w:val="24"/>
          <w:lang w:eastAsia="zh-CN"/>
        </w:rPr>
        <w:t>、</w:t>
      </w:r>
      <w:r>
        <w:rPr>
          <w:rFonts w:hint="eastAsia" w:ascii="仿宋" w:hAnsi="仿宋" w:eastAsia="仿宋" w:cs="仿宋"/>
          <w:kern w:val="44"/>
          <w:sz w:val="24"/>
        </w:rPr>
        <w:t>省级</w:t>
      </w:r>
      <w:r>
        <w:rPr>
          <w:rFonts w:hint="eastAsia" w:ascii="仿宋" w:hAnsi="仿宋" w:eastAsia="仿宋" w:cs="仿宋"/>
          <w:kern w:val="44"/>
          <w:sz w:val="24"/>
          <w:lang w:val="en-US" w:eastAsia="zh-CN"/>
        </w:rPr>
        <w:t>获</w:t>
      </w:r>
      <w:r>
        <w:rPr>
          <w:rFonts w:hint="eastAsia" w:ascii="仿宋" w:hAnsi="仿宋" w:eastAsia="仿宋" w:cs="仿宋"/>
          <w:kern w:val="44"/>
          <w:sz w:val="24"/>
        </w:rPr>
        <w:t>奖</w:t>
      </w:r>
      <w:r>
        <w:rPr>
          <w:rFonts w:hint="eastAsia" w:ascii="仿宋" w:hAnsi="仿宋" w:eastAsia="仿宋" w:cs="仿宋"/>
          <w:kern w:val="44"/>
          <w:sz w:val="24"/>
          <w:lang w:val="en-US" w:eastAsia="zh-CN"/>
        </w:rPr>
        <w:t>8</w:t>
      </w:r>
      <w:r>
        <w:rPr>
          <w:rFonts w:hint="eastAsia" w:ascii="仿宋" w:hAnsi="仿宋" w:eastAsia="仿宋" w:cs="仿宋"/>
          <w:kern w:val="44"/>
          <w:sz w:val="24"/>
        </w:rPr>
        <w:t>次，参与金华电商双创大赛、金华青少年科技节等项目</w:t>
      </w:r>
      <w:r>
        <w:rPr>
          <w:rFonts w:hint="eastAsia" w:ascii="仿宋" w:hAnsi="仿宋" w:eastAsia="仿宋" w:cs="仿宋"/>
          <w:kern w:val="44"/>
          <w:sz w:val="24"/>
          <w:lang w:eastAsia="zh-CN"/>
        </w:rPr>
        <w:t>也</w:t>
      </w:r>
      <w:r>
        <w:rPr>
          <w:rFonts w:hint="eastAsia" w:ascii="仿宋" w:hAnsi="仿宋" w:eastAsia="仿宋" w:cs="仿宋"/>
          <w:kern w:val="44"/>
          <w:sz w:val="24"/>
        </w:rPr>
        <w:t>频频获奖，部分项目还获得</w:t>
      </w:r>
      <w:r>
        <w:rPr>
          <w:rFonts w:hint="eastAsia" w:ascii="仿宋" w:hAnsi="仿宋" w:eastAsia="仿宋" w:cs="仿宋"/>
          <w:kern w:val="44"/>
          <w:sz w:val="24"/>
          <w:lang w:eastAsia="zh-CN"/>
        </w:rPr>
        <w:t>了</w:t>
      </w:r>
      <w:r>
        <w:rPr>
          <w:rFonts w:hint="eastAsia" w:ascii="仿宋" w:hAnsi="仿宋" w:eastAsia="仿宋" w:cs="仿宋"/>
          <w:kern w:val="44"/>
          <w:sz w:val="24"/>
        </w:rPr>
        <w:t>创业基金。</w:t>
      </w:r>
    </w:p>
    <w:p>
      <w:pPr>
        <w:pageBreakBefore w:val="0"/>
        <w:widowControl w:val="0"/>
        <w:numPr>
          <w:ilvl w:val="0"/>
          <w:numId w:val="10"/>
        </w:numPr>
        <w:kinsoku/>
        <w:wordWrap/>
        <w:overflowPunct/>
        <w:topLinePunct w:val="0"/>
        <w:autoSpaceDE/>
        <w:autoSpaceDN/>
        <w:bidi w:val="0"/>
        <w:adjustRightInd/>
        <w:snapToGrid/>
        <w:spacing w:line="440" w:lineRule="exact"/>
        <w:ind w:firstLine="482" w:firstLineChars="200"/>
        <w:textAlignment w:val="auto"/>
        <w:rPr>
          <w:rFonts w:hint="eastAsia" w:ascii="楷体" w:hAnsi="楷体" w:eastAsia="楷体" w:cs="楷体"/>
          <w:b/>
          <w:bCs/>
          <w:kern w:val="44"/>
          <w:sz w:val="24"/>
        </w:rPr>
      </w:pPr>
      <w:r>
        <w:rPr>
          <w:rFonts w:hint="eastAsia" w:ascii="楷体" w:hAnsi="楷体" w:eastAsia="楷体" w:cs="楷体"/>
          <w:b/>
          <w:bCs/>
          <w:kern w:val="44"/>
          <w:sz w:val="24"/>
        </w:rPr>
        <w:t>学生双创能力不断加强，创业实体不断涌现</w:t>
      </w:r>
    </w:p>
    <w:p>
      <w:pPr>
        <w:pageBreakBefore w:val="0"/>
        <w:widowControl w:val="0"/>
        <w:kinsoku/>
        <w:wordWrap/>
        <w:overflowPunct/>
        <w:topLinePunct w:val="0"/>
        <w:autoSpaceDE/>
        <w:autoSpaceDN/>
        <w:bidi w:val="0"/>
        <w:adjustRightInd/>
        <w:snapToGrid/>
        <w:spacing w:line="440" w:lineRule="exact"/>
        <w:ind w:firstLine="480" w:firstLineChars="200"/>
        <w:textAlignment w:val="auto"/>
        <w:rPr>
          <w:rFonts w:ascii="仿宋" w:hAnsi="仿宋" w:eastAsia="仿宋" w:cs="仿宋"/>
          <w:kern w:val="44"/>
          <w:sz w:val="24"/>
        </w:rPr>
      </w:pPr>
      <w:r>
        <w:rPr>
          <w:rFonts w:hint="eastAsia" w:ascii="仿宋" w:hAnsi="仿宋" w:eastAsia="仿宋" w:cs="仿宋"/>
          <w:kern w:val="44"/>
          <w:sz w:val="24"/>
        </w:rPr>
        <w:t>近三年来，在三园学习的学员中，学生申请专利</w:t>
      </w:r>
      <w:r>
        <w:rPr>
          <w:rFonts w:hint="eastAsia" w:ascii="仿宋" w:hAnsi="仿宋" w:eastAsia="仿宋" w:cs="仿宋"/>
          <w:kern w:val="44"/>
          <w:sz w:val="24"/>
          <w:lang w:val="en-US" w:eastAsia="zh-CN"/>
        </w:rPr>
        <w:t>5项</w:t>
      </w:r>
      <w:r>
        <w:rPr>
          <w:rFonts w:hint="eastAsia" w:ascii="仿宋" w:hAnsi="仿宋" w:eastAsia="仿宋" w:cs="仿宋"/>
          <w:kern w:val="44"/>
          <w:sz w:val="24"/>
        </w:rPr>
        <w:t>，并为企业采纳；三园共有4位学生</w:t>
      </w:r>
      <w:r>
        <w:rPr>
          <w:rFonts w:hint="eastAsia" w:ascii="仿宋" w:hAnsi="仿宋" w:eastAsia="仿宋" w:cs="仿宋"/>
          <w:color w:val="auto"/>
          <w:kern w:val="44"/>
          <w:sz w:val="24"/>
        </w:rPr>
        <w:t>自主</w:t>
      </w:r>
      <w:r>
        <w:rPr>
          <w:rFonts w:hint="eastAsia" w:ascii="仿宋" w:hAnsi="仿宋" w:eastAsia="仿宋" w:cs="仿宋"/>
          <w:kern w:val="44"/>
          <w:sz w:val="24"/>
        </w:rPr>
        <w:t xml:space="preserve">创业，在全校师生中引起了强烈反响，带动了其它同学参加创新创业教育的热情。 </w:t>
      </w:r>
    </w:p>
    <w:p>
      <w:pPr>
        <w:pStyle w:val="3"/>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rPr>
      </w:pPr>
      <w:r>
        <w:rPr>
          <w:rFonts w:hint="eastAsia" w:ascii="微软雅黑" w:hAnsi="微软雅黑" w:eastAsia="微软雅黑" w:cs="微软雅黑"/>
        </w:rPr>
        <w:t>（二）教师创新创业实践、指导能力快速提升</w:t>
      </w:r>
    </w:p>
    <w:p>
      <w:pPr>
        <w:pageBreakBefore w:val="0"/>
        <w:widowControl w:val="0"/>
        <w:numPr>
          <w:ilvl w:val="0"/>
          <w:numId w:val="11"/>
        </w:numPr>
        <w:kinsoku/>
        <w:wordWrap/>
        <w:overflowPunct/>
        <w:topLinePunct w:val="0"/>
        <w:autoSpaceDE/>
        <w:autoSpaceDN/>
        <w:bidi w:val="0"/>
        <w:adjustRightInd/>
        <w:snapToGrid/>
        <w:spacing w:line="440" w:lineRule="exact"/>
        <w:textAlignment w:val="auto"/>
        <w:rPr>
          <w:rFonts w:hint="eastAsia" w:ascii="楷体" w:hAnsi="楷体" w:eastAsia="楷体" w:cs="楷体"/>
          <w:b/>
          <w:bCs/>
          <w:color w:val="000000" w:themeColor="text1"/>
          <w:sz w:val="24"/>
          <w14:textFill>
            <w14:solidFill>
              <w14:schemeClr w14:val="tx1"/>
            </w14:solidFill>
          </w14:textFill>
        </w:rPr>
      </w:pPr>
      <w:r>
        <w:rPr>
          <w:rFonts w:hint="eastAsia" w:ascii="楷体" w:hAnsi="楷体" w:eastAsia="楷体" w:cs="楷体"/>
          <w:b/>
          <w:bCs/>
          <w:color w:val="000000" w:themeColor="text1"/>
          <w:sz w:val="24"/>
          <w14:textFill>
            <w14:solidFill>
              <w14:schemeClr w14:val="tx1"/>
            </w14:solidFill>
          </w14:textFill>
        </w:rPr>
        <w:t>社会服务能力不断增强</w:t>
      </w:r>
    </w:p>
    <w:p>
      <w:pPr>
        <w:pageBreakBefore w:val="0"/>
        <w:widowControl w:val="0"/>
        <w:kinsoku/>
        <w:wordWrap/>
        <w:overflowPunct/>
        <w:topLinePunct w:val="0"/>
        <w:autoSpaceDE/>
        <w:autoSpaceDN/>
        <w:bidi w:val="0"/>
        <w:adjustRightInd/>
        <w:snapToGrid/>
        <w:spacing w:line="440" w:lineRule="exact"/>
        <w:ind w:firstLine="480" w:firstLineChars="20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文创园师生出动2900多人次承担县域生态文明建设，为政府机关、事业单位制作乡镇美丽乡村视频宣传片11个，与绗缝、水晶企业设计产品200余件；商创园与阿里巴巴、欧彩天猫旗舰店等11家公司承担网站建设、店铺装修等10余项合作服务；制创园为企业、行业提供技术咨询、培训指导等服务，解决企业技术难题30余个，获国家专利</w:t>
      </w:r>
      <w:r>
        <w:rPr>
          <w:rFonts w:hint="eastAsia" w:ascii="仿宋" w:hAnsi="仿宋" w:eastAsia="仿宋" w:cs="仿宋"/>
          <w:color w:val="000000" w:themeColor="text1"/>
          <w:sz w:val="24"/>
          <w:lang w:val="en-US" w:eastAsia="zh-CN"/>
          <w14:textFill>
            <w14:solidFill>
              <w14:schemeClr w14:val="tx1"/>
            </w14:solidFill>
          </w14:textFill>
        </w:rPr>
        <w:t>65</w:t>
      </w:r>
      <w:r>
        <w:rPr>
          <w:rFonts w:hint="eastAsia" w:ascii="仿宋" w:hAnsi="仿宋" w:eastAsia="仿宋" w:cs="仿宋"/>
          <w:color w:val="000000" w:themeColor="text1"/>
          <w:sz w:val="24"/>
          <w14:textFill>
            <w14:solidFill>
              <w14:schemeClr w14:val="tx1"/>
            </w14:solidFill>
          </w14:textFill>
        </w:rPr>
        <w:t>项，为企业创造上百万经济价值。</w:t>
      </w:r>
    </w:p>
    <w:p>
      <w:pPr>
        <w:pageBreakBefore w:val="0"/>
        <w:widowControl w:val="0"/>
        <w:numPr>
          <w:ilvl w:val="0"/>
          <w:numId w:val="0"/>
        </w:numPr>
        <w:kinsoku/>
        <w:wordWrap/>
        <w:overflowPunct/>
        <w:topLinePunct w:val="0"/>
        <w:autoSpaceDE/>
        <w:autoSpaceDN/>
        <w:bidi w:val="0"/>
        <w:adjustRightInd/>
        <w:snapToGrid/>
        <w:spacing w:line="440" w:lineRule="exact"/>
        <w:ind w:left="480" w:leftChars="0"/>
        <w:textAlignment w:val="auto"/>
        <w:rPr>
          <w:rFonts w:hint="eastAsia" w:ascii="楷体" w:hAnsi="楷体" w:eastAsia="楷体" w:cs="楷体"/>
          <w:b/>
          <w:bCs/>
          <w:color w:val="000000" w:themeColor="text1"/>
          <w:sz w:val="24"/>
          <w14:textFill>
            <w14:solidFill>
              <w14:schemeClr w14:val="tx1"/>
            </w14:solidFill>
          </w14:textFill>
        </w:rPr>
      </w:pPr>
      <w:r>
        <w:rPr>
          <w:rFonts w:hint="eastAsia" w:ascii="楷体" w:hAnsi="楷体" w:eastAsia="楷体" w:cs="楷体"/>
          <w:b/>
          <w:bCs/>
          <w:color w:val="000000" w:themeColor="text1"/>
          <w:sz w:val="24"/>
          <w14:textFill>
            <w14:solidFill>
              <w14:schemeClr w14:val="tx1"/>
            </w14:solidFill>
          </w14:textFill>
        </w:rPr>
        <w:t>2.教师育人水平不断提升</w:t>
      </w:r>
    </w:p>
    <w:p>
      <w:pPr>
        <w:pageBreakBefore w:val="0"/>
        <w:widowControl w:val="0"/>
        <w:kinsoku/>
        <w:wordWrap/>
        <w:overflowPunct/>
        <w:topLinePunct w:val="0"/>
        <w:autoSpaceDE/>
        <w:autoSpaceDN/>
        <w:bidi w:val="0"/>
        <w:adjustRightInd/>
        <w:snapToGrid/>
        <w:spacing w:line="440" w:lineRule="exact"/>
        <w:ind w:firstLine="480" w:firstLineChars="20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经过企业真实项目历练</w:t>
      </w:r>
      <w:r>
        <w:rPr>
          <w:rFonts w:hint="eastAsia" w:ascii="仿宋" w:hAnsi="仿宋" w:eastAsia="仿宋" w:cs="仿宋"/>
          <w:color w:val="000000" w:themeColor="text1"/>
          <w:sz w:val="24"/>
          <w:lang w:val="en-US" w:eastAsia="zh-CN"/>
          <w14:textFill>
            <w14:solidFill>
              <w14:schemeClr w14:val="tx1"/>
            </w14:solidFill>
          </w14:textFill>
        </w:rPr>
        <w:t>的</w:t>
      </w:r>
      <w:r>
        <w:rPr>
          <w:rFonts w:hint="eastAsia" w:ascii="仿宋" w:hAnsi="仿宋" w:eastAsia="仿宋" w:cs="仿宋"/>
          <w:color w:val="000000" w:themeColor="text1"/>
          <w:sz w:val="24"/>
          <w14:textFill>
            <w14:solidFill>
              <w14:schemeClr w14:val="tx1"/>
            </w14:solidFill>
          </w14:textFill>
        </w:rPr>
        <w:t>专业教师及时了解和掌握生产一线新技术、新工艺、新理念、新方法，明确企业的人才需求标准，有力推动“双师型”教师队伍建设。三年来</w:t>
      </w:r>
      <w:r>
        <w:rPr>
          <w:rFonts w:hint="eastAsia" w:ascii="仿宋" w:hAnsi="仿宋" w:eastAsia="仿宋" w:cs="仿宋"/>
          <w:color w:val="000000" w:themeColor="text1"/>
          <w:sz w:val="24"/>
          <w:lang w:val="en-US" w:eastAsia="zh-CN"/>
          <w14:textFill>
            <w14:solidFill>
              <w14:schemeClr w14:val="tx1"/>
            </w14:solidFill>
          </w14:textFill>
        </w:rPr>
        <w:t>荣获</w:t>
      </w:r>
      <w:r>
        <w:rPr>
          <w:rFonts w:hint="eastAsia" w:ascii="仿宋" w:hAnsi="仿宋" w:eastAsia="仿宋" w:cs="仿宋"/>
          <w:color w:val="000000" w:themeColor="text1"/>
          <w:sz w:val="24"/>
          <w14:textFill>
            <w14:solidFill>
              <w14:schemeClr w14:val="tx1"/>
            </w14:solidFill>
          </w14:textFill>
        </w:rPr>
        <w:t>省</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市级技能大师工作室各1个。教师获得国家金奖3项，入选国展6次，市之江创新创业赛中获得三等奖1次。编写并出版校本教材3本，共有</w:t>
      </w:r>
      <w:r>
        <w:rPr>
          <w:rFonts w:hint="eastAsia" w:ascii="仿宋" w:hAnsi="仿宋" w:eastAsia="仿宋" w:cs="仿宋"/>
          <w:color w:val="000000" w:themeColor="text1"/>
          <w:sz w:val="24"/>
          <w:lang w:val="en-US" w:eastAsia="zh-CN"/>
          <w14:textFill>
            <w14:solidFill>
              <w14:schemeClr w14:val="tx1"/>
            </w14:solidFill>
          </w14:textFill>
        </w:rPr>
        <w:t>17</w:t>
      </w:r>
      <w:r>
        <w:rPr>
          <w:rFonts w:hint="eastAsia" w:ascii="仿宋" w:hAnsi="仿宋" w:eastAsia="仿宋" w:cs="仿宋"/>
          <w:color w:val="000000" w:themeColor="text1"/>
          <w:sz w:val="24"/>
          <w14:textFill>
            <w14:solidFill>
              <w14:schemeClr w14:val="tx1"/>
            </w14:solidFill>
          </w14:textFill>
        </w:rPr>
        <w:t>篇教师相关论文在国家和省</w:t>
      </w:r>
      <w:r>
        <w:rPr>
          <w:rFonts w:hint="eastAsia" w:ascii="仿宋" w:hAnsi="仿宋" w:eastAsia="仿宋" w:cs="仿宋"/>
          <w:color w:val="000000" w:themeColor="text1"/>
          <w:sz w:val="24"/>
          <w:lang w:val="en-US" w:eastAsia="zh-CN"/>
          <w14:textFill>
            <w14:solidFill>
              <w14:schemeClr w14:val="tx1"/>
            </w14:solidFill>
          </w14:textFill>
        </w:rPr>
        <w:t>市</w:t>
      </w:r>
      <w:r>
        <w:rPr>
          <w:rFonts w:hint="eastAsia" w:ascii="仿宋" w:hAnsi="仿宋" w:eastAsia="仿宋" w:cs="仿宋"/>
          <w:color w:val="000000" w:themeColor="text1"/>
          <w:sz w:val="24"/>
          <w14:textFill>
            <w14:solidFill>
              <w14:schemeClr w14:val="tx1"/>
            </w14:solidFill>
          </w14:textFill>
        </w:rPr>
        <w:t>级刊物发表</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获奖。</w:t>
      </w:r>
    </w:p>
    <w:p>
      <w:pPr>
        <w:pStyle w:val="3"/>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rPr>
      </w:pPr>
      <w:r>
        <w:rPr>
          <w:rFonts w:hint="eastAsia" w:ascii="微软雅黑" w:hAnsi="微软雅黑" w:eastAsia="微软雅黑" w:cs="微软雅黑"/>
        </w:rPr>
        <w:t>（三）学校双创实践持续推进、特色逐步彰显</w:t>
      </w:r>
    </w:p>
    <w:p>
      <w:pPr>
        <w:pageBreakBefore w:val="0"/>
        <w:widowControl w:val="0"/>
        <w:kinsoku/>
        <w:wordWrap/>
        <w:overflowPunct/>
        <w:topLinePunct w:val="0"/>
        <w:autoSpaceDE/>
        <w:autoSpaceDN/>
        <w:bidi w:val="0"/>
        <w:adjustRightInd/>
        <w:snapToGrid/>
        <w:spacing w:line="440" w:lineRule="exact"/>
        <w:ind w:firstLine="480" w:firstLineChars="200"/>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三园对接地方产业，使创新创业教育与专业教育有效衔接</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有机融合，在专业教育中突出和渗透创新创业教育，实现创新创业教育的可持续发展。三年来，中国教育报报道1次，浙江教育报报道</w:t>
      </w:r>
      <w:r>
        <w:rPr>
          <w:rFonts w:hint="eastAsia" w:ascii="仿宋" w:hAnsi="仿宋" w:eastAsia="仿宋" w:cs="仿宋"/>
          <w:color w:val="000000" w:themeColor="text1"/>
          <w:sz w:val="24"/>
          <w:lang w:val="en-US" w:eastAsia="zh-CN"/>
          <w14:textFill>
            <w14:solidFill>
              <w14:schemeClr w14:val="tx1"/>
            </w14:solidFill>
          </w14:textFill>
        </w:rPr>
        <w:t>2</w:t>
      </w:r>
      <w:r>
        <w:rPr>
          <w:rFonts w:hint="eastAsia" w:ascii="仿宋" w:hAnsi="仿宋" w:eastAsia="仿宋" w:cs="仿宋"/>
          <w:color w:val="000000" w:themeColor="text1"/>
          <w:sz w:val="24"/>
          <w14:textFill>
            <w14:solidFill>
              <w14:schemeClr w14:val="tx1"/>
            </w14:solidFill>
          </w14:textFill>
        </w:rPr>
        <w:t>次，</w:t>
      </w:r>
      <w:r>
        <w:rPr>
          <w:rFonts w:hint="eastAsia" w:ascii="仿宋" w:hAnsi="仿宋" w:eastAsia="仿宋" w:cs="仿宋"/>
          <w:color w:val="000000" w:themeColor="text1"/>
          <w:sz w:val="24"/>
          <w:lang w:val="en-US" w:eastAsia="zh-CN"/>
          <w14:textFill>
            <w14:solidFill>
              <w14:schemeClr w14:val="tx1"/>
            </w14:solidFill>
          </w14:textFill>
        </w:rPr>
        <w:t>市、</w:t>
      </w:r>
      <w:r>
        <w:rPr>
          <w:rFonts w:hint="eastAsia" w:ascii="仿宋" w:hAnsi="仿宋" w:eastAsia="仿宋" w:cs="仿宋"/>
          <w:color w:val="000000" w:themeColor="text1"/>
          <w:sz w:val="24"/>
          <w14:textFill>
            <w14:solidFill>
              <w14:schemeClr w14:val="tx1"/>
            </w14:solidFill>
          </w14:textFill>
        </w:rPr>
        <w:t>县媒体报道</w:t>
      </w:r>
      <w:r>
        <w:rPr>
          <w:rFonts w:hint="eastAsia" w:ascii="仿宋" w:hAnsi="仿宋" w:eastAsia="仿宋" w:cs="仿宋"/>
          <w:color w:val="000000" w:themeColor="text1"/>
          <w:sz w:val="24"/>
          <w:lang w:val="en-US" w:eastAsia="zh-CN"/>
          <w14:textFill>
            <w14:solidFill>
              <w14:schemeClr w14:val="tx1"/>
            </w14:solidFill>
          </w14:textFill>
        </w:rPr>
        <w:t>6</w:t>
      </w:r>
      <w:r>
        <w:rPr>
          <w:rFonts w:hint="eastAsia" w:ascii="仿宋" w:hAnsi="仿宋" w:eastAsia="仿宋" w:cs="仿宋"/>
          <w:color w:val="000000" w:themeColor="text1"/>
          <w:sz w:val="24"/>
          <w14:textFill>
            <w14:solidFill>
              <w14:schemeClr w14:val="tx1"/>
            </w14:solidFill>
          </w14:textFill>
        </w:rPr>
        <w:t>次，先后有8批次兄弟学校前来参观交流。校长在省智能化三十校创新创业联盟</w:t>
      </w:r>
      <w:r>
        <w:rPr>
          <w:rFonts w:hint="eastAsia" w:ascii="仿宋" w:hAnsi="仿宋" w:eastAsia="仿宋" w:cs="仿宋"/>
          <w:color w:val="000000" w:themeColor="text1"/>
          <w:sz w:val="24"/>
          <w:lang w:val="en-US" w:eastAsia="zh-CN"/>
          <w14:textFill>
            <w14:solidFill>
              <w14:schemeClr w14:val="tx1"/>
            </w14:solidFill>
          </w14:textFill>
        </w:rPr>
        <w:t>作典型发言</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潘巧兰老师</w:t>
      </w:r>
      <w:r>
        <w:rPr>
          <w:rFonts w:hint="eastAsia" w:ascii="仿宋" w:hAnsi="仿宋" w:eastAsia="仿宋" w:cs="仿宋"/>
          <w:color w:val="000000" w:themeColor="text1"/>
          <w:sz w:val="24"/>
          <w14:textFill>
            <w14:solidFill>
              <w14:schemeClr w14:val="tx1"/>
            </w14:solidFill>
          </w14:textFill>
        </w:rPr>
        <w:t>到兄弟学校开展讲座，受到一致好评。三园实践育人创新创业平台也立项为省级创新创业教育实验室。</w:t>
      </w:r>
    </w:p>
    <w:p>
      <w:pPr>
        <w:pStyle w:val="3"/>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rPr>
      </w:pPr>
      <w:r>
        <w:rPr>
          <w:rFonts w:hint="eastAsia" w:ascii="微软雅黑" w:hAnsi="微软雅黑" w:eastAsia="微软雅黑" w:cs="微软雅黑"/>
        </w:rPr>
        <w:t>（四）学校双创辐射区域经济社会发展</w:t>
      </w:r>
    </w:p>
    <w:p>
      <w:pPr>
        <w:pageBreakBefore w:val="0"/>
        <w:widowControl w:val="0"/>
        <w:kinsoku/>
        <w:wordWrap/>
        <w:overflowPunct/>
        <w:topLinePunct w:val="0"/>
        <w:autoSpaceDE/>
        <w:autoSpaceDN/>
        <w:bidi w:val="0"/>
        <w:adjustRightInd/>
        <w:snapToGrid/>
        <w:spacing w:line="440" w:lineRule="exact"/>
        <w:textAlignment w:val="auto"/>
        <w:rPr>
          <w:color w:val="000000" w:themeColor="text1"/>
          <w14:textFill>
            <w14:solidFill>
              <w14:schemeClr w14:val="tx1"/>
            </w14:solidFill>
          </w14:textFill>
        </w:rPr>
      </w:pPr>
      <w:r>
        <w:rPr>
          <w:rFonts w:hint="eastAsia" w:ascii="仿宋" w:hAnsi="仿宋" w:eastAsia="仿宋" w:cs="仿宋"/>
          <w:color w:val="000000" w:themeColor="text1"/>
          <w:sz w:val="24"/>
          <w:szCs w:val="32"/>
          <w14:textFill>
            <w14:solidFill>
              <w14:schemeClr w14:val="tx1"/>
            </w14:solidFill>
          </w14:textFill>
        </w:rPr>
        <w:t xml:space="preserve">    </w:t>
      </w:r>
      <w:r>
        <w:rPr>
          <w:rFonts w:hint="eastAsia" w:ascii="楷体" w:hAnsi="楷体" w:eastAsia="楷体" w:cs="楷体"/>
          <w:b/>
          <w:bCs/>
          <w:color w:val="000000" w:themeColor="text1"/>
          <w:sz w:val="24"/>
          <w:szCs w:val="32"/>
          <w14:textFill>
            <w14:solidFill>
              <w14:schemeClr w14:val="tx1"/>
            </w14:solidFill>
          </w14:textFill>
        </w:rPr>
        <w:t>1.中职生成为县创新创业帮扶体系的重要对象</w:t>
      </w:r>
    </w:p>
    <w:p>
      <w:pPr>
        <w:pageBreakBefore w:val="0"/>
        <w:widowControl w:val="0"/>
        <w:kinsoku/>
        <w:wordWrap/>
        <w:overflowPunct/>
        <w:topLinePunct w:val="0"/>
        <w:autoSpaceDE/>
        <w:autoSpaceDN/>
        <w:bidi w:val="0"/>
        <w:adjustRightInd/>
        <w:snapToGrid/>
        <w:spacing w:line="440" w:lineRule="exact"/>
        <w:textAlignment w:val="auto"/>
        <w:rPr>
          <w:rFonts w:ascii="仿宋" w:hAnsi="仿宋" w:eastAsia="仿宋" w:cs="仿宋"/>
          <w:color w:val="000000" w:themeColor="text1"/>
          <w:sz w:val="24"/>
          <w:szCs w:val="32"/>
          <w14:textFill>
            <w14:solidFill>
              <w14:schemeClr w14:val="tx1"/>
            </w14:solidFill>
          </w14:textFill>
        </w:rPr>
      </w:pPr>
      <w:r>
        <w:rPr>
          <w:rFonts w:hint="eastAsia"/>
          <w:color w:val="000000" w:themeColor="text1"/>
          <w14:textFill>
            <w14:solidFill>
              <w14:schemeClr w14:val="tx1"/>
            </w14:solidFill>
          </w14:textFill>
        </w:rPr>
        <w:t xml:space="preserve">   </w:t>
      </w:r>
      <w:r>
        <w:rPr>
          <w:rFonts w:hint="eastAsia" w:ascii="仿宋" w:hAnsi="仿宋" w:eastAsia="仿宋" w:cs="仿宋"/>
          <w:color w:val="000000" w:themeColor="text1"/>
          <w:sz w:val="24"/>
          <w:szCs w:val="32"/>
          <w14:textFill>
            <w14:solidFill>
              <w14:schemeClr w14:val="tx1"/>
            </w14:solidFill>
          </w14:textFill>
        </w:rPr>
        <w:t>县人民政府</w:t>
      </w:r>
      <w:r>
        <w:rPr>
          <w:rFonts w:hint="eastAsia" w:ascii="仿宋" w:hAnsi="仿宋" w:eastAsia="仿宋" w:cs="仿宋"/>
          <w:color w:val="000000" w:themeColor="text1"/>
          <w:sz w:val="24"/>
          <w:szCs w:val="32"/>
          <w:lang w:val="en-US" w:eastAsia="zh-CN"/>
          <w14:textFill>
            <w14:solidFill>
              <w14:schemeClr w14:val="tx1"/>
            </w14:solidFill>
          </w14:textFill>
        </w:rPr>
        <w:t>把</w:t>
      </w:r>
      <w:r>
        <w:rPr>
          <w:rFonts w:hint="eastAsia" w:ascii="仿宋" w:hAnsi="仿宋" w:eastAsia="仿宋" w:cs="仿宋"/>
          <w:color w:val="000000" w:themeColor="text1"/>
          <w:sz w:val="24"/>
          <w:szCs w:val="32"/>
          <w14:textFill>
            <w14:solidFill>
              <w14:schemeClr w14:val="tx1"/>
            </w14:solidFill>
          </w14:textFill>
        </w:rPr>
        <w:t>我校中职学生创业教育为纳入创业帮扶社会体系。2019年，我校成为之江创客PJ电商创新创业大赛的协办单位。县市场监管局在我校设立工作站进行长期指导帮扶。</w:t>
      </w:r>
    </w:p>
    <w:p>
      <w:pPr>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楷体" w:hAnsi="楷体" w:eastAsia="楷体" w:cs="楷体"/>
          <w:b/>
          <w:bCs/>
          <w:color w:val="000000" w:themeColor="text1"/>
          <w:sz w:val="24"/>
          <w:szCs w:val="32"/>
          <w14:textFill>
            <w14:solidFill>
              <w14:schemeClr w14:val="tx1"/>
            </w14:solidFill>
          </w14:textFill>
        </w:rPr>
      </w:pPr>
      <w:r>
        <w:rPr>
          <w:rFonts w:hint="eastAsia" w:ascii="楷体" w:hAnsi="楷体" w:eastAsia="楷体" w:cs="楷体"/>
          <w:b/>
          <w:bCs/>
          <w:color w:val="000000" w:themeColor="text1"/>
          <w:sz w:val="24"/>
          <w:szCs w:val="32"/>
          <w14:textFill>
            <w14:solidFill>
              <w14:schemeClr w14:val="tx1"/>
            </w14:solidFill>
          </w14:textFill>
        </w:rPr>
        <w:t>2.成为地方经济建设创新创业经济县域的重要力量</w:t>
      </w:r>
    </w:p>
    <w:p>
      <w:pPr>
        <w:pageBreakBefore w:val="0"/>
        <w:widowControl w:val="0"/>
        <w:kinsoku/>
        <w:wordWrap/>
        <w:overflowPunct/>
        <w:topLinePunct w:val="0"/>
        <w:autoSpaceDE/>
        <w:autoSpaceDN/>
        <w:bidi w:val="0"/>
        <w:adjustRightInd/>
        <w:snapToGrid/>
        <w:spacing w:line="440" w:lineRule="exact"/>
        <w:ind w:firstLine="480"/>
        <w:textAlignment w:val="auto"/>
        <w:rPr>
          <w:rFonts w:ascii="仿宋" w:hAnsi="仿宋" w:eastAsia="仿宋" w:cs="仿宋"/>
          <w:color w:val="000000" w:themeColor="text1"/>
          <w:sz w:val="24"/>
          <w:szCs w:val="32"/>
          <w14:textFill>
            <w14:solidFill>
              <w14:schemeClr w14:val="tx1"/>
            </w14:solidFill>
          </w14:textFill>
        </w:rPr>
      </w:pPr>
      <w:r>
        <w:rPr>
          <w:rFonts w:hint="eastAsia" w:ascii="仿宋" w:hAnsi="仿宋" w:eastAsia="仿宋" w:cs="仿宋"/>
          <w:color w:val="000000" w:themeColor="text1"/>
          <w:sz w:val="24"/>
          <w:szCs w:val="32"/>
          <w14:textFill>
            <w14:solidFill>
              <w14:schemeClr w14:val="tx1"/>
            </w14:solidFill>
          </w14:textFill>
        </w:rPr>
        <w:t>学校开展创新创业教育</w:t>
      </w:r>
      <w:r>
        <w:rPr>
          <w:rFonts w:hint="eastAsia" w:ascii="仿宋" w:hAnsi="仿宋" w:eastAsia="仿宋" w:cs="仿宋"/>
          <w:color w:val="000000" w:themeColor="text1"/>
          <w:sz w:val="24"/>
          <w:szCs w:val="32"/>
          <w:lang w:eastAsia="zh-CN"/>
          <w14:textFill>
            <w14:solidFill>
              <w14:schemeClr w14:val="tx1"/>
            </w14:solidFill>
          </w14:textFill>
        </w:rPr>
        <w:t>让</w:t>
      </w:r>
      <w:r>
        <w:rPr>
          <w:rFonts w:hint="eastAsia" w:ascii="仿宋" w:hAnsi="仿宋" w:eastAsia="仿宋" w:cs="仿宋"/>
          <w:color w:val="000000" w:themeColor="text1"/>
          <w:sz w:val="24"/>
          <w:szCs w:val="32"/>
          <w14:textFill>
            <w14:solidFill>
              <w14:schemeClr w14:val="tx1"/>
            </w14:solidFill>
          </w14:textFill>
        </w:rPr>
        <w:t>每年3000多</w:t>
      </w:r>
      <w:r>
        <w:rPr>
          <w:rFonts w:hint="eastAsia" w:ascii="仿宋" w:hAnsi="仿宋" w:eastAsia="仿宋" w:cs="仿宋"/>
          <w:color w:val="000000" w:themeColor="text1"/>
          <w:sz w:val="24"/>
          <w:szCs w:val="32"/>
          <w:lang w:eastAsia="zh-CN"/>
          <w14:textFill>
            <w14:solidFill>
              <w14:schemeClr w14:val="tx1"/>
            </w14:solidFill>
          </w14:textFill>
        </w:rPr>
        <w:t>在校</w:t>
      </w:r>
      <w:r>
        <w:rPr>
          <w:rFonts w:hint="eastAsia" w:ascii="仿宋" w:hAnsi="仿宋" w:eastAsia="仿宋" w:cs="仿宋"/>
          <w:color w:val="000000" w:themeColor="text1"/>
          <w:sz w:val="24"/>
          <w:szCs w:val="32"/>
          <w14:textFill>
            <w14:solidFill>
              <w14:schemeClr w14:val="tx1"/>
            </w14:solidFill>
          </w14:textFill>
        </w:rPr>
        <w:t>学生受益，成为县域经济建设创新创业经济的重要力量之一。学校孵化基地的毕业学员，将自己的创新创业精神带进大学，毕业后回到地方就业。助推当地的创新创业经济的发展和就业能力。</w:t>
      </w:r>
    </w:p>
    <w:p>
      <w:pPr>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楷体" w:hAnsi="楷体" w:eastAsia="楷体" w:cs="楷体"/>
          <w:b/>
          <w:bCs/>
          <w:color w:val="000000" w:themeColor="text1"/>
          <w:sz w:val="24"/>
          <w:szCs w:val="32"/>
          <w14:textFill>
            <w14:solidFill>
              <w14:schemeClr w14:val="tx1"/>
            </w14:solidFill>
          </w14:textFill>
        </w:rPr>
      </w:pPr>
      <w:r>
        <w:rPr>
          <w:rFonts w:hint="eastAsia" w:ascii="楷体" w:hAnsi="楷体" w:eastAsia="楷体" w:cs="楷体"/>
          <w:b/>
          <w:bCs/>
          <w:color w:val="000000" w:themeColor="text1"/>
          <w:sz w:val="24"/>
          <w:szCs w:val="32"/>
          <w14:textFill>
            <w14:solidFill>
              <w14:schemeClr w14:val="tx1"/>
            </w14:solidFill>
          </w14:textFill>
        </w:rPr>
        <w:t>3.成为县委组织部对接东西部电商扶贫的成员单位</w:t>
      </w:r>
    </w:p>
    <w:p>
      <w:pPr>
        <w:pageBreakBefore w:val="0"/>
        <w:widowControl w:val="0"/>
        <w:kinsoku/>
        <w:wordWrap/>
        <w:overflowPunct/>
        <w:topLinePunct w:val="0"/>
        <w:autoSpaceDE/>
        <w:autoSpaceDN/>
        <w:bidi w:val="0"/>
        <w:adjustRightInd/>
        <w:snapToGrid/>
        <w:spacing w:line="440" w:lineRule="exact"/>
        <w:ind w:firstLine="480"/>
        <w:textAlignment w:val="auto"/>
        <w:rPr>
          <w:rFonts w:hint="eastAsia" w:ascii="仿宋" w:hAnsi="仿宋" w:eastAsia="仿宋" w:cs="仿宋"/>
          <w:color w:val="000000" w:themeColor="text1"/>
          <w:sz w:val="24"/>
          <w:szCs w:val="32"/>
          <w14:textFill>
            <w14:solidFill>
              <w14:schemeClr w14:val="tx1"/>
            </w14:solidFill>
          </w14:textFill>
        </w:rPr>
      </w:pPr>
      <w:r>
        <w:rPr>
          <w:rFonts w:hint="eastAsia" w:ascii="仿宋" w:hAnsi="仿宋" w:eastAsia="仿宋" w:cs="仿宋"/>
          <w:color w:val="000000" w:themeColor="text1"/>
          <w:sz w:val="24"/>
          <w:szCs w:val="32"/>
          <w14:textFill>
            <w14:solidFill>
              <w14:schemeClr w14:val="tx1"/>
            </w14:solidFill>
          </w14:textFill>
        </w:rPr>
        <w:t>学校商创园工作室郑洛宜、潘巧兰和王闪三位老师应组织部要求对接四川金口河区电商为农服务中心，开展为期1个月的电商帮扶活动。工作室老师选择直播项目，在</w:t>
      </w:r>
      <w:r>
        <w:rPr>
          <w:rFonts w:hint="eastAsia" w:ascii="仿宋" w:hAnsi="仿宋" w:eastAsia="仿宋" w:cs="仿宋"/>
          <w:color w:val="000000" w:themeColor="text1"/>
          <w:sz w:val="24"/>
          <w:szCs w:val="32"/>
          <w:lang w:eastAsia="zh-CN"/>
          <w14:textFill>
            <w14:solidFill>
              <w14:schemeClr w14:val="tx1"/>
            </w14:solidFill>
          </w14:textFill>
        </w:rPr>
        <w:t>这一个月里，</w:t>
      </w:r>
      <w:r>
        <w:rPr>
          <w:rFonts w:hint="eastAsia" w:ascii="仿宋" w:hAnsi="仿宋" w:eastAsia="仿宋" w:cs="仿宋"/>
          <w:color w:val="000000" w:themeColor="text1"/>
          <w:sz w:val="24"/>
          <w:szCs w:val="32"/>
          <w14:textFill>
            <w14:solidFill>
              <w14:schemeClr w14:val="tx1"/>
            </w14:solidFill>
          </w14:textFill>
        </w:rPr>
        <w:t>根据扶植对象特点，扶植了3位零基础本土网红，其中山坡坡农业曾大姐当月销量</w:t>
      </w:r>
      <w:r>
        <w:rPr>
          <w:rFonts w:hint="eastAsia" w:ascii="仿宋" w:hAnsi="仿宋" w:eastAsia="仿宋" w:cs="仿宋"/>
          <w:color w:val="000000" w:themeColor="text1"/>
          <w:sz w:val="24"/>
          <w:szCs w:val="32"/>
          <w:lang w:eastAsia="zh-CN"/>
          <w14:textFill>
            <w14:solidFill>
              <w14:schemeClr w14:val="tx1"/>
            </w14:solidFill>
          </w14:textFill>
        </w:rPr>
        <w:t>达</w:t>
      </w:r>
      <w:r>
        <w:rPr>
          <w:rFonts w:hint="eastAsia" w:ascii="仿宋" w:hAnsi="仿宋" w:eastAsia="仿宋" w:cs="仿宋"/>
          <w:color w:val="000000" w:themeColor="text1"/>
          <w:sz w:val="24"/>
          <w:szCs w:val="32"/>
          <w14:textFill>
            <w14:solidFill>
              <w14:schemeClr w14:val="tx1"/>
            </w14:solidFill>
          </w14:textFill>
        </w:rPr>
        <w:t>16879元。</w:t>
      </w:r>
    </w:p>
    <w:p>
      <w:pPr>
        <w:pStyle w:val="2"/>
        <w:keepNext/>
        <w:keepLines/>
        <w:pageBreakBefore w:val="0"/>
        <w:widowControl w:val="0"/>
        <w:kinsoku/>
        <w:wordWrap/>
        <w:overflowPunct/>
        <w:topLinePunct w:val="0"/>
        <w:autoSpaceDE/>
        <w:autoSpaceDN/>
        <w:bidi w:val="0"/>
        <w:adjustRightInd/>
        <w:snapToGrid/>
        <w:spacing w:before="157" w:beforeLines="50" w:after="0" w:line="440" w:lineRule="exact"/>
        <w:ind w:firstLine="560" w:firstLineChars="200"/>
        <w:textAlignment w:val="auto"/>
        <w:outlineLvl w:val="1"/>
        <w:rPr>
          <w:rFonts w:hint="eastAsia" w:ascii="微软雅黑" w:hAnsi="微软雅黑" w:eastAsia="微软雅黑" w:cs="微软雅黑"/>
          <w:b/>
          <w:bCs/>
          <w:sz w:val="28"/>
          <w:szCs w:val="28"/>
        </w:rPr>
      </w:pPr>
      <w:bookmarkStart w:id="31" w:name="_Toc12"/>
      <w:r>
        <w:rPr>
          <w:rFonts w:hint="eastAsia" w:ascii="微软雅黑" w:hAnsi="微软雅黑" w:eastAsia="微软雅黑" w:cs="微软雅黑"/>
          <w:b/>
          <w:bCs/>
          <w:sz w:val="28"/>
          <w:szCs w:val="28"/>
          <w:lang w:val="en-US" w:eastAsia="zh-CN"/>
        </w:rPr>
        <w:t>四、</w:t>
      </w:r>
      <w:r>
        <w:rPr>
          <w:rFonts w:hint="eastAsia" w:ascii="微软雅黑" w:hAnsi="微软雅黑" w:eastAsia="微软雅黑" w:cs="微软雅黑"/>
          <w:b/>
          <w:bCs/>
          <w:sz w:val="28"/>
          <w:szCs w:val="28"/>
        </w:rPr>
        <w:t>成果创新</w:t>
      </w:r>
      <w:bookmarkEnd w:id="31"/>
    </w:p>
    <w:p>
      <w:pPr>
        <w:pStyle w:val="2"/>
        <w:keepNext/>
        <w:keepLines/>
        <w:pageBreakBefore w:val="0"/>
        <w:widowControl w:val="0"/>
        <w:kinsoku/>
        <w:wordWrap/>
        <w:overflowPunct/>
        <w:topLinePunct w:val="0"/>
        <w:autoSpaceDE/>
        <w:autoSpaceDN/>
        <w:bidi w:val="0"/>
        <w:adjustRightInd/>
        <w:snapToGrid/>
        <w:spacing w:before="0" w:after="0" w:line="440" w:lineRule="exact"/>
        <w:ind w:firstLine="480" w:firstLineChars="200"/>
        <w:textAlignment w:val="auto"/>
        <w:rPr>
          <w:rFonts w:hint="eastAsia" w:ascii="仿宋" w:hAnsi="仿宋" w:eastAsia="仿宋" w:cs="仿宋"/>
          <w:b w:val="0"/>
          <w:bCs w:val="0"/>
          <w:color w:val="000000" w:themeColor="text1"/>
          <w:kern w:val="2"/>
          <w:sz w:val="24"/>
          <w:szCs w:val="32"/>
          <w:lang w:val="en-US" w:eastAsia="zh-CN" w:bidi="ar-SA"/>
          <w14:textFill>
            <w14:solidFill>
              <w14:schemeClr w14:val="tx1"/>
            </w14:solidFill>
          </w14:textFill>
        </w:rPr>
      </w:pPr>
      <w:bookmarkStart w:id="32" w:name="_Toc16426"/>
      <w:r>
        <w:rPr>
          <w:rFonts w:hint="eastAsia" w:ascii="微软雅黑" w:hAnsi="微软雅黑" w:eastAsia="微软雅黑" w:cs="微软雅黑"/>
          <w:b/>
          <w:bCs/>
          <w:sz w:val="24"/>
          <w:szCs w:val="24"/>
          <w:lang w:eastAsia="zh-CN"/>
        </w:rPr>
        <w:t>（</w:t>
      </w:r>
      <w:r>
        <w:rPr>
          <w:rFonts w:hint="eastAsia" w:ascii="微软雅黑" w:hAnsi="微软雅黑" w:eastAsia="微软雅黑" w:cs="微软雅黑"/>
          <w:b/>
          <w:bCs/>
          <w:sz w:val="24"/>
          <w:szCs w:val="24"/>
          <w:lang w:val="en-US" w:eastAsia="zh-CN"/>
        </w:rPr>
        <w:t>一</w:t>
      </w:r>
      <w:r>
        <w:rPr>
          <w:rFonts w:hint="eastAsia" w:ascii="微软雅黑" w:hAnsi="微软雅黑" w:eastAsia="微软雅黑" w:cs="微软雅黑"/>
          <w:b/>
          <w:bCs/>
          <w:sz w:val="24"/>
          <w:szCs w:val="24"/>
          <w:lang w:eastAsia="zh-CN"/>
        </w:rPr>
        <w:t>）</w:t>
      </w:r>
      <w:r>
        <w:rPr>
          <w:rFonts w:hint="eastAsia" w:ascii="微软雅黑" w:hAnsi="微软雅黑" w:eastAsia="微软雅黑" w:cs="微软雅黑"/>
          <w:b/>
          <w:bCs/>
          <w:sz w:val="24"/>
          <w:szCs w:val="24"/>
        </w:rPr>
        <w:t>形成“三园平台、四阶推进”中职生创新创业教育育人模式。</w:t>
      </w:r>
      <w:r>
        <w:rPr>
          <w:rFonts w:hint="eastAsia" w:ascii="仿宋" w:hAnsi="仿宋" w:eastAsia="仿宋" w:cs="仿宋"/>
          <w:b w:val="0"/>
          <w:bCs w:val="0"/>
          <w:color w:val="000000" w:themeColor="text1"/>
          <w:kern w:val="2"/>
          <w:sz w:val="24"/>
          <w:szCs w:val="32"/>
          <w:lang w:val="en-US" w:eastAsia="zh-CN" w:bidi="ar-SA"/>
          <w14:textFill>
            <w14:solidFill>
              <w14:schemeClr w14:val="tx1"/>
            </w14:solidFill>
          </w14:textFill>
        </w:rPr>
        <w:t>立足地方产业，依托专业，搭建文创园、制创园和商创园三园平台。探索了“四融合四推进”层层递进的创新创业教育过程，探索了适应中职创新创业教育的新途径。供其它县域中职学校借鉴与参考。</w:t>
      </w:r>
      <w:bookmarkEnd w:id="32"/>
    </w:p>
    <w:p>
      <w:pPr>
        <w:pStyle w:val="2"/>
        <w:keepNext/>
        <w:keepLines/>
        <w:pageBreakBefore w:val="0"/>
        <w:widowControl w:val="0"/>
        <w:kinsoku/>
        <w:wordWrap/>
        <w:overflowPunct/>
        <w:topLinePunct w:val="0"/>
        <w:autoSpaceDE/>
        <w:autoSpaceDN/>
        <w:bidi w:val="0"/>
        <w:adjustRightInd/>
        <w:snapToGrid/>
        <w:spacing w:before="0" w:after="0" w:line="440" w:lineRule="exact"/>
        <w:ind w:firstLine="480" w:firstLineChars="200"/>
        <w:textAlignment w:val="auto"/>
        <w:rPr>
          <w:rFonts w:hint="eastAsia" w:ascii="仿宋" w:hAnsi="仿宋" w:eastAsia="仿宋" w:cs="仿宋"/>
          <w:b w:val="0"/>
          <w:bCs w:val="0"/>
          <w:color w:val="000000" w:themeColor="text1"/>
          <w:kern w:val="2"/>
          <w:sz w:val="24"/>
          <w:szCs w:val="32"/>
          <w:lang w:val="en-US" w:eastAsia="zh-CN" w:bidi="ar-SA"/>
          <w14:textFill>
            <w14:solidFill>
              <w14:schemeClr w14:val="tx1"/>
            </w14:solidFill>
          </w14:textFill>
        </w:rPr>
      </w:pPr>
      <w:bookmarkStart w:id="33" w:name="_Toc4445"/>
      <w:r>
        <w:rPr>
          <w:rFonts w:hint="eastAsia" w:ascii="微软雅黑" w:hAnsi="微软雅黑" w:eastAsia="微软雅黑" w:cs="微软雅黑"/>
          <w:b/>
          <w:bCs/>
          <w:sz w:val="24"/>
          <w:szCs w:val="24"/>
        </w:rPr>
        <w:t>（二）形成能力递进、项目推进、增值评价的中职创新创业教育</w:t>
      </w:r>
      <w:r>
        <w:rPr>
          <w:rFonts w:hint="eastAsia" w:ascii="微软雅黑" w:hAnsi="微软雅黑" w:eastAsia="微软雅黑" w:cs="微软雅黑"/>
          <w:b/>
          <w:bCs/>
          <w:sz w:val="24"/>
          <w:szCs w:val="24"/>
          <w:lang w:val="en-US" w:eastAsia="zh-CN"/>
        </w:rPr>
        <w:t>方法</w:t>
      </w:r>
      <w:r>
        <w:rPr>
          <w:rFonts w:hint="eastAsia" w:ascii="微软雅黑" w:hAnsi="微软雅黑" w:eastAsia="微软雅黑" w:cs="微软雅黑"/>
          <w:b/>
          <w:bCs/>
          <w:sz w:val="24"/>
          <w:szCs w:val="24"/>
        </w:rPr>
        <w:t>。</w:t>
      </w:r>
      <w:r>
        <w:rPr>
          <w:rFonts w:hint="eastAsia" w:ascii="仿宋" w:hAnsi="仿宋" w:eastAsia="仿宋" w:cs="仿宋"/>
          <w:b w:val="0"/>
          <w:bCs w:val="0"/>
          <w:color w:val="000000" w:themeColor="text1"/>
          <w:kern w:val="2"/>
          <w:sz w:val="24"/>
          <w:szCs w:val="32"/>
          <w:lang w:val="en-US" w:eastAsia="zh-CN" w:bidi="ar-SA"/>
          <w14:textFill>
            <w14:solidFill>
              <w14:schemeClr w14:val="tx1"/>
            </w14:solidFill>
          </w14:textFill>
        </w:rPr>
        <w:t>丰富中职学校创新创业教育的理论，促进中职学生创新创业教育的可持续发展，推动深化中职学校“三教”改革。</w:t>
      </w:r>
      <w:bookmarkEnd w:id="33"/>
      <w:r>
        <w:rPr>
          <w:rFonts w:hint="eastAsia" w:ascii="仿宋" w:hAnsi="仿宋" w:eastAsia="仿宋" w:cs="仿宋"/>
          <w:b w:val="0"/>
          <w:bCs w:val="0"/>
          <w:color w:val="000000" w:themeColor="text1"/>
          <w:kern w:val="2"/>
          <w:sz w:val="24"/>
          <w:szCs w:val="32"/>
          <w:lang w:val="en-US" w:eastAsia="zh-CN" w:bidi="ar-SA"/>
          <w14:textFill>
            <w14:solidFill>
              <w14:schemeClr w14:val="tx1"/>
            </w14:solidFill>
          </w14:textFill>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440" w:lineRule="exact"/>
        <w:ind w:leftChars="0" w:firstLine="560" w:firstLineChars="200"/>
        <w:textAlignment w:val="auto"/>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五、经验与讨论</w:t>
      </w:r>
    </w:p>
    <w:p>
      <w:pPr>
        <w:pStyle w:val="2"/>
        <w:keepNext/>
        <w:keepLines/>
        <w:pageBreakBefore w:val="0"/>
        <w:widowControl w:val="0"/>
        <w:kinsoku/>
        <w:wordWrap/>
        <w:overflowPunct/>
        <w:topLinePunct w:val="0"/>
        <w:autoSpaceDE/>
        <w:autoSpaceDN/>
        <w:bidi w:val="0"/>
        <w:adjustRightInd/>
        <w:snapToGrid/>
        <w:spacing w:before="0" w:after="0" w:line="440" w:lineRule="exact"/>
        <w:ind w:firstLine="480" w:firstLineChars="200"/>
        <w:textAlignment w:val="auto"/>
        <w:rPr>
          <w:rFonts w:hint="default" w:ascii="仿宋" w:hAnsi="仿宋" w:eastAsia="仿宋" w:cs="仿宋"/>
          <w:b w:val="0"/>
          <w:bCs w:val="0"/>
          <w:color w:val="000000" w:themeColor="text1"/>
          <w:kern w:val="2"/>
          <w:sz w:val="24"/>
          <w:szCs w:val="32"/>
          <w:lang w:val="en-US" w:eastAsia="zh-CN" w:bidi="ar-SA"/>
          <w14:textFill>
            <w14:solidFill>
              <w14:schemeClr w14:val="tx1"/>
            </w14:solidFill>
          </w14:textFill>
        </w:rPr>
      </w:pPr>
      <w:bookmarkStart w:id="34" w:name="_Toc1101"/>
      <w:r>
        <w:rPr>
          <w:rFonts w:hint="eastAsia" w:ascii="仿宋" w:hAnsi="仿宋" w:eastAsia="仿宋" w:cs="仿宋"/>
          <w:b w:val="0"/>
          <w:bCs w:val="0"/>
          <w:color w:val="000000" w:themeColor="text1"/>
          <w:kern w:val="2"/>
          <w:sz w:val="24"/>
          <w:szCs w:val="32"/>
          <w:lang w:val="en-US" w:eastAsia="zh-CN" w:bidi="ar-SA"/>
          <w14:textFill>
            <w14:solidFill>
              <w14:schemeClr w14:val="tx1"/>
            </w14:solidFill>
          </w14:textFill>
        </w:rPr>
        <w:t>近年来的实践探索，学校初步形成了学生创业教育实践的模式及其架构，也取得了一些成效，若加入“智能化+”管理平台可串联三园，实现资源整合和管理，达到预约、审核、监督、管理、资源共享、优化学习等功能，方便构建学生、教师、企业师傅（专家）团队，实现跨时空交流，最终协同扶植使效应最大化。这也是省立项中新增的内容。</w:t>
      </w:r>
      <w:bookmarkEnd w:id="34"/>
    </w:p>
    <w:p>
      <w:pPr>
        <w:pStyle w:val="2"/>
        <w:keepNext/>
        <w:keepLines/>
        <w:pageBreakBefore w:val="0"/>
        <w:widowControl w:val="0"/>
        <w:kinsoku/>
        <w:wordWrap/>
        <w:overflowPunct/>
        <w:topLinePunct w:val="0"/>
        <w:autoSpaceDE/>
        <w:autoSpaceDN/>
        <w:bidi w:val="0"/>
        <w:adjustRightInd/>
        <w:snapToGrid/>
        <w:spacing w:before="0" w:after="0" w:line="440" w:lineRule="exact"/>
        <w:ind w:firstLine="480" w:firstLineChars="200"/>
        <w:textAlignment w:val="auto"/>
        <w:rPr>
          <w:rFonts w:hint="eastAsia" w:ascii="仿宋" w:hAnsi="仿宋" w:eastAsia="仿宋" w:cs="仿宋"/>
          <w:b w:val="0"/>
          <w:bCs w:val="0"/>
          <w:color w:val="000000" w:themeColor="text1"/>
          <w:kern w:val="2"/>
          <w:sz w:val="24"/>
          <w:szCs w:val="32"/>
          <w:lang w:val="en-US" w:eastAsia="zh-CN" w:bidi="ar-SA"/>
          <w14:textFill>
            <w14:solidFill>
              <w14:schemeClr w14:val="tx1"/>
            </w14:solidFill>
          </w14:textFill>
        </w:rPr>
      </w:pPr>
      <w:bookmarkStart w:id="35" w:name="_Toc26195"/>
      <w:r>
        <w:rPr>
          <w:rFonts w:hint="eastAsia" w:ascii="仿宋" w:hAnsi="仿宋" w:eastAsia="仿宋" w:cs="仿宋"/>
          <w:b w:val="0"/>
          <w:bCs w:val="0"/>
          <w:color w:val="000000" w:themeColor="text1"/>
          <w:kern w:val="2"/>
          <w:sz w:val="24"/>
          <w:szCs w:val="32"/>
          <w:lang w:val="en-US" w:eastAsia="zh-CN" w:bidi="ar-SA"/>
          <w14:textFill>
            <w14:solidFill>
              <w14:schemeClr w14:val="tx1"/>
            </w14:solidFill>
          </w14:textFill>
        </w:rPr>
        <w:t>通过实践探索，深刻理解中职创新创业教育不是为了缓解就业，而是一种为了学生更高质量的就业，一种为了学生终身发展和促进社会发展的教育。它也是学校德育工作的特色，与校训“立德树人、重能创业”一致。有待于在此基础上进一步进行总结提炼，形成可推广、可复制的创业教育范式，在全省乃至全国县域中职学校中发挥示范、引领、辐射作用。</w:t>
      </w:r>
      <w:bookmarkEnd w:id="35"/>
    </w:p>
    <w:p>
      <w:pPr>
        <w:jc w:val="left"/>
        <w:rPr>
          <w:rFonts w:hint="eastAsia" w:ascii="黑体" w:eastAsia="黑体"/>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Chars="0" w:right="0" w:rightChars="0"/>
        <w:textAlignment w:val="auto"/>
        <w:outlineLvl w:val="9"/>
        <w:rPr>
          <w:rFonts w:hint="eastAsia"/>
          <w:b/>
          <w:bCs/>
          <w:sz w:val="32"/>
          <w:szCs w:val="32"/>
          <w:lang w:val="en-US" w:eastAsia="zh-CN"/>
        </w:rPr>
      </w:pP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Chars="0" w:right="0" w:rightChars="0"/>
        <w:textAlignment w:val="auto"/>
        <w:outlineLvl w:val="9"/>
        <w:rPr>
          <w:rFonts w:hint="eastAsia"/>
          <w:b/>
          <w:bCs/>
          <w:sz w:val="32"/>
          <w:szCs w:val="32"/>
          <w:lang w:val="en-US" w:eastAsia="zh-CN"/>
        </w:rPr>
      </w:pP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Chars="0" w:right="0" w:rightChars="0"/>
        <w:textAlignment w:val="auto"/>
        <w:outlineLvl w:val="9"/>
        <w:rPr>
          <w:rFonts w:hint="eastAsia"/>
          <w:b/>
          <w:bCs/>
          <w:sz w:val="32"/>
          <w:szCs w:val="32"/>
          <w:lang w:val="en-US" w:eastAsia="zh-CN"/>
        </w:rPr>
      </w:pP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Chars="0" w:right="0" w:rightChars="0"/>
        <w:textAlignment w:val="auto"/>
        <w:outlineLvl w:val="0"/>
        <w:rPr>
          <w:rFonts w:hint="eastAsia"/>
          <w:b/>
          <w:bCs/>
          <w:sz w:val="32"/>
          <w:szCs w:val="32"/>
          <w:lang w:val="en-US" w:eastAsia="zh-CN"/>
        </w:rPr>
      </w:pPr>
      <w:bookmarkStart w:id="36" w:name="_Toc1138"/>
      <w:r>
        <w:rPr>
          <w:rFonts w:hint="eastAsia"/>
          <w:b/>
          <w:bCs/>
          <w:sz w:val="32"/>
          <w:szCs w:val="32"/>
          <w:lang w:val="en-US" w:eastAsia="zh-CN"/>
        </w:rPr>
        <w:t>八、主要问题和改进措施</w:t>
      </w:r>
      <w:bookmarkEnd w:id="36"/>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firstLine="0" w:firstLineChars="0"/>
        <w:textAlignment w:val="auto"/>
        <w:outlineLvl w:val="9"/>
        <w:rPr>
          <w:rFonts w:hint="eastAsia"/>
          <w:b/>
          <w:bCs/>
          <w:sz w:val="24"/>
          <w:szCs w:val="24"/>
          <w:lang w:val="en-US" w:eastAsia="zh-CN"/>
        </w:rPr>
      </w:pPr>
      <w:r>
        <w:rPr>
          <w:rFonts w:hint="eastAsia"/>
          <w:b/>
          <w:bCs/>
          <w:sz w:val="24"/>
          <w:szCs w:val="24"/>
          <w:lang w:val="en-US" w:eastAsia="zh-CN"/>
        </w:rPr>
        <w:t xml:space="preserve">    主要存在的问题：</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80" w:firstLineChars="200"/>
        <w:textAlignment w:val="auto"/>
        <w:outlineLvl w:val="9"/>
        <w:rPr>
          <w:rFonts w:hint="eastAsia"/>
          <w:sz w:val="24"/>
          <w:szCs w:val="24"/>
          <w:lang w:val="en-US" w:eastAsia="zh-CN"/>
        </w:rPr>
      </w:pPr>
      <w:r>
        <w:rPr>
          <w:rFonts w:hint="eastAsia"/>
          <w:sz w:val="24"/>
          <w:szCs w:val="24"/>
          <w:lang w:val="en-US" w:eastAsia="zh-CN"/>
        </w:rPr>
        <w:t>虽然取得了很多成绩，但我们没有沾沾自喜洋洋得意，我们时刻反思自己、警醒自己，我们还存在着许多不足，在发展的道路上也存在着一些困难。</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80" w:firstLineChars="200"/>
        <w:textAlignment w:val="auto"/>
        <w:outlineLvl w:val="9"/>
        <w:rPr>
          <w:rFonts w:hint="eastAsia"/>
          <w:sz w:val="24"/>
          <w:szCs w:val="24"/>
          <w:lang w:val="en-US" w:eastAsia="zh-CN"/>
        </w:rPr>
      </w:pPr>
      <w:r>
        <w:rPr>
          <w:rFonts w:hint="eastAsia"/>
          <w:sz w:val="24"/>
          <w:szCs w:val="24"/>
          <w:lang w:val="en-US" w:eastAsia="zh-CN"/>
        </w:rPr>
        <w:t>1.生源素质有待进一步提高。虽然近些年（特别是2019年和2020年）来我校就读的学生素质有大幅度提高，但还是有比较大的上升的空间。学生的素质决定了毕业生的素质，也绝对了学校的办学档次和定位，在今后几年的招生计划和工作中，我校将继续把提高学生生源素质放在首位。</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firstLine="480" w:firstLineChars="200"/>
        <w:textAlignment w:val="auto"/>
        <w:outlineLvl w:val="9"/>
        <w:rPr>
          <w:rFonts w:hint="eastAsia"/>
          <w:sz w:val="24"/>
          <w:szCs w:val="24"/>
          <w:lang w:val="en-US" w:eastAsia="zh-CN"/>
        </w:rPr>
      </w:pPr>
      <w:r>
        <w:rPr>
          <w:rFonts w:hint="eastAsia"/>
          <w:sz w:val="24"/>
          <w:szCs w:val="24"/>
          <w:lang w:val="en-US" w:eastAsia="zh-CN"/>
        </w:rPr>
        <w:t>2.师资队伍建设有待进一步优化。在实行现有的师资队伍建设方案的基础上，大力招聘有品德有水平的专业教师，加大师资人才引进力度，不断优化学校师资队伍结构，提升整体师资队伍专业水平和师德品质。</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firstLine="480" w:firstLineChars="200"/>
        <w:textAlignment w:val="auto"/>
        <w:outlineLvl w:val="9"/>
        <w:rPr>
          <w:rFonts w:hint="eastAsia"/>
          <w:sz w:val="24"/>
          <w:szCs w:val="24"/>
          <w:lang w:val="en-US" w:eastAsia="zh-CN"/>
        </w:rPr>
      </w:pPr>
      <w:r>
        <w:rPr>
          <w:rFonts w:hint="eastAsia"/>
          <w:sz w:val="24"/>
          <w:szCs w:val="24"/>
          <w:lang w:val="en-US" w:eastAsia="zh-CN"/>
        </w:rPr>
        <w:t>3.实训设备更新有待进一步加快。专业实训设备的更新日新月异，学校在多个专业的实训设备的更新上有待进一步加快速度，以跟上不断变化的社会发展形势。</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firstLine="480" w:firstLineChars="200"/>
        <w:textAlignment w:val="auto"/>
        <w:outlineLvl w:val="9"/>
        <w:rPr>
          <w:rFonts w:hint="eastAsia"/>
          <w:b/>
          <w:bCs/>
          <w:sz w:val="24"/>
          <w:szCs w:val="24"/>
          <w:lang w:val="en-US" w:eastAsia="zh-CN"/>
        </w:rPr>
      </w:pPr>
      <w:r>
        <w:rPr>
          <w:rFonts w:hint="eastAsia"/>
          <w:sz w:val="24"/>
          <w:szCs w:val="24"/>
          <w:lang w:val="en-US" w:eastAsia="zh-CN"/>
        </w:rPr>
        <w:t>4.校企合作有待进一步深化。随着我县实体经济的不断振兴，校企合作方面也有待进一步深化、优化和全面化。与企业建立深度合作关系，让我们的毕业生找到专业对口的工作。</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firstLine="0" w:firstLineChars="0"/>
        <w:textAlignment w:val="auto"/>
        <w:outlineLvl w:val="9"/>
        <w:rPr>
          <w:rFonts w:hint="eastAsia"/>
          <w:b/>
          <w:bCs/>
          <w:sz w:val="24"/>
          <w:szCs w:val="24"/>
          <w:lang w:val="en-US" w:eastAsia="zh-CN"/>
        </w:rPr>
      </w:pPr>
      <w:r>
        <w:rPr>
          <w:rFonts w:hint="eastAsia"/>
          <w:b/>
          <w:bCs/>
          <w:sz w:val="24"/>
          <w:szCs w:val="24"/>
          <w:lang w:val="en-US" w:eastAsia="zh-CN"/>
        </w:rPr>
        <w:t xml:space="preserve">    具体措施：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sz w:val="24"/>
          <w:szCs w:val="24"/>
          <w:lang w:val="en-US" w:eastAsia="zh-CN"/>
        </w:rPr>
      </w:pPr>
      <w:r>
        <w:rPr>
          <w:rFonts w:hint="eastAsia"/>
          <w:sz w:val="24"/>
          <w:szCs w:val="24"/>
          <w:lang w:val="en-US" w:eastAsia="zh-CN"/>
        </w:rPr>
        <w:t>1.专业建设做精做大。在原有3+2办学模式的基础上继续申报3+4办学模式，力争与嘉兴学院、杭州科技职业技术学院、义乌工商学院、舟山旅游与健康职业技术学院等多个高校实现3+4办学模式，走高中+专科+本科一条龙路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2.加快传统专业转型。一些传统专业如计算机、电子技术应用、汽修、工艺美术设计等应该积极转型。了解专业发展方向、做好专业前景调研、展开专业转型道路，要以开放、包容、发展的眼光指导专业建设与发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3.打开国际交流与合作窗口。在师资培训方面要积极争取更多出国学习和培训的机会，争取让更多的专业骨干教师出国深造，学习先进理念、技术、模式、方法等。同时，我校也在积极筹划与韩国一所大学和德国一所中职学校展开深度合作，建立兄弟学校关系，让学校办学层次和水平与国际接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4.继续大力弘扬中华传统文化。不断发展中医养生专业、不断完善书法国画选修课程、不断传承非遗文化和饮食文化。让中华传统文化在我校生根发芽，茁壮成长。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5.校企合作寻求更深层次的合作。校企合作要走集团化、制度化道路，不但要为培养学生的过硬技术而努力，也要为共同培养学生的社会责任感而努力。校企合作、产教融合、工学结合是中职学校发展的必经之路，一定要走出新意、走出诚意、走出创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6.社会服务要接地气，更要上档次。社会服务要以服务地方产业为主，社会培训既要服务广大地方产业，解决企业难题。更要在专业领域起到技改、研发的作用，要引领专业领域的发展方向。同时，要继续加大对工作室的投入。在原有基础上引进以智能家居、新能源汽车、高级电焊、养生拍打疗法等为主的符合时代和社会发展的工作室。学校也力争在浦江的每个专业和每个行业都有我校的大师和名师，做到中西结合、贯通古今，让工作室成为学校又一张金名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7.大力发展学生第二专业。今年，我校与行业协会、地方企业合作开设了学生的第二专业课程，即民宿小管家、连锁小店长、电梯维修匠、平面模特等。这是服务地方产业、顺应时代发展的最好证明。接下去我校将继续开设学生的第二专业，提升毕业生就业竞争力。</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firstLine="0" w:firstLineChars="0"/>
        <w:textAlignment w:val="auto"/>
        <w:outlineLvl w:val="9"/>
        <w:rPr>
          <w:rFonts w:hint="eastAsia"/>
          <w:sz w:val="24"/>
          <w:szCs w:val="24"/>
          <w:lang w:val="en-US" w:eastAsia="zh-CN"/>
        </w:rPr>
      </w:pPr>
    </w:p>
    <w:p/>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新宋体">
    <w:panose1 w:val="02010609030101010101"/>
    <w:charset w:val="86"/>
    <w:family w:val="auto"/>
    <w:pitch w:val="default"/>
    <w:sig w:usb0="00000003" w:usb1="288F0000" w:usb2="00000006" w:usb3="00000000" w:csb0="00040001"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right="360"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67F938C"/>
    <w:multiLevelType w:val="singleLevel"/>
    <w:tmpl w:val="A67F938C"/>
    <w:lvl w:ilvl="0" w:tentative="0">
      <w:start w:val="2"/>
      <w:numFmt w:val="decimal"/>
      <w:suff w:val="space"/>
      <w:lvlText w:val="%1."/>
      <w:lvlJc w:val="left"/>
    </w:lvl>
  </w:abstractNum>
  <w:abstractNum w:abstractNumId="1">
    <w:nsid w:val="E4B92D6D"/>
    <w:multiLevelType w:val="singleLevel"/>
    <w:tmpl w:val="E4B92D6D"/>
    <w:lvl w:ilvl="0" w:tentative="0">
      <w:start w:val="3"/>
      <w:numFmt w:val="decimal"/>
      <w:lvlText w:val="%1."/>
      <w:lvlJc w:val="left"/>
      <w:pPr>
        <w:tabs>
          <w:tab w:val="left" w:pos="312"/>
        </w:tabs>
      </w:pPr>
    </w:lvl>
  </w:abstractNum>
  <w:abstractNum w:abstractNumId="2">
    <w:nsid w:val="38D1AB8B"/>
    <w:multiLevelType w:val="singleLevel"/>
    <w:tmpl w:val="38D1AB8B"/>
    <w:lvl w:ilvl="0" w:tentative="0">
      <w:start w:val="2"/>
      <w:numFmt w:val="chineseCounting"/>
      <w:suff w:val="nothing"/>
      <w:lvlText w:val="（%1）"/>
      <w:lvlJc w:val="left"/>
      <w:rPr>
        <w:rFonts w:hint="eastAsia"/>
      </w:rPr>
    </w:lvl>
  </w:abstractNum>
  <w:abstractNum w:abstractNumId="3">
    <w:nsid w:val="3EFB0598"/>
    <w:multiLevelType w:val="singleLevel"/>
    <w:tmpl w:val="3EFB0598"/>
    <w:lvl w:ilvl="0" w:tentative="0">
      <w:start w:val="1"/>
      <w:numFmt w:val="decimal"/>
      <w:lvlText w:val="%1."/>
      <w:lvlJc w:val="left"/>
      <w:pPr>
        <w:tabs>
          <w:tab w:val="left" w:pos="312"/>
        </w:tabs>
        <w:ind w:left="480" w:firstLine="0"/>
      </w:pPr>
    </w:lvl>
  </w:abstractNum>
  <w:abstractNum w:abstractNumId="4">
    <w:nsid w:val="5876E0BD"/>
    <w:multiLevelType w:val="singleLevel"/>
    <w:tmpl w:val="5876E0BD"/>
    <w:lvl w:ilvl="0" w:tentative="0">
      <w:start w:val="1"/>
      <w:numFmt w:val="decimal"/>
      <w:suff w:val="nothing"/>
      <w:lvlText w:val="%1、"/>
      <w:lvlJc w:val="left"/>
    </w:lvl>
  </w:abstractNum>
  <w:abstractNum w:abstractNumId="5">
    <w:nsid w:val="5876E638"/>
    <w:multiLevelType w:val="singleLevel"/>
    <w:tmpl w:val="5876E638"/>
    <w:lvl w:ilvl="0" w:tentative="0">
      <w:start w:val="2"/>
      <w:numFmt w:val="chineseCounting"/>
      <w:suff w:val="nothing"/>
      <w:lvlText w:val="%1、"/>
      <w:lvlJc w:val="left"/>
    </w:lvl>
  </w:abstractNum>
  <w:abstractNum w:abstractNumId="6">
    <w:nsid w:val="5876E64D"/>
    <w:multiLevelType w:val="singleLevel"/>
    <w:tmpl w:val="5876E64D"/>
    <w:lvl w:ilvl="0" w:tentative="0">
      <w:start w:val="1"/>
      <w:numFmt w:val="decimal"/>
      <w:suff w:val="nothing"/>
      <w:lvlText w:val="%1、"/>
      <w:lvlJc w:val="left"/>
    </w:lvl>
  </w:abstractNum>
  <w:abstractNum w:abstractNumId="7">
    <w:nsid w:val="5876E9F0"/>
    <w:multiLevelType w:val="singleLevel"/>
    <w:tmpl w:val="5876E9F0"/>
    <w:lvl w:ilvl="0" w:tentative="0">
      <w:start w:val="3"/>
      <w:numFmt w:val="chineseCounting"/>
      <w:suff w:val="nothing"/>
      <w:lvlText w:val="%1、"/>
      <w:lvlJc w:val="left"/>
    </w:lvl>
  </w:abstractNum>
  <w:abstractNum w:abstractNumId="8">
    <w:nsid w:val="5876EE4D"/>
    <w:multiLevelType w:val="singleLevel"/>
    <w:tmpl w:val="5876EE4D"/>
    <w:lvl w:ilvl="0" w:tentative="0">
      <w:start w:val="4"/>
      <w:numFmt w:val="chineseCounting"/>
      <w:suff w:val="nothing"/>
      <w:lvlText w:val="%1、"/>
      <w:lvlJc w:val="left"/>
    </w:lvl>
  </w:abstractNum>
  <w:abstractNum w:abstractNumId="9">
    <w:nsid w:val="5876F0AF"/>
    <w:multiLevelType w:val="singleLevel"/>
    <w:tmpl w:val="5876F0AF"/>
    <w:lvl w:ilvl="0" w:tentative="0">
      <w:start w:val="5"/>
      <w:numFmt w:val="chineseCounting"/>
      <w:suff w:val="nothing"/>
      <w:lvlText w:val="%1、"/>
      <w:lvlJc w:val="left"/>
    </w:lvl>
  </w:abstractNum>
  <w:abstractNum w:abstractNumId="10">
    <w:nsid w:val="5876F1A6"/>
    <w:multiLevelType w:val="singleLevel"/>
    <w:tmpl w:val="5876F1A6"/>
    <w:lvl w:ilvl="0" w:tentative="0">
      <w:start w:val="1"/>
      <w:numFmt w:val="decimal"/>
      <w:suff w:val="nothing"/>
      <w:lvlText w:val="%1、"/>
      <w:lvlJc w:val="left"/>
    </w:lvl>
  </w:abstractNum>
  <w:num w:numId="1">
    <w:abstractNumId w:val="4"/>
  </w:num>
  <w:num w:numId="2">
    <w:abstractNumId w:val="5"/>
  </w:num>
  <w:num w:numId="3">
    <w:abstractNumId w:val="6"/>
  </w:num>
  <w:num w:numId="4">
    <w:abstractNumId w:val="7"/>
  </w:num>
  <w:num w:numId="5">
    <w:abstractNumId w:val="8"/>
  </w:num>
  <w:num w:numId="6">
    <w:abstractNumId w:val="9"/>
  </w:num>
  <w:num w:numId="7">
    <w:abstractNumId w:val="1"/>
  </w:num>
  <w:num w:numId="8">
    <w:abstractNumId w:val="10"/>
  </w:num>
  <w:num w:numId="9">
    <w:abstractNumId w:val="2"/>
  </w:num>
  <w:num w:numId="10">
    <w:abstractNumId w:val="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A1A2A34"/>
    <w:rsid w:val="117801FF"/>
    <w:rsid w:val="41A44845"/>
    <w:rsid w:val="4A1A2A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3"/>
    <w:basedOn w:val="1"/>
    <w:next w:val="1"/>
    <w:unhideWhenUsed/>
    <w:qFormat/>
    <w:uiPriority w:val="0"/>
    <w:pPr>
      <w:keepNext/>
      <w:keepLines/>
      <w:spacing w:line="360" w:lineRule="auto"/>
      <w:outlineLvl w:val="2"/>
    </w:pPr>
    <w:rPr>
      <w:b/>
      <w:bCs/>
      <w:sz w:val="24"/>
      <w:szCs w:val="32"/>
    </w:rPr>
  </w:style>
  <w:style w:type="character" w:default="1" w:styleId="12">
    <w:name w:val="Default Paragraph Font"/>
    <w:semiHidden/>
    <w:qFormat/>
    <w:uiPriority w:val="0"/>
  </w:style>
  <w:style w:type="table" w:default="1" w:styleId="10">
    <w:name w:val="Normal Table"/>
    <w:semiHidden/>
    <w:uiPriority w:val="0"/>
    <w:tblPr>
      <w:tblCellMar>
        <w:top w:w="0" w:type="dxa"/>
        <w:left w:w="108" w:type="dxa"/>
        <w:bottom w:w="0" w:type="dxa"/>
        <w:right w:w="108" w:type="dxa"/>
      </w:tblCellMar>
    </w:tblPr>
  </w:style>
  <w:style w:type="paragraph" w:styleId="4">
    <w:name w:val="caption"/>
    <w:basedOn w:val="1"/>
    <w:next w:val="1"/>
    <w:qFormat/>
    <w:uiPriority w:val="0"/>
    <w:rPr>
      <w:rFonts w:ascii="Arial" w:hAnsi="Arial" w:eastAsia="黑体"/>
      <w:sz w:val="20"/>
    </w:rPr>
  </w:style>
  <w:style w:type="paragraph" w:styleId="5">
    <w:name w:val="Body Text Indent"/>
    <w:basedOn w:val="1"/>
    <w:qFormat/>
    <w:uiPriority w:val="0"/>
    <w:pPr>
      <w:spacing w:after="120"/>
      <w:ind w:left="420" w:leftChars="200"/>
    </w:pPr>
    <w:rPr>
      <w:kern w:val="0"/>
      <w:sz w:val="20"/>
      <w:szCs w:val="24"/>
    </w:r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footnote text"/>
    <w:basedOn w:val="1"/>
    <w:unhideWhenUsed/>
    <w:qFormat/>
    <w:uiPriority w:val="0"/>
    <w:pPr>
      <w:snapToGrid w:val="0"/>
      <w:jc w:val="left"/>
    </w:pPr>
    <w:rPr>
      <w:kern w:val="0"/>
      <w:sz w:val="18"/>
      <w:szCs w:val="18"/>
    </w:rPr>
  </w:style>
  <w:style w:type="paragraph" w:styleId="8">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9">
    <w:name w:val="Normal (Web)"/>
    <w:basedOn w:val="1"/>
    <w:qFormat/>
    <w:uiPriority w:val="0"/>
    <w:pPr>
      <w:spacing w:before="100" w:beforeAutospacing="1" w:after="100" w:afterAutospacing="1"/>
      <w:ind w:left="0" w:right="0"/>
      <w:jc w:val="left"/>
    </w:pPr>
    <w:rPr>
      <w:kern w:val="0"/>
      <w:sz w:val="24"/>
      <w:lang w:val="en-US" w:eastAsia="zh-CN" w:bidi="ar"/>
    </w:rPr>
  </w:style>
  <w:style w:type="table" w:styleId="11">
    <w:name w:val="Table Grid"/>
    <w:basedOn w:val="10"/>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3">
    <w:name w:val="page number"/>
    <w:basedOn w:val="12"/>
    <w:qFormat/>
    <w:uiPriority w:val="0"/>
  </w:style>
  <w:style w:type="paragraph" w:customStyle="1" w:styleId="14">
    <w:name w:val="List Paragraph"/>
    <w:basedOn w:val="1"/>
    <w:qFormat/>
    <w:uiPriority w:val="0"/>
    <w:pPr>
      <w:ind w:firstLine="420" w:firstLineChars="200"/>
    </w:pPr>
  </w:style>
  <w:style w:type="paragraph" w:customStyle="1" w:styleId="15">
    <w:name w:val="WPSOffice手动目录 1"/>
    <w:uiPriority w:val="0"/>
    <w:pPr>
      <w:ind w:leftChars="0"/>
    </w:pPr>
    <w:rPr>
      <w:sz w:val="20"/>
      <w:szCs w:val="20"/>
    </w:rPr>
  </w:style>
  <w:style w:type="paragraph" w:customStyle="1" w:styleId="16">
    <w:name w:val="WPSOffice手动目录 2"/>
    <w:uiPriority w:val="0"/>
    <w:pPr>
      <w:ind w:leftChars="200"/>
    </w:pPr>
    <w:rPr>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2021-02-07T12:36:00Z</dcterms:created>
  <dc:creator>beyond</dc:creator>
  <cp:lastModifiedBy>项小咪</cp:lastModifiedBy>
  <dcterms:modified xsi:type="dcterms:W3CDTF">2021-02-08T09:53:26Z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