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0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pacing w:line="50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pacing w:line="50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楷体_GB2312" w:eastAsia="楷体_GB2312"/>
          <w:b/>
          <w:color w:val="000000" w:themeColor="text1"/>
          <w:sz w:val="36"/>
          <w:szCs w:val="36"/>
          <w14:textFill>
            <w14:solidFill>
              <w14:schemeClr w14:val="tx1"/>
            </w14:solidFill>
          </w14:textFill>
        </w:rPr>
        <w:drawing>
          <wp:anchor distT="0" distB="0" distL="114300" distR="114300" simplePos="0" relativeHeight="251658240" behindDoc="1" locked="0" layoutInCell="1" allowOverlap="1">
            <wp:simplePos x="0" y="0"/>
            <wp:positionH relativeFrom="column">
              <wp:posOffset>596900</wp:posOffset>
            </wp:positionH>
            <wp:positionV relativeFrom="paragraph">
              <wp:posOffset>80645</wp:posOffset>
            </wp:positionV>
            <wp:extent cx="4056380" cy="808990"/>
            <wp:effectExtent l="0" t="0" r="1270" b="10160"/>
            <wp:wrapTight wrapText="bothSides">
              <wp:wrapPolygon>
                <wp:start x="0" y="0"/>
                <wp:lineTo x="0" y="20854"/>
                <wp:lineTo x="21505" y="20854"/>
                <wp:lineTo x="21505"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056380" cy="808990"/>
                    </a:xfrm>
                    <a:prstGeom prst="rect">
                      <a:avLst/>
                    </a:prstGeom>
                    <a:noFill/>
                    <a:ln>
                      <a:noFill/>
                    </a:ln>
                  </pic:spPr>
                </pic:pic>
              </a:graphicData>
            </a:graphic>
          </wp:anchor>
        </w:drawing>
      </w:r>
    </w:p>
    <w:p>
      <w:pPr>
        <w:adjustRightInd w:val="0"/>
        <w:spacing w:line="50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after="157" w:afterLines="50" w:line="5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after="157" w:afterLines="50" w:line="50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浙江交通技师学院教育质量</w:t>
      </w:r>
    </w:p>
    <w:p>
      <w:pPr>
        <w:adjustRightInd w:val="0"/>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度</w:t>
      </w:r>
    </w:p>
    <w:p>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报</w:t>
      </w:r>
    </w:p>
    <w:p>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rPr>
          <w:rFonts w:hint="eastAsia" w:ascii="黑体" w:hAnsi="黑体" w:eastAsia="黑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告</w:t>
      </w:r>
    </w:p>
    <w:p>
      <w:pPr>
        <w:adjustRightInd w:val="0"/>
        <w:spacing w:line="500" w:lineRule="exact"/>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after="157" w:afterLines="50" w:line="5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2020</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pPr>
    </w:p>
    <w:p>
      <w:pPr>
        <w:pStyle w:val="8"/>
        <w:shd w:val="clear" w:color="auto" w:fill="FFFFFF"/>
        <w:spacing w:before="0" w:beforeAutospacing="0" w:after="0" w:afterAutospacing="0" w:line="555" w:lineRule="atLeast"/>
        <w:jc w:val="center"/>
        <w:rPr>
          <w:rFonts w:hint="default" w:ascii="仿宋_GB2312" w:hAnsi="Calibri" w:eastAsia="仿宋_GB2312"/>
          <w:b/>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2"/>
          <w:szCs w:val="32"/>
          <w:lang w:val="en-US" w:eastAsia="zh-CN"/>
          <w14:textFill>
            <w14:solidFill>
              <w14:schemeClr w14:val="tx1"/>
            </w14:solidFill>
          </w14:textFill>
        </w:rPr>
        <w:t>2021年1月编制</w:t>
      </w:r>
    </w:p>
    <w:p>
      <w:pPr>
        <w:pStyle w:val="8"/>
        <w:shd w:val="clear" w:color="auto" w:fill="FFFFFF"/>
        <w:spacing w:before="0" w:beforeAutospacing="0" w:after="0" w:afterAutospacing="0" w:line="555" w:lineRule="atLeast"/>
        <w:ind w:firstLine="480"/>
        <w:rPr>
          <w:rFonts w:hint="eastAsia" w:ascii="仿宋_GB2312" w:hAnsi="Calibri" w:eastAsia="仿宋_GB2312"/>
          <w:b/>
          <w:color w:val="000000" w:themeColor="text1"/>
          <w:sz w:val="32"/>
          <w:szCs w:val="32"/>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outlineLvl w:val="0"/>
        <w:rPr>
          <w:rFonts w:hint="eastAsia" w:ascii="Times New Roman" w:hAnsi="Times New Roman" w:eastAsia="黑体" w:cs="Times New Roman"/>
          <w:color w:val="000000" w:themeColor="text1"/>
          <w:sz w:val="32"/>
          <w:szCs w:val="32"/>
          <w:lang w:eastAsia="zh-CN"/>
          <w14:textFill>
            <w14:solidFill>
              <w14:schemeClr w14:val="tx1"/>
            </w14:solidFill>
          </w14:textFill>
        </w:rPr>
      </w:pPr>
      <w:bookmarkStart w:id="0" w:name="_Toc4230"/>
      <w:bookmarkStart w:id="1" w:name="_Toc10306"/>
      <w:bookmarkStart w:id="2" w:name="_Toc25723"/>
      <w:bookmarkStart w:id="3" w:name="_Toc544"/>
      <w:bookmarkStart w:id="4" w:name="_Toc12478"/>
      <w:bookmarkStart w:id="5" w:name="_Toc16072"/>
      <w:bookmarkStart w:id="6" w:name="_Toc15329"/>
      <w:bookmarkStart w:id="7" w:name="_Toc24558"/>
      <w:bookmarkStart w:id="8" w:name="_Toc20427"/>
      <w:bookmarkStart w:id="9" w:name="_Toc13699"/>
      <w:bookmarkStart w:id="10" w:name="_Toc12246"/>
      <w:r>
        <w:rPr>
          <w:rFonts w:hint="eastAsia" w:ascii="Times New Roman" w:hAnsi="Times New Roman" w:eastAsia="黑体" w:cs="Times New Roman"/>
          <w:color w:val="000000" w:themeColor="text1"/>
          <w:sz w:val="32"/>
          <w:szCs w:val="32"/>
          <w:lang w:eastAsia="zh-CN"/>
          <w14:textFill>
            <w14:solidFill>
              <w14:schemeClr w14:val="tx1"/>
            </w14:solidFill>
          </w14:textFill>
        </w:rPr>
        <w:t>目</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eastAsia="zh-CN"/>
          <w14:textFill>
            <w14:solidFill>
              <w14:schemeClr w14:val="tx1"/>
            </w14:solidFill>
          </w14:textFill>
        </w:rPr>
        <w:t>录</w:t>
      </w:r>
      <w:bookmarkEnd w:id="0"/>
      <w:bookmarkEnd w:id="1"/>
      <w:bookmarkEnd w:id="2"/>
      <w:bookmarkEnd w:id="3"/>
      <w:bookmarkEnd w:id="4"/>
      <w:bookmarkEnd w:id="5"/>
      <w:bookmarkEnd w:id="6"/>
      <w:bookmarkEnd w:id="7"/>
      <w:bookmarkEnd w:id="8"/>
      <w:bookmarkEnd w:id="9"/>
      <w:bookmarkEnd w:id="10"/>
    </w:p>
    <w:p>
      <w:pPr>
        <w:pStyle w:val="6"/>
        <w:tabs>
          <w:tab w:val="right" w:leader="dot" w:pos="8618"/>
        </w:tabs>
        <w:rPr>
          <w:color w:val="000000" w:themeColor="text1"/>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fldChar w:fldCharType="begin"/>
      </w:r>
      <w:r>
        <w:rPr>
          <w:rFonts w:ascii="Times New Roman" w:hAnsi="Times New Roman" w:eastAsia="黑体" w:cs="Times New Roman"/>
          <w:color w:val="000000" w:themeColor="text1"/>
          <w:sz w:val="32"/>
          <w:szCs w:val="32"/>
          <w14:textFill>
            <w14:solidFill>
              <w14:schemeClr w14:val="tx1"/>
            </w14:solidFill>
          </w14:textFill>
        </w:rPr>
        <w:instrText xml:space="preserve">TOC \o "1-2" \h \u </w:instrText>
      </w:r>
      <w:r>
        <w:rPr>
          <w:rFonts w:ascii="Times New Roman" w:hAnsi="Times New Roman" w:eastAsia="黑体" w:cs="Times New Roman"/>
          <w:color w:val="000000" w:themeColor="text1"/>
          <w:sz w:val="32"/>
          <w:szCs w:val="32"/>
          <w14:textFill>
            <w14:solidFill>
              <w14:schemeClr w14:val="tx1"/>
            </w14:solidFill>
          </w14:textFill>
        </w:rPr>
        <w:fldChar w:fldCharType="separate"/>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_Toc27008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1.</w:t>
      </w:r>
      <w:r>
        <w:rPr>
          <w:rFonts w:hint="eastAsia" w:ascii="Times New Roman" w:hAnsi="Times New Roman" w:eastAsia="黑体" w:cs="Times New Roman"/>
          <w:b/>
          <w:bCs/>
          <w:color w:val="000000" w:themeColor="text1"/>
          <w:sz w:val="24"/>
          <w:szCs w:val="24"/>
          <w:lang w:eastAsia="zh-CN"/>
          <w14:textFill>
            <w14:solidFill>
              <w14:schemeClr w14:val="tx1"/>
            </w14:solidFill>
          </w14:textFill>
        </w:rPr>
        <w:t>学院</w:t>
      </w:r>
      <w:r>
        <w:rPr>
          <w:rFonts w:ascii="Times New Roman" w:hAnsi="Times New Roman" w:eastAsia="黑体" w:cs="Times New Roman"/>
          <w:b/>
          <w:bCs/>
          <w:color w:val="000000" w:themeColor="text1"/>
          <w:sz w:val="24"/>
          <w:szCs w:val="24"/>
          <w14:textFill>
            <w14:solidFill>
              <w14:schemeClr w14:val="tx1"/>
            </w14:solidFill>
          </w14:textFill>
        </w:rPr>
        <w:t>情况</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fldChar w:fldCharType="begin"/>
      </w:r>
      <w:r>
        <w:rPr>
          <w:b/>
          <w:bCs/>
          <w:color w:val="000000" w:themeColor="text1"/>
          <w:sz w:val="24"/>
          <w:szCs w:val="24"/>
          <w14:textFill>
            <w14:solidFill>
              <w14:schemeClr w14:val="tx1"/>
            </w14:solidFill>
          </w14:textFill>
        </w:rPr>
        <w:instrText xml:space="preserve"> PAGEREF _Toc27008 </w:instrText>
      </w:r>
      <w:r>
        <w:rPr>
          <w:b/>
          <w:bCs/>
          <w:color w:val="000000" w:themeColor="text1"/>
          <w:sz w:val="24"/>
          <w:szCs w:val="24"/>
          <w14:textFill>
            <w14:solidFill>
              <w14:schemeClr w14:val="tx1"/>
            </w14:solidFill>
          </w14:textFill>
        </w:rPr>
        <w:fldChar w:fldCharType="separate"/>
      </w:r>
      <w:r>
        <w:rPr>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_Toc742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1.1</w:t>
      </w:r>
      <w:r>
        <w:rPr>
          <w:rFonts w:hint="eastAsia" w:ascii="Times New Roman" w:hAnsi="Times New Roman" w:eastAsia="仿宋_GB2312" w:cs="Times New Roman"/>
          <w:bCs/>
          <w:color w:val="000000" w:themeColor="text1"/>
          <w:sz w:val="24"/>
          <w:szCs w:val="24"/>
          <w:lang w:eastAsia="zh-CN"/>
          <w14:textFill>
            <w14:solidFill>
              <w14:schemeClr w14:val="tx1"/>
            </w14:solidFill>
          </w14:textFill>
        </w:rPr>
        <w:t>学院</w:t>
      </w:r>
      <w:r>
        <w:rPr>
          <w:rFonts w:ascii="Times New Roman" w:hAnsi="Times New Roman" w:eastAsia="仿宋_GB2312" w:cs="Times New Roman"/>
          <w:bCs/>
          <w:color w:val="000000" w:themeColor="text1"/>
          <w:sz w:val="24"/>
          <w:szCs w:val="24"/>
          <w14:textFill>
            <w14:solidFill>
              <w14:schemeClr w14:val="tx1"/>
            </w14:solidFill>
          </w14:textFill>
        </w:rPr>
        <w:t>概况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_Toc742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_Toc29270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1.2学生情况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_Toc29270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_Toc12945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1.3教师队伍</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_Toc12945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_Toc16877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hint="eastAsia" w:ascii="Times New Roman" w:hAnsi="Times New Roman" w:eastAsia="仿宋_GB2312" w:cs="Times New Roman"/>
          <w:bCs/>
          <w:color w:val="000000" w:themeColor="text1"/>
          <w:sz w:val="24"/>
          <w:szCs w:val="24"/>
          <w:lang w:val="en-US" w:eastAsia="zh-CN"/>
          <w14:textFill>
            <w14:solidFill>
              <w14:schemeClr w14:val="tx1"/>
            </w14:solidFill>
          </w14:textFill>
        </w:rPr>
        <w:t>1.4设施设备</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_Toc16877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_Toc28829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2.学生发展</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_Toc28829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4</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_Toc10097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2.1学生素质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_Toc10097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_Toc28348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2.2在校体验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_Toc28348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_Toc30769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2.3资助情况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_Toc30769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_Toc5572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2.4就业质量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_Toc5572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_Toc18281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2.5职业发展</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_Toc18281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_Toc10957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3.质量保障措施</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_Toc10957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7</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_Toc4440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3.1专业动态调整</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_Toc4440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_Toc32384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3.2教育教学改革</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_Toc32384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_Toc7135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3.3教师培养培训</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_Toc7135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_Toc32682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3.4规范管理情况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_Toc32682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_Toc8512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3.5德育工作情况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_Toc8512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_Toc5002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3.6党建情况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_Toc5002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_Toc15800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4.校企合作</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_Toc15800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18</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_Toc27001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4.1校企合作开展情况和效</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_Toc27001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_Toc7944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4.2学生实习情况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_Toc7944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_Toc27862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4.3集团化办学情况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_Toc27862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_Toc11563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5.社会贡献</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_Toc11563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20</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_Toc20322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5.1技术技能人才培养</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_Toc20322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_Toc24006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5.2社会服务</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_Toc24006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21</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_Toc14194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5.3对口支援</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_Toc14194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_Toc12312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6.举办者履责</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_Toc12312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26</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_Toc14486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6.1经费</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_Toc14486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7"/>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fldChar w:fldCharType="begin"/>
      </w:r>
      <w:r>
        <w:rPr>
          <w:rFonts w:ascii="Times New Roman" w:hAnsi="Times New Roman" w:eastAsia="黑体" w:cs="Times New Roman"/>
          <w:color w:val="000000" w:themeColor="text1"/>
          <w:sz w:val="24"/>
          <w:szCs w:val="24"/>
          <w14:textFill>
            <w14:solidFill>
              <w14:schemeClr w14:val="tx1"/>
            </w14:solidFill>
          </w14:textFill>
        </w:rPr>
        <w:instrText xml:space="preserve"> HYPERLINK \l _Toc32120 </w:instrText>
      </w:r>
      <w:r>
        <w:rPr>
          <w:rFonts w:ascii="Times New Roman" w:hAnsi="Times New Roman" w:eastAsia="黑体" w:cs="Times New Roman"/>
          <w:color w:val="000000" w:themeColor="text1"/>
          <w:sz w:val="24"/>
          <w:szCs w:val="24"/>
          <w14:textFill>
            <w14:solidFill>
              <w14:schemeClr w14:val="tx1"/>
            </w14:solidFill>
          </w14:textFill>
        </w:rPr>
        <w:fldChar w:fldCharType="separate"/>
      </w:r>
      <w:r>
        <w:rPr>
          <w:rFonts w:ascii="Times New Roman" w:hAnsi="Times New Roman" w:eastAsia="仿宋_GB2312" w:cs="Times New Roman"/>
          <w:bCs/>
          <w:color w:val="000000" w:themeColor="text1"/>
          <w:sz w:val="24"/>
          <w:szCs w:val="24"/>
          <w14:textFill>
            <w14:solidFill>
              <w14:schemeClr w14:val="tx1"/>
            </w14:solidFill>
          </w14:textFill>
        </w:rPr>
        <w:t>6.2政策措施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_Toc32120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ascii="Times New Roman" w:hAnsi="Times New Roman" w:eastAsia="黑体" w:cs="Times New Roman"/>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_Toc12976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7.特色创新</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_Toc12976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26</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pStyle w:val="6"/>
        <w:keepNext w:val="0"/>
        <w:keepLines w:val="0"/>
        <w:pageBreakBefore w:val="0"/>
        <w:widowControl w:val="0"/>
        <w:tabs>
          <w:tab w:val="right" w:leader="dot" w:pos="8618"/>
        </w:tabs>
        <w:kinsoku/>
        <w:wordWrap/>
        <w:overflowPunct/>
        <w:topLinePunct w:val="0"/>
        <w:autoSpaceDE/>
        <w:autoSpaceDN/>
        <w:bidi w:val="0"/>
        <w:adjustRightInd/>
        <w:snapToGrid/>
        <w:spacing w:line="360" w:lineRule="exact"/>
        <w:textAlignment w:val="auto"/>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HYPERLINK \l _Toc27292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8.主要问题和改进措施</w:t>
      </w:r>
      <w:r>
        <w:rPr>
          <w:rFonts w:ascii="Times New Roman" w:hAnsi="Times New Roman" w:eastAsia="黑体" w:cs="Times New Roman"/>
          <w:b/>
          <w:bCs/>
          <w:color w:val="000000" w:themeColor="text1"/>
          <w:sz w:val="24"/>
          <w:szCs w:val="24"/>
          <w14:textFill>
            <w14:solidFill>
              <w14:schemeClr w14:val="tx1"/>
            </w14:solidFill>
          </w14:textFill>
        </w:rPr>
        <w:tab/>
      </w:r>
      <w:r>
        <w:rPr>
          <w:rFonts w:ascii="Times New Roman" w:hAnsi="Times New Roman" w:eastAsia="黑体" w:cs="Times New Roman"/>
          <w:b/>
          <w:bCs/>
          <w:color w:val="000000" w:themeColor="text1"/>
          <w:sz w:val="24"/>
          <w:szCs w:val="24"/>
          <w14:textFill>
            <w14:solidFill>
              <w14:schemeClr w14:val="tx1"/>
            </w14:solidFill>
          </w14:textFill>
        </w:rPr>
        <w:fldChar w:fldCharType="begin"/>
      </w:r>
      <w:r>
        <w:rPr>
          <w:rFonts w:ascii="Times New Roman" w:hAnsi="Times New Roman" w:eastAsia="黑体" w:cs="Times New Roman"/>
          <w:b/>
          <w:bCs/>
          <w:color w:val="000000" w:themeColor="text1"/>
          <w:sz w:val="24"/>
          <w:szCs w:val="24"/>
          <w14:textFill>
            <w14:solidFill>
              <w14:schemeClr w14:val="tx1"/>
            </w14:solidFill>
          </w14:textFill>
        </w:rPr>
        <w:instrText xml:space="preserve"> PAGEREF _Toc27292 </w:instrText>
      </w:r>
      <w:r>
        <w:rPr>
          <w:rFonts w:ascii="Times New Roman" w:hAnsi="Times New Roman" w:eastAsia="黑体" w:cs="Times New Roman"/>
          <w:b/>
          <w:bCs/>
          <w:color w:val="000000" w:themeColor="text1"/>
          <w:sz w:val="24"/>
          <w:szCs w:val="24"/>
          <w14:textFill>
            <w14:solidFill>
              <w14:schemeClr w14:val="tx1"/>
            </w14:solidFill>
          </w14:textFill>
        </w:rPr>
        <w:fldChar w:fldCharType="separate"/>
      </w:r>
      <w:r>
        <w:rPr>
          <w:rFonts w:ascii="Times New Roman" w:hAnsi="Times New Roman" w:eastAsia="黑体" w:cs="Times New Roman"/>
          <w:b/>
          <w:bCs/>
          <w:color w:val="000000" w:themeColor="text1"/>
          <w:sz w:val="24"/>
          <w:szCs w:val="24"/>
          <w14:textFill>
            <w14:solidFill>
              <w14:schemeClr w14:val="tx1"/>
            </w14:solidFill>
          </w14:textFill>
        </w:rPr>
        <w:t>29</w:t>
      </w:r>
      <w:r>
        <w:rPr>
          <w:rFonts w:ascii="Times New Roman" w:hAnsi="Times New Roman" w:eastAsia="黑体" w:cs="Times New Roman"/>
          <w:b/>
          <w:bCs/>
          <w:color w:val="000000" w:themeColor="text1"/>
          <w:sz w:val="24"/>
          <w:szCs w:val="24"/>
          <w14:textFill>
            <w14:solidFill>
              <w14:schemeClr w14:val="tx1"/>
            </w14:solidFill>
          </w14:textFill>
        </w:rPr>
        <w:fldChar w:fldCharType="end"/>
      </w:r>
      <w:r>
        <w:rPr>
          <w:rFonts w:ascii="Times New Roman" w:hAnsi="Times New Roman" w:eastAsia="黑体" w:cs="Times New Roman"/>
          <w:b/>
          <w:bCs/>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80" w:lineRule="exact"/>
        <w:textAlignment w:val="auto"/>
        <w:outlineLvl w:val="0"/>
        <w:rPr>
          <w:rFonts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sectPr>
          <w:pgSz w:w="11906" w:h="16838"/>
          <w:pgMar w:top="1644" w:right="1644" w:bottom="1644" w:left="164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11" w:name="_Toc9558"/>
      <w:bookmarkStart w:id="12" w:name="_Toc3418"/>
      <w:bookmarkStart w:id="13" w:name="_Toc27008"/>
      <w:bookmarkStart w:id="14" w:name="_Toc6090"/>
      <w:bookmarkStart w:id="15" w:name="_Toc24148"/>
      <w:bookmarkStart w:id="16" w:name="_Toc6920"/>
      <w:bookmarkStart w:id="17" w:name="_Toc16673"/>
      <w:bookmarkStart w:id="18" w:name="_Toc22664"/>
      <w:bookmarkStart w:id="19" w:name="_Toc644"/>
      <w:bookmarkStart w:id="20" w:name="_Toc7001"/>
      <w:bookmarkStart w:id="21" w:name="_Toc29366"/>
      <w:r>
        <w:rPr>
          <w:rFonts w:ascii="Times New Roman" w:hAnsi="Times New Roman" w:eastAsia="黑体" w:cs="Times New Roman"/>
          <w:color w:val="000000" w:themeColor="text1"/>
          <w:sz w:val="32"/>
          <w:szCs w:val="32"/>
          <w14:textFill>
            <w14:solidFill>
              <w14:schemeClr w14:val="tx1"/>
            </w14:solidFill>
          </w14:textFill>
        </w:rPr>
        <w:t>1.</w:t>
      </w:r>
      <w:r>
        <w:rPr>
          <w:rFonts w:hint="eastAsia" w:ascii="Times New Roman" w:hAnsi="Times New Roman" w:eastAsia="黑体" w:cs="Times New Roman"/>
          <w:color w:val="000000" w:themeColor="text1"/>
          <w:sz w:val="32"/>
          <w:szCs w:val="32"/>
          <w:lang w:eastAsia="zh-CN"/>
          <w14:textFill>
            <w14:solidFill>
              <w14:schemeClr w14:val="tx1"/>
            </w14:solidFill>
          </w14:textFill>
        </w:rPr>
        <w:t>学院</w:t>
      </w:r>
      <w:r>
        <w:rPr>
          <w:rFonts w:ascii="Times New Roman" w:hAnsi="Times New Roman" w:eastAsia="黑体" w:cs="Times New Roman"/>
          <w:color w:val="000000" w:themeColor="text1"/>
          <w:sz w:val="32"/>
          <w:szCs w:val="32"/>
          <w14:textFill>
            <w14:solidFill>
              <w14:schemeClr w14:val="tx1"/>
            </w14:solidFill>
          </w14:textFill>
        </w:rPr>
        <w:t>情况</w:t>
      </w:r>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22" w:name="_Toc742"/>
      <w:bookmarkStart w:id="23" w:name="_Toc24643"/>
      <w:bookmarkStart w:id="24" w:name="_Toc28379"/>
      <w:bookmarkStart w:id="25" w:name="_Toc20269"/>
      <w:bookmarkStart w:id="26" w:name="_Toc22551"/>
      <w:r>
        <w:rPr>
          <w:rFonts w:ascii="Times New Roman" w:hAnsi="Times New Roman" w:eastAsia="仿宋_GB2312" w:cs="Times New Roman"/>
          <w:b/>
          <w:bCs/>
          <w:color w:val="000000" w:themeColor="text1"/>
          <w:sz w:val="32"/>
          <w:szCs w:val="32"/>
          <w14:textFill>
            <w14:solidFill>
              <w14:schemeClr w14:val="tx1"/>
            </w14:solidFill>
          </w14:textFill>
        </w:rPr>
        <w:t>1.1</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学院</w:t>
      </w:r>
      <w:r>
        <w:rPr>
          <w:rFonts w:ascii="Times New Roman" w:hAnsi="Times New Roman" w:eastAsia="仿宋_GB2312" w:cs="Times New Roman"/>
          <w:b/>
          <w:bCs/>
          <w:color w:val="000000" w:themeColor="text1"/>
          <w:sz w:val="32"/>
          <w:szCs w:val="32"/>
          <w14:textFill>
            <w14:solidFill>
              <w14:schemeClr w14:val="tx1"/>
            </w14:solidFill>
          </w14:textFill>
        </w:rPr>
        <w:t>概况</w:t>
      </w:r>
      <w:bookmarkEnd w:id="22"/>
      <w:bookmarkEnd w:id="23"/>
      <w:bookmarkEnd w:id="24"/>
      <w:bookmarkEnd w:id="25"/>
      <w:bookmarkEnd w:id="2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学院创建于</w:t>
      </w:r>
      <w:r>
        <w:rPr>
          <w:rFonts w:hint="default" w:ascii="Times New Roman" w:hAnsi="Times New Roman" w:eastAsia="仿宋_GB2312" w:cs="Times New Roman"/>
          <w:color w:val="000000" w:themeColor="text1"/>
          <w:sz w:val="32"/>
          <w:szCs w:val="32"/>
          <w14:textFill>
            <w14:solidFill>
              <w14:schemeClr w14:val="tx1"/>
            </w14:solidFill>
          </w14:textFill>
        </w:rPr>
        <w:t>1974</w:t>
      </w:r>
      <w:r>
        <w:rPr>
          <w:rFonts w:hint="eastAsia" w:ascii="Times New Roman" w:hAnsi="Times New Roman" w:eastAsia="仿宋_GB2312" w:cs="Times New Roman"/>
          <w:color w:val="000000" w:themeColor="text1"/>
          <w:sz w:val="32"/>
          <w:szCs w:val="32"/>
          <w14:textFill>
            <w14:solidFill>
              <w14:schemeClr w14:val="tx1"/>
            </w14:solidFill>
          </w14:textFill>
        </w:rPr>
        <w:t>年，隶属于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浙江</w:t>
      </w:r>
      <w:r>
        <w:rPr>
          <w:rFonts w:hint="eastAsia" w:ascii="Times New Roman" w:hAnsi="Times New Roman" w:eastAsia="仿宋_GB2312" w:cs="Times New Roman"/>
          <w:color w:val="000000" w:themeColor="text1"/>
          <w:sz w:val="32"/>
          <w:szCs w:val="32"/>
          <w14:textFill>
            <w14:solidFill>
              <w14:schemeClr w14:val="tx1"/>
            </w14:solidFill>
          </w14:textFill>
        </w:rPr>
        <w:t>省交通运输厅，是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浙江</w:t>
      </w:r>
      <w:r>
        <w:rPr>
          <w:rFonts w:hint="eastAsia" w:ascii="Times New Roman" w:hAnsi="Times New Roman" w:eastAsia="仿宋_GB2312"/>
          <w:sz w:val="32"/>
          <w:szCs w:val="32"/>
          <w:lang w:val="en-US" w:eastAsia="zh-CN"/>
        </w:rPr>
        <w:t>省首批挂牌的技师学院，也是</w:t>
      </w:r>
      <w:r>
        <w:rPr>
          <w:rFonts w:hint="eastAsia" w:ascii="仿宋_GB2312" w:hAnsi="仿宋_GB2312" w:eastAsia="仿宋_GB2312" w:cs="仿宋_GB2312"/>
          <w:sz w:val="32"/>
          <w:szCs w:val="32"/>
        </w:rPr>
        <w:t>国家级重点技工学校、全国交通职业教育示范校、</w:t>
      </w: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国家中职教育改革发展示范校、国家级高技能人才培训基地、</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首批</w:t>
      </w:r>
      <w:r>
        <w:rPr>
          <w:rFonts w:hint="eastAsia" w:ascii="仿宋_GB2312" w:hAnsi="仿宋_GB2312" w:eastAsia="仿宋_GB2312" w:cs="仿宋_GB2312"/>
          <w:sz w:val="32"/>
          <w:szCs w:val="32"/>
        </w:rPr>
        <w:t>中职名校</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000000" w:themeColor="text1"/>
          <w:sz w:val="32"/>
          <w:szCs w:val="32"/>
          <w14:textFill>
            <w14:solidFill>
              <w14:schemeClr w14:val="tx1"/>
            </w14:solidFill>
          </w14:textFill>
        </w:rPr>
        <w:t>学院前身为浙江汽车驾驶技工学校金华分校；1987年省汽车运输管理体制实行重大改革，学院划归浙江省交通厅直接管理；1989年更名为浙江汽车技工学校；1999年改建为浙江交通高级技工学校；2004年更名为浙江交通技师学院。校园面积631亩，建筑面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14.5</w:t>
      </w:r>
      <w:r>
        <w:rPr>
          <w:rFonts w:hint="eastAsia" w:ascii="Times New Roman" w:hAnsi="Times New Roman" w:eastAsia="仿宋_GB2312" w:cs="Times New Roman"/>
          <w:color w:val="000000" w:themeColor="text1"/>
          <w:sz w:val="32"/>
          <w:szCs w:val="32"/>
          <w14:textFill>
            <w14:solidFill>
              <w14:schemeClr w14:val="tx1"/>
            </w14:solidFill>
          </w14:textFill>
        </w:rPr>
        <w:t>万平方米，其</w:t>
      </w:r>
      <w:bookmarkStart w:id="215" w:name="_GoBack"/>
      <w:bookmarkEnd w:id="215"/>
      <w:r>
        <w:rPr>
          <w:rFonts w:hint="eastAsia" w:ascii="Times New Roman" w:hAnsi="Times New Roman" w:eastAsia="仿宋_GB2312" w:cs="Times New Roman"/>
          <w:color w:val="000000" w:themeColor="text1"/>
          <w:sz w:val="32"/>
          <w:szCs w:val="32"/>
          <w14:textFill>
            <w14:solidFill>
              <w14:schemeClr w14:val="tx1"/>
            </w14:solidFill>
          </w14:textFill>
        </w:rPr>
        <w:t>中实训场地5.67万平方米，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总资产约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5.69亿元</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27" w:name="_Toc18738"/>
      <w:bookmarkStart w:id="28" w:name="_Toc29270"/>
      <w:bookmarkStart w:id="29" w:name="_Toc25226"/>
      <w:bookmarkStart w:id="30" w:name="_Toc9138"/>
      <w:bookmarkStart w:id="31" w:name="_Toc22066"/>
      <w:r>
        <w:rPr>
          <w:rFonts w:ascii="Times New Roman" w:hAnsi="Times New Roman" w:eastAsia="仿宋_GB2312" w:cs="Times New Roman"/>
          <w:b/>
          <w:bCs/>
          <w:color w:val="000000" w:themeColor="text1"/>
          <w:sz w:val="32"/>
          <w:szCs w:val="32"/>
          <w14:textFill>
            <w14:solidFill>
              <w14:schemeClr w14:val="tx1"/>
            </w14:solidFill>
          </w14:textFill>
        </w:rPr>
        <w:t>1.2 学生情况</w:t>
      </w:r>
      <w:bookmarkEnd w:id="27"/>
      <w:bookmarkEnd w:id="28"/>
      <w:bookmarkEnd w:id="29"/>
      <w:bookmarkEnd w:id="30"/>
      <w:bookmarkEnd w:id="31"/>
      <w:bookmarkStart w:id="32" w:name="OLE_LINK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eastAsia" w:ascii="仿宋_GB2312" w:hAnsi="Calibri" w:eastAsia="仿宋_GB2312"/>
          <w:color w:val="000000" w:themeColor="text1"/>
          <w:sz w:val="32"/>
          <w:szCs w:val="32"/>
          <w:lang w:val="en-US" w:eastAsia="zh-CN"/>
          <w14:textFill>
            <w14:solidFill>
              <w14:schemeClr w14:val="tx1"/>
            </w14:solidFill>
          </w14:textFill>
        </w:rPr>
        <w:t>年，学院</w:t>
      </w:r>
      <w:r>
        <w:rPr>
          <w:rFonts w:hint="eastAsia" w:ascii="仿宋_GB2312" w:hAnsi="Calibri" w:eastAsia="仿宋_GB2312"/>
          <w:color w:val="000000" w:themeColor="text1"/>
          <w:sz w:val="32"/>
          <w:szCs w:val="32"/>
          <w:lang w:eastAsia="zh-CN"/>
          <w14:textFill>
            <w14:solidFill>
              <w14:schemeClr w14:val="tx1"/>
            </w14:solidFill>
          </w14:textFill>
        </w:rPr>
        <w:t>计划招收全日制学生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Calibri" w:eastAsia="仿宋_GB2312"/>
          <w:color w:val="000000" w:themeColor="text1"/>
          <w:sz w:val="32"/>
          <w:szCs w:val="32"/>
          <w:lang w:eastAsia="zh-CN"/>
          <w14:textFill>
            <w14:solidFill>
              <w14:schemeClr w14:val="tx1"/>
            </w14:solidFill>
          </w14:textFill>
        </w:rPr>
        <w:t>人，</w:t>
      </w:r>
      <w:bookmarkEnd w:id="32"/>
      <w:r>
        <w:rPr>
          <w:rFonts w:hint="eastAsia" w:ascii="Times New Roman" w:hAnsi="Times New Roman" w:eastAsia="仿宋_GB2312" w:cs="Times New Roman"/>
          <w:color w:val="000000" w:themeColor="text1"/>
          <w:sz w:val="32"/>
          <w:szCs w:val="32"/>
          <w:lang w:eastAsia="zh-CN"/>
          <w14:textFill>
            <w14:solidFill>
              <w14:schemeClr w14:val="tx1"/>
            </w14:solidFill>
          </w14:textFill>
        </w:rPr>
        <w:t>实际录取新生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2858人，其中校本部2178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人、教学点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680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新生中</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入校</w:t>
      </w:r>
      <w:r>
        <w:rPr>
          <w:rFonts w:hint="eastAsia" w:ascii="Times New Roman" w:hAnsi="Times New Roman" w:eastAsia="仿宋_GB2312" w:cs="仿宋_GB2312"/>
          <w:color w:val="000000" w:themeColor="text1"/>
          <w:sz w:val="32"/>
          <w:szCs w:val="32"/>
          <w14:textFill>
            <w14:solidFill>
              <w14:schemeClr w14:val="tx1"/>
            </w14:solidFill>
          </w14:textFill>
        </w:rPr>
        <w:t>成绩在普高线及以上的</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84</w:t>
      </w:r>
      <w:r>
        <w:rPr>
          <w:rFonts w:hint="eastAsia" w:ascii="Times New Roman" w:hAnsi="Times New Roman" w:eastAsia="仿宋_GB2312" w:cs="仿宋_GB2312"/>
          <w:color w:val="000000" w:themeColor="text1"/>
          <w:sz w:val="32"/>
          <w:szCs w:val="32"/>
          <w14:textFill>
            <w14:solidFill>
              <w14:schemeClr w14:val="tx1"/>
            </w14:solidFill>
          </w14:textFill>
        </w:rPr>
        <w:t>人，同比增长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178.79%</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成绩在</w:t>
      </w:r>
      <w:r>
        <w:rPr>
          <w:rFonts w:hint="eastAsia" w:ascii="Times New Roman" w:hAnsi="Times New Roman" w:eastAsia="仿宋_GB2312" w:cs="仿宋_GB2312"/>
          <w:color w:val="000000" w:themeColor="text1"/>
          <w:sz w:val="32"/>
          <w:szCs w:val="32"/>
          <w14:textFill>
            <w14:solidFill>
              <w14:schemeClr w14:val="tx1"/>
            </w14:solidFill>
          </w14:textFill>
        </w:rPr>
        <w:t>高考三段线及以上</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26</w:t>
      </w:r>
      <w:r>
        <w:rPr>
          <w:rFonts w:hint="eastAsia" w:ascii="Times New Roman" w:hAnsi="Times New Roman" w:eastAsia="仿宋_GB2312" w:cs="仿宋_GB2312"/>
          <w:color w:val="000000" w:themeColor="text1"/>
          <w:sz w:val="32"/>
          <w:szCs w:val="32"/>
          <w14:textFill>
            <w14:solidFill>
              <w14:schemeClr w14:val="tx1"/>
            </w14:solidFill>
          </w14:textFill>
        </w:rPr>
        <w:t>人，同比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下降53.57%</w:t>
      </w:r>
      <w:r>
        <w:rPr>
          <w:rFonts w:hint="eastAsia" w:ascii="Times New Roman" w:hAnsi="Times New Roman" w:eastAsia="仿宋_GB2312" w:cs="仿宋_GB2312"/>
          <w:color w:val="000000" w:themeColor="text1"/>
          <w:sz w:val="32"/>
          <w:szCs w:val="32"/>
          <w14:textFill>
            <w14:solidFill>
              <w14:schemeClr w14:val="tx1"/>
            </w14:solidFill>
          </w14:textFill>
        </w:rPr>
        <w:t>。</w:t>
      </w:r>
    </w:p>
    <w:p>
      <w:pPr>
        <w:widowControl/>
        <w:spacing w:line="620" w:lineRule="exact"/>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649605</wp:posOffset>
            </wp:positionH>
            <wp:positionV relativeFrom="paragraph">
              <wp:posOffset>59055</wp:posOffset>
            </wp:positionV>
            <wp:extent cx="4096385" cy="2047875"/>
            <wp:effectExtent l="4445" t="5080" r="13970" b="444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620" w:lineRule="exact"/>
        <w:jc w:val="center"/>
        <w:rPr>
          <w:color w:val="000000" w:themeColor="text1"/>
          <w14:textFill>
            <w14:solidFill>
              <w14:schemeClr w14:val="tx1"/>
            </w14:solidFill>
          </w14:textFill>
        </w:rPr>
      </w:pPr>
    </w:p>
    <w:p>
      <w:pPr>
        <w:widowControl/>
        <w:spacing w:line="620" w:lineRule="exact"/>
        <w:jc w:val="center"/>
        <w:rPr>
          <w:color w:val="000000" w:themeColor="text1"/>
          <w14:textFill>
            <w14:solidFill>
              <w14:schemeClr w14:val="tx1"/>
            </w14:solidFill>
          </w14:textFill>
        </w:rPr>
      </w:pPr>
    </w:p>
    <w:p>
      <w:pPr>
        <w:widowControl/>
        <w:spacing w:line="620" w:lineRule="exact"/>
        <w:jc w:val="center"/>
        <w:rPr>
          <w:color w:val="000000" w:themeColor="text1"/>
          <w14:textFill>
            <w14:solidFill>
              <w14:schemeClr w14:val="tx1"/>
            </w14:solidFill>
          </w14:textFill>
        </w:rPr>
      </w:pPr>
    </w:p>
    <w:p>
      <w:pPr>
        <w:widowControl/>
        <w:spacing w:line="620" w:lineRule="exact"/>
        <w:jc w:val="center"/>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图1 学院2020级新生学制类型构成情况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483235</wp:posOffset>
            </wp:positionH>
            <wp:positionV relativeFrom="paragraph">
              <wp:posOffset>93980</wp:posOffset>
            </wp:positionV>
            <wp:extent cx="4362450" cy="2144395"/>
            <wp:effectExtent l="4445" t="4445" r="14605" b="2286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图2 学院2020级新生所属系部构成情况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至年底，学院全日制在校学生9044人，较2019年增长13.55%。其中，校本部5856人、教学点1614人、在外实习1574人；男生6936人、女生2108人；中职生5813人、高职生3231人；交通类专业5799人、机电类专业873人、经贸类专业2251人、其他专业121人。学生巩固率95.83%，同比基本持平。毕业学生1298人、同比减少1.07%；其中，技师176人、同比下降3.3%，高级工911人，同比增长1.79%。</w:t>
      </w:r>
    </w:p>
    <w:p>
      <w:pPr>
        <w:keepNext w:val="0"/>
        <w:keepLines w:val="0"/>
        <w:pageBreakBefore w:val="0"/>
        <w:widowControl w:val="0"/>
        <w:kinsoku w:val="0"/>
        <w:wordWrap/>
        <w:overflowPunct/>
        <w:topLinePunct w:val="0"/>
        <w:autoSpaceDE/>
        <w:autoSpaceDN/>
        <w:bidi w:val="0"/>
        <w:adjustRightInd/>
        <w:snapToGrid/>
        <w:spacing w:line="60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33" w:name="_Toc1555"/>
      <w:bookmarkStart w:id="34" w:name="_Toc12945"/>
      <w:bookmarkStart w:id="35" w:name="_Toc9081"/>
      <w:bookmarkStart w:id="36" w:name="_Toc31446"/>
      <w:bookmarkStart w:id="37" w:name="_Toc28682"/>
      <w:r>
        <w:rPr>
          <w:rFonts w:ascii="Times New Roman" w:hAnsi="Times New Roman" w:eastAsia="仿宋_GB2312" w:cs="Times New Roman"/>
          <w:b/>
          <w:bCs/>
          <w:color w:val="000000" w:themeColor="text1"/>
          <w:sz w:val="32"/>
          <w:szCs w:val="32"/>
          <w14:textFill>
            <w14:solidFill>
              <w14:schemeClr w14:val="tx1"/>
            </w14:solidFill>
          </w14:textFill>
        </w:rPr>
        <w:t>1.3教师队伍</w:t>
      </w:r>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38" w:name="OLE_LINK1"/>
      <w:bookmarkStart w:id="39" w:name="_Toc16877"/>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院内设部门17个，在职教职工463人，师生比为1:17.3。2020年，学院新增浙江省交通技术能手3人、金华市首席技师1人、金华市技能之星3人。截至年底，学院共有享受国务院政府特殊津贴1人、全国交通中等职业教育专业带头人2人、全国交通技术能手7人、浙江省技术能手8人、浙江省十佳能工巧匠1人、浙江省百行百星1人、浙江省交通系统“283”拔尖人才1人、交通运输职业教育教学名师1人、浙江省技工院校省级专业带头人5人、浙江省技工院校教研之星6人、浙江省中职名师1人、浙江省交通运输系统教学名师1人、金华市职业教育名师4人、金华市教坛新秀1人、金华市首席技师3人、金华市技能之星6人。</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表1 专任教师基本情况统计表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58"/>
        <w:gridCol w:w="727"/>
        <w:gridCol w:w="720"/>
        <w:gridCol w:w="900"/>
        <w:gridCol w:w="1066"/>
        <w:gridCol w:w="1140"/>
        <w:gridCol w:w="705"/>
        <w:gridCol w:w="7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9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专任教师</w:t>
            </w:r>
          </w:p>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（人）</w:t>
            </w:r>
          </w:p>
        </w:tc>
        <w:tc>
          <w:tcPr>
            <w:tcW w:w="3105" w:type="dxa"/>
            <w:gridSpan w:val="4"/>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专任教师职称</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情况</w:t>
            </w:r>
          </w:p>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（人）</w:t>
            </w:r>
          </w:p>
        </w:tc>
        <w:tc>
          <w:tcPr>
            <w:tcW w:w="10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高级职称教师占专任教师比例</w:t>
            </w:r>
          </w:p>
        </w:tc>
        <w:tc>
          <w:tcPr>
            <w:tcW w:w="114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双师型教师占专任教师比例</w:t>
            </w:r>
          </w:p>
        </w:tc>
        <w:tc>
          <w:tcPr>
            <w:tcW w:w="1485"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专任教师文化程度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情况</w:t>
            </w:r>
          </w:p>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（人）</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专任教师占教职工总数比例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300</w:t>
            </w:r>
          </w:p>
        </w:tc>
        <w:tc>
          <w:tcPr>
            <w:tcW w:w="75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高级</w:t>
            </w:r>
          </w:p>
        </w:tc>
        <w:tc>
          <w:tcPr>
            <w:tcW w:w="727"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中级</w:t>
            </w:r>
          </w:p>
        </w:tc>
        <w:tc>
          <w:tcPr>
            <w:tcW w:w="72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初级</w:t>
            </w:r>
          </w:p>
        </w:tc>
        <w:tc>
          <w:tcPr>
            <w:tcW w:w="90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双师型</w:t>
            </w:r>
          </w:p>
        </w:tc>
        <w:tc>
          <w:tcPr>
            <w:tcW w:w="10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33.7%</w:t>
            </w:r>
          </w:p>
        </w:tc>
        <w:tc>
          <w:tcPr>
            <w:tcW w:w="1140"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48.7%</w:t>
            </w:r>
          </w:p>
        </w:tc>
        <w:tc>
          <w:tcPr>
            <w:tcW w:w="70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硕士</w:t>
            </w:r>
          </w:p>
        </w:tc>
        <w:tc>
          <w:tcPr>
            <w:tcW w:w="78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本科</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6" w:type="dxa"/>
            <w:vMerge w:val="continue"/>
            <w:noWrap w:val="0"/>
            <w:vAlign w:val="top"/>
          </w:tcPr>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w:t>
            </w:r>
          </w:p>
        </w:tc>
        <w:tc>
          <w:tcPr>
            <w:tcW w:w="727"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106</w:t>
            </w:r>
          </w:p>
        </w:tc>
        <w:tc>
          <w:tcPr>
            <w:tcW w:w="72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54</w:t>
            </w:r>
          </w:p>
        </w:tc>
        <w:tc>
          <w:tcPr>
            <w:tcW w:w="90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146</w:t>
            </w:r>
          </w:p>
        </w:tc>
        <w:tc>
          <w:tcPr>
            <w:tcW w:w="10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40"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0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p>
        </w:tc>
        <w:tc>
          <w:tcPr>
            <w:tcW w:w="78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266</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任教师300人，其中“双师型”教师146人、本科以上学历291人、硕士以上学历25人、高级以上职称101人，分别占专任教师总数的48.7%、97%、8.3%和33.7%，本科以上学历教师数量有一定提升，其他与2019年持平。兼职教师40人，同比基本持平。</w:t>
      </w:r>
    </w:p>
    <w:bookmarkEnd w:id="38"/>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1.4设施设备</w:t>
      </w:r>
      <w:bookmarkEnd w:id="39"/>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院现有国家级高技能人才培训基地、国家高技能人才培养示范基地、浙江省高技能人才培训基地（机电项目）、汽车运用与维修专业领域技能型紧缺人才培养基地、浙江省高技能人才公共实训基地等8个省级以上实训基地，各类实训仪器设备6397台套，总值1.1亿元，校本部全日制在校生人均教学仪器设备1.88万元，生均仪器设备总值较2019年略有降低。校内实训工位3107个，实训课开出率100%；校外实习实训基地218个，合作企业提供实习岗位3000多个。纸质藏书10.37万册，生均纸质藏书17.7册，较2019年略有降低。</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40" w:name="_Toc27507"/>
      <w:bookmarkStart w:id="41" w:name="_Toc29439"/>
      <w:bookmarkStart w:id="42" w:name="_Toc9228"/>
      <w:bookmarkStart w:id="43" w:name="_Toc8665"/>
      <w:bookmarkStart w:id="44" w:name="_Toc281"/>
      <w:bookmarkStart w:id="45" w:name="_Toc22620"/>
      <w:bookmarkStart w:id="46" w:name="_Toc15125"/>
      <w:bookmarkStart w:id="47" w:name="_Toc1441"/>
      <w:bookmarkStart w:id="48" w:name="_Toc16557"/>
      <w:bookmarkStart w:id="49" w:name="_Toc21774"/>
      <w:bookmarkStart w:id="50" w:name="_Toc28829"/>
      <w:r>
        <w:rPr>
          <w:rFonts w:ascii="Times New Roman" w:hAnsi="Times New Roman" w:eastAsia="黑体" w:cs="Times New Roman"/>
          <w:color w:val="000000" w:themeColor="text1"/>
          <w:sz w:val="32"/>
          <w:szCs w:val="32"/>
          <w14:textFill>
            <w14:solidFill>
              <w14:schemeClr w14:val="tx1"/>
            </w14:solidFill>
          </w14:textFill>
        </w:rPr>
        <w:t>2.学生发展</w:t>
      </w:r>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51" w:name="_Toc20343"/>
      <w:bookmarkStart w:id="52" w:name="_Toc29380"/>
      <w:bookmarkStart w:id="53" w:name="_Toc22867"/>
      <w:bookmarkStart w:id="54" w:name="_Toc1945"/>
      <w:bookmarkStart w:id="55" w:name="_Toc10097"/>
      <w:r>
        <w:rPr>
          <w:rFonts w:ascii="Times New Roman" w:hAnsi="Times New Roman" w:eastAsia="仿宋_GB2312" w:cs="Times New Roman"/>
          <w:b/>
          <w:bCs/>
          <w:color w:val="000000" w:themeColor="text1"/>
          <w:sz w:val="32"/>
          <w:szCs w:val="32"/>
          <w14:textFill>
            <w14:solidFill>
              <w14:schemeClr w14:val="tx1"/>
            </w14:solidFill>
          </w14:textFill>
        </w:rPr>
        <w:t>2.1学生素质</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实施青年马克思主义者培养工程，通过业余党校和团校培训、专题讲座、道德讲堂、基地学习等形式，开展党团知识教育，积极培育和践行社会主义核心价值观。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思政课程模块化、项目化教学，将爱国主义教育、生命教育等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5个</w:t>
      </w:r>
      <w:r>
        <w:rPr>
          <w:rFonts w:hint="eastAsia" w:ascii="仿宋_GB2312" w:hAnsi="仿宋_GB2312" w:eastAsia="仿宋_GB2312" w:cs="仿宋_GB2312"/>
          <w:color w:val="000000" w:themeColor="text1"/>
          <w:sz w:val="32"/>
          <w:szCs w:val="32"/>
          <w14:textFill>
            <w14:solidFill>
              <w14:schemeClr w14:val="tx1"/>
            </w14:solidFill>
          </w14:textFill>
        </w:rPr>
        <w:t>模块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纳入思政教学，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积极推动</w:t>
      </w:r>
      <w:r>
        <w:rPr>
          <w:rFonts w:hint="eastAsia" w:ascii="仿宋_GB2312" w:hAnsi="仿宋_GB2312" w:eastAsia="仿宋_GB2312" w:cs="仿宋_GB2312"/>
          <w:color w:val="000000" w:themeColor="text1"/>
          <w:sz w:val="32"/>
          <w:szCs w:val="32"/>
          <w14:textFill>
            <w14:solidFill>
              <w14:schemeClr w14:val="tx1"/>
            </w14:solidFill>
          </w14:textFill>
        </w:rPr>
        <w:t>“思政课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程”向“课程思政”转变。实施分层德育，深化环境育人、管理育人、课程育人、活动育人，促进学生全面发展，学生适应终身发展和社会发展需要的必备品格和关键能力不断增强。学生文化课合格率98.92%，技能鉴定合格率97.4%，同比分别提高0.36%、6.23%。全日制学生技师合格率97.37%、高级工合格率98.12%，较2019年分别提高24.04%、6.46%。学生体质测评合格率为91.19%、优秀率为22.63%，与2019年基本持平。学生毕业率96.15%，较2019年略有下降。</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56" w:name="_Toc26420"/>
      <w:bookmarkStart w:id="57" w:name="_Toc17830"/>
      <w:bookmarkStart w:id="58" w:name="_Toc20766"/>
      <w:bookmarkStart w:id="59" w:name="_Toc28348"/>
      <w:bookmarkStart w:id="60" w:name="_Toc13121"/>
      <w:r>
        <w:rPr>
          <w:rFonts w:ascii="Times New Roman" w:hAnsi="Times New Roman" w:eastAsia="仿宋_GB2312" w:cs="Times New Roman"/>
          <w:b/>
          <w:bCs/>
          <w:color w:val="000000" w:themeColor="text1"/>
          <w:sz w:val="32"/>
          <w:szCs w:val="32"/>
          <w14:textFill>
            <w14:solidFill>
              <w14:schemeClr w14:val="tx1"/>
            </w14:solidFill>
          </w14:textFill>
        </w:rPr>
        <w:t>2.2在校体验</w:t>
      </w:r>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学生座谈、抽样问卷等方式，开展学生在校体验满意度调查，不断改进内部管理和学生服务。学生理论学习满意度94.49%、专业学习满意度94.19%、实习实训满意度94.05%、校园文化与社团活动满意度94.01%、生活满意度94.12%、校园安全满意度93.51%，毕业生对学院的满意度稳定在99%以上，各项指标与2019年基本持平。</w:t>
      </w:r>
    </w:p>
    <w:p>
      <w:pPr>
        <w:keepNext w:val="0"/>
        <w:keepLines w:val="0"/>
        <w:pageBreakBefore w:val="0"/>
        <w:widowControl w:val="0"/>
        <w:kinsoku/>
        <w:wordWrap/>
        <w:overflowPunct/>
        <w:topLinePunct w:val="0"/>
        <w:autoSpaceDE/>
        <w:autoSpaceDN/>
        <w:bidi w:val="0"/>
        <w:adjustRightInd/>
        <w:snapToGrid/>
        <w:spacing w:line="620" w:lineRule="exact"/>
        <w:ind w:firstLine="601"/>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drawing>
          <wp:anchor distT="0" distB="0" distL="114300" distR="114300" simplePos="0" relativeHeight="251663360" behindDoc="1" locked="0" layoutInCell="1" allowOverlap="1">
            <wp:simplePos x="0" y="0"/>
            <wp:positionH relativeFrom="column">
              <wp:posOffset>-508635</wp:posOffset>
            </wp:positionH>
            <wp:positionV relativeFrom="paragraph">
              <wp:posOffset>23495</wp:posOffset>
            </wp:positionV>
            <wp:extent cx="6488430" cy="2557780"/>
            <wp:effectExtent l="4445" t="4445" r="22225" b="9525"/>
            <wp:wrapTight wrapText="bothSides">
              <wp:wrapPolygon>
                <wp:start x="-15" y="-38"/>
                <wp:lineTo x="-15" y="21520"/>
                <wp:lineTo x="21547" y="21520"/>
                <wp:lineTo x="21547" y="-38"/>
                <wp:lineTo x="-15" y="-38"/>
              </wp:wrapPolygon>
            </wp:wrapTight>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图3  2018-2020年学生在校体验满意度情况</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61" w:name="_Toc4936"/>
      <w:bookmarkStart w:id="62" w:name="_Toc28939"/>
      <w:bookmarkStart w:id="63" w:name="_Toc28225"/>
      <w:bookmarkStart w:id="64" w:name="_Toc12893"/>
      <w:bookmarkStart w:id="65" w:name="_Toc30769"/>
      <w:r>
        <w:rPr>
          <w:rFonts w:ascii="Times New Roman" w:hAnsi="Times New Roman" w:eastAsia="仿宋_GB2312" w:cs="Times New Roman"/>
          <w:b/>
          <w:bCs/>
          <w:color w:val="000000" w:themeColor="text1"/>
          <w:sz w:val="32"/>
          <w:szCs w:val="32"/>
          <w14:textFill>
            <w14:solidFill>
              <w14:schemeClr w14:val="tx1"/>
            </w14:solidFill>
          </w14:textFill>
        </w:rPr>
        <w:t>2.3资助情况</w:t>
      </w:r>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业务主管部门要求，认真做好中职生免学费和助学工作。中职生免学费、发放助学金共计1615.51万元。其中，2020年春季申报免学费人数4640人、金额681.82万元，申报助学金450人、金额44.98万元，合计726.80万元；2020年秋季申报免学费人数5916人、金额862.81万元，申报助学金259人、金额25.9万元，合计888.71万元。发放校内高职困难学生助学金 33人、4.16万元。学生获中职国家奖学金9人次、金额5.4万元。相关工作职责明确、流程规范、账目清晰。</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66" w:name="_Toc20746"/>
      <w:bookmarkStart w:id="67" w:name="_Toc25576"/>
      <w:bookmarkStart w:id="68" w:name="_Toc29426"/>
      <w:bookmarkStart w:id="69" w:name="_Toc5572"/>
      <w:bookmarkStart w:id="70" w:name="_Toc16086"/>
      <w:r>
        <w:rPr>
          <w:rFonts w:ascii="Times New Roman" w:hAnsi="Times New Roman" w:eastAsia="仿宋_GB2312" w:cs="Times New Roman"/>
          <w:b/>
          <w:bCs/>
          <w:color w:val="000000" w:themeColor="text1"/>
          <w:sz w:val="32"/>
          <w:szCs w:val="32"/>
          <w14:textFill>
            <w14:solidFill>
              <w14:schemeClr w14:val="tx1"/>
            </w14:solidFill>
          </w14:textFill>
        </w:rPr>
        <w:t>2.4就业质量</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拓宽就业渠道，有效开展就业指导，疫情期间，及借助校友邦平台，首次举办学院线上实习就业推介会，吸引260余家企业参与，提供就业岗位2800多个；疫情缓和后，及时组织北京现代、上汽通用、比亚迪、城市轨道交通等多场线下专项招聘会，安排专项班200余名学生定向就业。完善就业服务体系，1298名毕业生中，1286人已就业或达成就业意向（含征兵入伍、升入高职），初次就业率99.1%，专业对口就业率92.80％，用人单位满意度达99.93%，学生初次就业平均起薪在3200元左右。升入高等院校学生84人，同比略有下降。</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71" w:name="_Toc17476"/>
      <w:bookmarkStart w:id="72" w:name="_Toc18281"/>
      <w:bookmarkStart w:id="73" w:name="_Toc12515"/>
      <w:bookmarkStart w:id="74" w:name="_Toc5926"/>
      <w:bookmarkStart w:id="75" w:name="_Toc23033"/>
      <w:r>
        <w:rPr>
          <w:rFonts w:ascii="Times New Roman" w:hAnsi="Times New Roman" w:eastAsia="仿宋_GB2312" w:cs="Times New Roman"/>
          <w:b/>
          <w:bCs/>
          <w:color w:val="000000" w:themeColor="text1"/>
          <w:sz w:val="32"/>
          <w:szCs w:val="32"/>
          <w14:textFill>
            <w14:solidFill>
              <w14:schemeClr w14:val="tx1"/>
            </w14:solidFill>
          </w14:textFill>
        </w:rPr>
        <w:t>2.5职业发展</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多种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方式提升学生的学习、岗位适应、岗位迁移等能力。</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一是深入推进</w:t>
      </w:r>
      <w:bookmarkStart w:id="76" w:name="_Toc8663"/>
      <w:r>
        <w:rPr>
          <w:rFonts w:hint="eastAsia" w:eastAsia="仿宋_GB2312"/>
          <w:b/>
          <w:bCs/>
          <w:color w:val="000000" w:themeColor="text1"/>
          <w:sz w:val="32"/>
          <w:szCs w:val="32"/>
          <w:lang w:val="en-US" w:eastAsia="zh-CN"/>
          <w14:textFill>
            <w14:solidFill>
              <w14:schemeClr w14:val="tx1"/>
            </w14:solidFill>
          </w14:textFill>
        </w:rPr>
        <w:t>课程改革。</w:t>
      </w:r>
      <w:r>
        <w:rPr>
          <w:rFonts w:hint="eastAsia" w:ascii="Times New Roman" w:hAnsi="Times New Roman" w:eastAsia="仿宋_GB2312"/>
          <w:color w:val="000000" w:themeColor="text1"/>
          <w:sz w:val="32"/>
          <w:szCs w:val="32"/>
          <w14:textFill>
            <w14:solidFill>
              <w14:schemeClr w14:val="tx1"/>
            </w14:solidFill>
          </w14:textFill>
        </w:rPr>
        <w:t>围绕培养学生职业素质和核心能力，深入推进导生制、导师制、导学案“三导育人”，着力完善选专业、选方向、选学制、选课程“四选”机制，有效实施“一体化”教学，建立了“二模二基三群”课程体系，</w:t>
      </w:r>
      <w:bookmarkEnd w:id="76"/>
      <w:r>
        <w:rPr>
          <w:rFonts w:hint="eastAsia" w:ascii="Times New Roman" w:hAnsi="Times New Roman" w:eastAsia="仿宋_GB2312"/>
          <w:color w:val="000000" w:themeColor="text1"/>
          <w:sz w:val="32"/>
          <w:szCs w:val="32"/>
          <w14:textFill>
            <w14:solidFill>
              <w14:schemeClr w14:val="tx1"/>
            </w14:solidFill>
          </w14:textFill>
        </w:rPr>
        <w:t>学生理论学习、专业学习、实习实训满意率</w:t>
      </w:r>
      <w:r>
        <w:rPr>
          <w:rFonts w:hint="eastAsia" w:ascii="Times New Roman" w:hAnsi="Times New Roman" w:eastAsia="仿宋_GB2312"/>
          <w:color w:val="000000" w:themeColor="text1"/>
          <w:sz w:val="32"/>
          <w:szCs w:val="32"/>
          <w:lang w:val="en-US" w:eastAsia="zh-CN"/>
          <w14:textFill>
            <w14:solidFill>
              <w14:schemeClr w14:val="tx1"/>
            </w14:solidFill>
          </w14:textFill>
        </w:rPr>
        <w:t>均保持在91%以上</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lang w:val="en-US" w:eastAsia="zh-CN"/>
          <w14:textFill>
            <w14:solidFill>
              <w14:schemeClr w14:val="tx1"/>
            </w14:solidFill>
          </w14:textFill>
        </w:rPr>
        <w:t>二是积极开展</w:t>
      </w:r>
      <w:bookmarkStart w:id="77" w:name="_Toc9295"/>
      <w:r>
        <w:rPr>
          <w:rFonts w:hint="eastAsia" w:eastAsia="仿宋_GB2312"/>
          <w:b/>
          <w:bCs/>
          <w:color w:val="000000" w:themeColor="text1"/>
          <w:sz w:val="32"/>
          <w:szCs w:val="32"/>
          <w14:textFill>
            <w14:solidFill>
              <w14:schemeClr w14:val="tx1"/>
            </w14:solidFill>
          </w14:textFill>
        </w:rPr>
        <w:t>学徒制试点</w:t>
      </w:r>
      <w:r>
        <w:rPr>
          <w:rFonts w:hint="eastAsia" w:eastAsia="仿宋_GB2312"/>
          <w:b/>
          <w:bCs/>
          <w:color w:val="000000" w:themeColor="text1"/>
          <w:sz w:val="32"/>
          <w:szCs w:val="32"/>
          <w:lang w:eastAsia="zh-CN"/>
          <w14:textFill>
            <w14:solidFill>
              <w14:schemeClr w14:val="tx1"/>
            </w14:solidFill>
          </w14:textFill>
        </w:rPr>
        <w:t>。</w:t>
      </w:r>
      <w:bookmarkEnd w:id="77"/>
      <w:r>
        <w:rPr>
          <w:rFonts w:hint="eastAsia" w:ascii="Times New Roman" w:hAnsi="Times New Roman" w:eastAsia="仿宋_GB2312"/>
          <w:color w:val="000000" w:themeColor="text1"/>
          <w:sz w:val="32"/>
          <w:szCs w:val="32"/>
          <w14:textFill>
            <w14:solidFill>
              <w14:schemeClr w14:val="tx1"/>
            </w14:solidFill>
          </w14:textFill>
        </w:rPr>
        <w:t>校企共同开发校本课程</w:t>
      </w:r>
      <w:r>
        <w:rPr>
          <w:rFonts w:hint="eastAsia" w:ascii="Times New Roman" w:hAnsi="Times New Roman" w:eastAsia="仿宋_GB2312"/>
          <w:color w:val="000000" w:themeColor="text1"/>
          <w:sz w:val="32"/>
          <w:szCs w:val="32"/>
          <w:lang w:val="en-US" w:eastAsia="zh-CN"/>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门，共同建设数控技能、智慧物流等实训室</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个，共同选聘优秀技术骨干、实践专家进校任教</w:t>
      </w:r>
      <w:r>
        <w:rPr>
          <w:rFonts w:hint="eastAsia" w:ascii="Times New Roman" w:hAnsi="Times New Roman" w:eastAsia="仿宋_GB2312"/>
          <w:color w:val="000000" w:themeColor="text1"/>
          <w:sz w:val="32"/>
          <w:szCs w:val="32"/>
          <w:lang w:val="en-US" w:eastAsia="zh-CN"/>
          <w14:textFill>
            <w14:solidFill>
              <w14:schemeClr w14:val="tx1"/>
            </w14:solidFill>
          </w14:textFill>
        </w:rPr>
        <w:t>25</w:t>
      </w:r>
      <w:r>
        <w:rPr>
          <w:rFonts w:hint="eastAsia" w:ascii="Times New Roman" w:hAnsi="Times New Roman" w:eastAsia="仿宋_GB2312"/>
          <w:color w:val="000000" w:themeColor="text1"/>
          <w:sz w:val="32"/>
          <w:szCs w:val="32"/>
          <w14:textFill>
            <w14:solidFill>
              <w14:schemeClr w14:val="tx1"/>
            </w14:solidFill>
          </w14:textFill>
        </w:rPr>
        <w:t>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选派优秀教师下企业生产实践</w:t>
      </w:r>
      <w:r>
        <w:rPr>
          <w:rFonts w:hint="eastAsia" w:ascii="Times New Roman" w:hAnsi="Times New Roman" w:eastAsia="仿宋_GB2312"/>
          <w:color w:val="000000" w:themeColor="text1"/>
          <w:sz w:val="32"/>
          <w:szCs w:val="32"/>
          <w:lang w:val="en-US" w:eastAsia="zh-CN"/>
          <w14:textFill>
            <w14:solidFill>
              <w14:schemeClr w14:val="tx1"/>
            </w14:solidFill>
          </w14:textFill>
        </w:rPr>
        <w:t>25</w:t>
      </w:r>
      <w:r>
        <w:rPr>
          <w:rFonts w:hint="eastAsia" w:ascii="Times New Roman" w:hAnsi="Times New Roman" w:eastAsia="仿宋_GB2312"/>
          <w:color w:val="000000" w:themeColor="text1"/>
          <w:sz w:val="32"/>
          <w:szCs w:val="32"/>
          <w14:textFill>
            <w14:solidFill>
              <w14:schemeClr w14:val="tx1"/>
            </w14:solidFill>
          </w14:textFill>
        </w:rPr>
        <w:t>人，确定学生、学徒“双重身份”人员</w:t>
      </w:r>
      <w:r>
        <w:rPr>
          <w:rFonts w:hint="eastAsia" w:ascii="Times New Roman" w:hAnsi="Times New Roman" w:eastAsia="仿宋_GB2312"/>
          <w:color w:val="000000" w:themeColor="text1"/>
          <w:sz w:val="32"/>
          <w:szCs w:val="32"/>
          <w:lang w:val="en-US" w:eastAsia="zh-CN"/>
          <w14:textFill>
            <w14:solidFill>
              <w14:schemeClr w14:val="tx1"/>
            </w14:solidFill>
          </w14:textFill>
        </w:rPr>
        <w:t>344</w:t>
      </w:r>
      <w:r>
        <w:rPr>
          <w:rFonts w:hint="eastAsia" w:ascii="Times New Roman" w:hAnsi="Times New Roman" w:eastAsia="仿宋_GB2312"/>
          <w:color w:val="000000" w:themeColor="text1"/>
          <w:sz w:val="32"/>
          <w:szCs w:val="32"/>
          <w14:textFill>
            <w14:solidFill>
              <w14:schemeClr w14:val="tx1"/>
            </w14:solidFill>
          </w14:textFill>
        </w:rPr>
        <w:t>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汽车运用与维修等4个</w:t>
      </w:r>
      <w:r>
        <w:rPr>
          <w:rFonts w:hint="eastAsia" w:ascii="Times New Roman" w:hAnsi="Times New Roman" w:eastAsia="仿宋_GB2312"/>
          <w:color w:val="000000" w:themeColor="text1"/>
          <w:sz w:val="32"/>
          <w:szCs w:val="32"/>
          <w:lang w:val="en-US" w:eastAsia="zh-CN"/>
          <w14:textFill>
            <w14:solidFill>
              <w14:schemeClr w14:val="tx1"/>
            </w14:solidFill>
          </w14:textFill>
        </w:rPr>
        <w:t>学徒制</w:t>
      </w:r>
      <w:r>
        <w:rPr>
          <w:rFonts w:hint="eastAsia" w:ascii="Times New Roman" w:hAnsi="Times New Roman" w:eastAsia="仿宋_GB2312"/>
          <w:color w:val="000000" w:themeColor="text1"/>
          <w:sz w:val="32"/>
          <w:szCs w:val="32"/>
          <w14:textFill>
            <w14:solidFill>
              <w14:schemeClr w14:val="tx1"/>
            </w14:solidFill>
          </w14:textFill>
        </w:rPr>
        <w:t>试点专业，形成学业成绩、企业实践、技能考证“三个维度”，老师、企业专家导师、学生、家长“四个主体”多元评价模式和独特教学组织形式，并向</w:t>
      </w:r>
      <w:r>
        <w:rPr>
          <w:rFonts w:hint="eastAsia" w:ascii="Times New Roman" w:hAnsi="Times New Roman" w:eastAsia="仿宋_GB2312"/>
          <w:color w:val="000000" w:themeColor="text1"/>
          <w:sz w:val="32"/>
          <w:szCs w:val="32"/>
          <w:lang w:val="en-US" w:eastAsia="zh-CN"/>
          <w14:textFill>
            <w14:solidFill>
              <w14:schemeClr w14:val="tx1"/>
            </w14:solidFill>
          </w14:textFill>
        </w:rPr>
        <w:t>其他</w:t>
      </w:r>
      <w:r>
        <w:rPr>
          <w:rFonts w:hint="eastAsia" w:ascii="Times New Roman" w:hAnsi="Times New Roman" w:eastAsia="仿宋_GB2312"/>
          <w:color w:val="000000" w:themeColor="text1"/>
          <w:sz w:val="32"/>
          <w:szCs w:val="32"/>
          <w14:textFill>
            <w14:solidFill>
              <w14:schemeClr w14:val="tx1"/>
            </w14:solidFill>
          </w14:textFill>
        </w:rPr>
        <w:t>专业推广应用。</w:t>
      </w:r>
      <w:bookmarkStart w:id="78" w:name="_Toc27540"/>
      <w:r>
        <w:rPr>
          <w:rFonts w:hint="eastAsia" w:ascii="仿宋_GB2312" w:hAnsi="黑体" w:eastAsia="仿宋_GB2312" w:cs="宋体"/>
          <w:b/>
          <w:bCs/>
          <w:color w:val="000000" w:themeColor="text1"/>
          <w:kern w:val="1"/>
          <w:sz w:val="32"/>
          <w:szCs w:val="32"/>
          <w:lang w:val="en-US" w:eastAsia="zh-CN"/>
          <w14:textFill>
            <w14:solidFill>
              <w14:schemeClr w14:val="tx1"/>
            </w14:solidFill>
          </w14:textFill>
        </w:rPr>
        <w:t>三是着力提升</w:t>
      </w:r>
      <w:r>
        <w:rPr>
          <w:rFonts w:hint="eastAsia" w:ascii="仿宋_GB2312" w:hAnsi="黑体" w:eastAsia="仿宋_GB2312" w:cs="宋体"/>
          <w:b/>
          <w:bCs/>
          <w:color w:val="000000" w:themeColor="text1"/>
          <w:kern w:val="1"/>
          <w:sz w:val="32"/>
          <w:szCs w:val="32"/>
          <w14:textFill>
            <w14:solidFill>
              <w14:schemeClr w14:val="tx1"/>
            </w14:solidFill>
          </w14:textFill>
        </w:rPr>
        <w:t>学生核心素养</w:t>
      </w:r>
      <w:r>
        <w:rPr>
          <w:rFonts w:hint="eastAsia" w:ascii="仿宋_GB2312" w:hAnsi="黑体" w:eastAsia="仿宋_GB2312" w:cs="宋体"/>
          <w:b/>
          <w:bCs/>
          <w:color w:val="000000" w:themeColor="text1"/>
          <w:kern w:val="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围绕“培养适应终身发展和社会发展需要的必备品格和关键能力”，深入推进全员、全程、全方位育人</w:t>
      </w:r>
      <w:bookmarkEnd w:id="78"/>
      <w:r>
        <w:rPr>
          <w:rFonts w:hint="eastAsia" w:ascii="Times New Roman" w:hAnsi="Times New Roman" w:eastAsia="仿宋_GB2312"/>
          <w:color w:val="000000" w:themeColor="text1"/>
          <w:sz w:val="32"/>
          <w:szCs w:val="32"/>
          <w14:textFill>
            <w14:solidFill>
              <w14:schemeClr w14:val="tx1"/>
            </w14:solidFill>
          </w14:textFill>
        </w:rPr>
        <w:t>。学生获评全国优秀共青团员1人、国家中职奖学金9人、人社部技能雏鹰奖学金1人、全国交通院校优秀学生励志奖学金1人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2020年全省首届技能人才建设成果展上，郑栅洁省长、人社部汤涛副部长对学院技能人才培养成果给予充分肯定。</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四是不断深化校企协同育人。</w:t>
      </w:r>
      <w:r>
        <w:rPr>
          <w:rFonts w:hint="eastAsia" w:ascii="Times New Roman" w:hAnsi="Times New Roman" w:eastAsia="仿宋_GB2312"/>
          <w:color w:val="000000" w:themeColor="text1"/>
          <w:sz w:val="32"/>
          <w:szCs w:val="32"/>
          <w:lang w:val="en-US" w:eastAsia="zh-CN"/>
          <w14:textFill>
            <w14:solidFill>
              <w14:schemeClr w14:val="tx1"/>
            </w14:solidFill>
          </w14:textFill>
        </w:rPr>
        <w:t>新与郑州捷安高科、金华联通、盘毂动力科技等20余家企业签订合作协议，服务企业达到300多家，订单班增至8个，校外实习实训基地增至218个。依托省轨道交通运营管理集团、大连中车、杭港地铁等轨道交通企业支持，大力开展城市轨道交通产教融合设施建设，申报的城市轨道交通产教融合工程建设项目（计划投入4840万元）被省发改委、省经信厅、省教育厅等10部门批准立项。</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79" w:name="_Toc19284"/>
      <w:bookmarkStart w:id="80" w:name="_Toc5393"/>
      <w:bookmarkStart w:id="81" w:name="_Toc1657"/>
      <w:bookmarkStart w:id="82" w:name="_Toc11726"/>
      <w:bookmarkStart w:id="83" w:name="_Toc19008"/>
      <w:bookmarkStart w:id="84" w:name="_Toc28736"/>
      <w:bookmarkStart w:id="85" w:name="_Toc16258"/>
      <w:bookmarkStart w:id="86" w:name="_Toc8807"/>
      <w:bookmarkStart w:id="87" w:name="_Toc4958"/>
      <w:bookmarkStart w:id="88" w:name="_Toc21254"/>
      <w:bookmarkStart w:id="89" w:name="_Toc10957"/>
      <w:r>
        <w:rPr>
          <w:rFonts w:ascii="Times New Roman" w:hAnsi="Times New Roman" w:eastAsia="黑体" w:cs="Times New Roman"/>
          <w:color w:val="000000" w:themeColor="text1"/>
          <w:sz w:val="32"/>
          <w:szCs w:val="32"/>
          <w14:textFill>
            <w14:solidFill>
              <w14:schemeClr w14:val="tx1"/>
            </w14:solidFill>
          </w14:textFill>
        </w:rPr>
        <w:t>3.质量保障措施</w:t>
      </w:r>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90" w:name="_Toc23091"/>
      <w:bookmarkStart w:id="91" w:name="_Toc30556"/>
      <w:bookmarkStart w:id="92" w:name="_Toc31710"/>
      <w:bookmarkStart w:id="93" w:name="_Toc4440"/>
      <w:bookmarkStart w:id="94" w:name="_Toc14721"/>
      <w:r>
        <w:rPr>
          <w:rFonts w:ascii="Times New Roman" w:hAnsi="Times New Roman" w:eastAsia="仿宋_GB2312" w:cs="Times New Roman"/>
          <w:b/>
          <w:bCs/>
          <w:color w:val="000000" w:themeColor="text1"/>
          <w:sz w:val="32"/>
          <w:szCs w:val="32"/>
          <w14:textFill>
            <w14:solidFill>
              <w14:schemeClr w14:val="tx1"/>
            </w14:solidFill>
          </w14:textFill>
        </w:rPr>
        <w:t>3.1专业动态调整</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紧跟交通发展形势，及时调整、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优化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专业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。通过深入调研，在原有专业基础上，新开设产品检测与质量控制、幼儿教育、城市轨道交通车辆运用与检修（驾驶方向）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个专业，调整优化数控加工、现代物流、汽车技术服务与营销、汽车钣金与涂装4个专业，有效对接多方位层次市场用工需求。发挥全国首批示范职业技能鉴定所功能，进一步扩大服务范围，学院被确定为全省技工院校职业技能等级认定试点院校，认定工种达到24个，生产咨询服务项目达到18个。对接行业管理部门，做好危险品货运驾驶员职业化培训试点，全国首批54名道路运输危货驾驶员职业化培训考试工作圆满结束，《道路危险货物运输驾驶员职业化培训研究与实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等8项省级课题通过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评审验收。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95" w:name="_Toc4972"/>
      <w:bookmarkStart w:id="96" w:name="_Toc5807"/>
      <w:bookmarkStart w:id="97" w:name="_Toc32384"/>
      <w:bookmarkStart w:id="98" w:name="_Toc12885"/>
      <w:bookmarkStart w:id="99" w:name="_Toc23301"/>
      <w:r>
        <w:rPr>
          <w:rFonts w:ascii="Times New Roman" w:hAnsi="Times New Roman" w:eastAsia="仿宋_GB2312" w:cs="Times New Roman"/>
          <w:b/>
          <w:bCs/>
          <w:color w:val="000000" w:themeColor="text1"/>
          <w:sz w:val="32"/>
          <w:szCs w:val="32"/>
          <w14:textFill>
            <w14:solidFill>
              <w14:schemeClr w14:val="tx1"/>
            </w14:solidFill>
          </w14:textFill>
        </w:rPr>
        <w:t>3.2教育教学改革</w:t>
      </w:r>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b/>
          <w:bCs/>
          <w:color w:val="000000" w:themeColor="text1"/>
          <w:sz w:val="32"/>
          <w:szCs w:val="32"/>
          <w:lang w:val="en-US" w:eastAsia="zh-CN"/>
          <w14:textFill>
            <w14:solidFill>
              <w14:schemeClr w14:val="tx1"/>
            </w14:solidFill>
          </w14:textFill>
        </w:rPr>
        <w:t>一是公共基础课建设持续加强。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按照人才培养全面发展的基本需求，开设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语文、数学、英语、思想道德修养、职业生涯规划、社会与人生等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近30门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公共基础课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，根据学生学业基础和职业发展差异，设置课程层次、安排课程内容，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公共基础课在人才培养中的基础性作用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得到有效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深入推进通用职业素质课程改革试点，及时总结工作经验、固化试点成果，不断提升学生基本能力，服务学生终身职业发展的能力明显增强。</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b/>
          <w:bCs/>
          <w:color w:val="000000" w:themeColor="text1"/>
          <w:sz w:val="32"/>
          <w:szCs w:val="32"/>
          <w:lang w:val="en-US" w:eastAsia="zh-CN"/>
          <w14:textFill>
            <w14:solidFill>
              <w14:schemeClr w14:val="tx1"/>
            </w14:solidFill>
          </w14:textFill>
        </w:rPr>
        <w:t>二是专业建设水平不断提升。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地方经济高质量发展需要，大力提升传统专业、着力发展优势专业。结合高水平交通强省建设和地方经济发展需要，动态调整专业设置，优化专业结构布局，形成以交通类专业为主体、机电和经贸类专业为两翼的“一体两翼”专业结构布局。坚持错位发展、特色发展、内涵发展，物流服务与管理、汽车车身修复专业，通过省级优势特色专业、品牌专业评估验收，省级及以上品牌／示范专业增至8个。</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三是人才队伍建设全面加强。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定《高层次人才引进与管理办法》《新进教师成长培养方案》，修订《教职工年度考核办法》《校聘人员管理办法》，启用省人事工资系统、事业单位管理一件事平台，组织人事工作更加规范、流程更加便捷。招录事业编制人员15人、校聘人员30多人，组织教职工参加培训600余人次，教职工年龄、专业和学历结构等不断优化。</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四是人才培养模式改革不断深化。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行业、企业、相关院校和学院毕业生进行调研，完成汽车运用与维修等4个专业学徒制人才培养模式调研报告。依托名专业培育工程，对接汽车和城市轨道交通产业链打造交通特色专业群，深化“双核育人、四轮驱动”人才培养改革，构建“2+1”特色课程体系，形成创新型教学团队，影响带动专业建设水平和人才培养质量的整体提升。2020年全省首届技能人才建设成果展上，郑栅洁省长、人社部汤涛副部长对学院技能人才培养成果给予充分肯定。</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五是课程体系建设深入推进。</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根据高技能人才培养目标和相关专业岗位（群）任职要求设置课程，各专业均构建了特色鲜明的专业课程体系。深入推行选择性课程改革，推动“四选”机制建设，开设选修课程383门，选修课程全部网上选课，在校生参与率100%，学生学习兴趣明显提高。各专业开发精品课程45门、校本教材75本，学生对学校教学工作满意度保持在95%以上。</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六是教学资源更加丰富。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发虚拟仿真课程9门、网络课程13门，开发相关课件、视频、题库等教学资源193个，有网络教学资源的课程增至782门，数字化专业教学资源总量增至3.16TB。疫情期间，建立129个在线教学钉钉群，开通7个教学平台、2个教学资源网，开设178门线上理论课程、19门线上实训课程，完成131个班级的线上教学任务，实现“停课不停教、停课不停学”。</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七是实训设施条件日益完善。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增无人机基础实训室、西门子PLC实训室、传感器实训室等6个实训室，改扩建大客和商用车实训室、机器人实训室等7个实训室。学院城市轨道交通产教融合工程（计划投入4840万元）被省发改委、省经信厅等10部门批准立项。截至年底，学院共有省级及以上实训（培训）基地8个、省级名师大师工作室3个、金华市名师工作室4个。</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八是教材选用工作扎实有序。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认真贯彻落实《职业院校教材管理办法》《人力资源社会保障部办公厅关于加强技工教育和职业培训教材建设工作的通知》（人社厅函〔2017〕107号）等文件要求，积极做好教材规范使用，优先选用国家规划或教育部推荐教材，坚决杜绝盗版盗印或自编的各种劣质教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对各专业各年级使用的公共基础课、专业课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校本教材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进行全面检查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共检查教材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443本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问题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已全部整改到位。</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九是国际合作办学持续深化。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继续与澳洲国际职业教育中心（AICC）合作，开设中澳合作国际班、中加合作国际班，开设汽车服务工程、会计、汽车维修（机电一体化）、数控加工等专业招生，受疫情影响，国际合作交流工作推进暂缓。目前，学院正在积极探索新的国际合作方式，争取与跨国企业合作开设技能研修班。</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00" w:name="_Toc2085"/>
      <w:bookmarkStart w:id="101" w:name="_Toc21249"/>
      <w:bookmarkStart w:id="102" w:name="_Toc7135"/>
      <w:bookmarkStart w:id="103" w:name="_Toc26649"/>
      <w:bookmarkStart w:id="104" w:name="_Toc19922"/>
      <w:r>
        <w:rPr>
          <w:rFonts w:ascii="Times New Roman" w:hAnsi="Times New Roman" w:eastAsia="仿宋_GB2312" w:cs="Times New Roman"/>
          <w:b/>
          <w:bCs/>
          <w:color w:val="000000" w:themeColor="text1"/>
          <w:sz w:val="32"/>
          <w:szCs w:val="32"/>
          <w14:textFill>
            <w14:solidFill>
              <w14:schemeClr w14:val="tx1"/>
            </w14:solidFill>
          </w14:textFill>
        </w:rPr>
        <w:t>3.3 教师培养培训</w:t>
      </w:r>
      <w:bookmarkEnd w:id="100"/>
      <w:bookmarkEnd w:id="101"/>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1"/>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全年共组织教职工参加专业发展培训和岗位业务培训602人次，参加学生德育工作创新暨班主任专业能力提升线上培训152人；全体中层以上干部、教学点负责人、各系部团总支书记等参加干部管理能力提升培训46人；新进人员参加岗前培训35人。专业教师参加企业实践28人次。新引进专业教师24人、文化课教师6人、基建管理1人、教辅人员2人、宣传干事1人。出台《新进教师成长培养方案》，组织新老教师结对，对新进教师开展全方位培养。师资队伍规模保持稳定。浙江省中职名师工作室、大师工作室等项目建设任务圆满完成，顺利通过终期验收。</w:t>
      </w:r>
    </w:p>
    <w:p>
      <w:pPr>
        <w:keepNext w:val="0"/>
        <w:keepLines w:val="0"/>
        <w:pageBreakBefore w:val="0"/>
        <w:kinsoku/>
        <w:wordWrap/>
        <w:overflowPunct/>
        <w:topLinePunct w:val="0"/>
        <w:autoSpaceDE/>
        <w:autoSpaceDN/>
        <w:bidi w:val="0"/>
        <w:adjustRightInd/>
        <w:snapToGrid/>
        <w:spacing w:line="62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05" w:name="_Toc10296"/>
      <w:bookmarkStart w:id="106" w:name="_Toc16334"/>
      <w:bookmarkStart w:id="107" w:name="_Toc23144"/>
      <w:bookmarkStart w:id="108" w:name="_Toc10483"/>
      <w:bookmarkStart w:id="109" w:name="_Toc32682"/>
      <w:r>
        <w:rPr>
          <w:rFonts w:ascii="Times New Roman" w:hAnsi="Times New Roman" w:eastAsia="仿宋_GB2312" w:cs="Times New Roman"/>
          <w:b/>
          <w:bCs/>
          <w:color w:val="000000" w:themeColor="text1"/>
          <w:sz w:val="32"/>
          <w:szCs w:val="32"/>
          <w14:textFill>
            <w14:solidFill>
              <w14:schemeClr w14:val="tx1"/>
            </w14:solidFill>
          </w14:textFill>
        </w:rPr>
        <w:t>3.4 规范管理情况</w:t>
      </w:r>
      <w:bookmarkEnd w:id="105"/>
      <w:bookmarkEnd w:id="106"/>
      <w:bookmarkEnd w:id="107"/>
      <w:bookmarkEnd w:id="108"/>
      <w:bookmarkEnd w:id="109"/>
    </w:p>
    <w:p>
      <w:pPr>
        <w:keepNext w:val="0"/>
        <w:keepLines w:val="0"/>
        <w:pageBreakBefore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根据《教育法》《职业教育法》等法律法规和省市教育、人社部门要求，依法依规办学、规范管理。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一是教学管理更规范。</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续推进“系部每日查、教务科研处每周查、院领导随机查”三级联动教学巡查制度，全年开展教学巡查56次，通报严重教学事故3起，每周在学院中层干部群通报教学巡查结果，发现问题及时反馈、及时整改。扎实做好教师教学工作业绩考核，加密考核频次，优化考核指标，深化考核结果运用，课堂教学效果明显好转。</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二是学生管理更有效。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落实立德树人根本任务，坚持把“三全育人”作为系统工程整体设计、系统构建、协同推进。深化院系二级管理，把德育工作纳入督导内容，倡导发展性评价、过程性评价、第三方评价以及教师、家长、企业参与的多主体评价。创新团学工作平台、强化创新创业教育，大力弘扬社会主义核心价值观，积极推进心理健康教育，持续强化教育引导、实践养成、制度保障，努力培养具有家国情怀、国际视野、品格突出、技能精湛的新时代高技能人才。学生操行成绩优良率97.3%，同比明显提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三是财务管理更科学。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合理安排财务收支，严格执行预算绩效管理，预算执行率90.5%。加强“三公”管理，“三公”经费支出同比下降44%，食堂餐饮浪费减少近30%。严格按规定采购和处置资产，校内资产管理规范、高效。开展固定资产清查，建设内控管理信息系统，推动权力规范公开运行，认真做好内、外部审计工作，发现问题及时整改，为各项工作有序、高效开展提供了坚强财务保障。</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四是后勤管理更细致。</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真做好防疫物资采购发放、日常通风消毒、师生健康观察等工作，采购防疫物资30余种、140余万元。完成设施设备和外包服务采购84项、4503.83万元，完成各类项目验收52次，完成电梯、空调、开水器、厨具设备等固定资产维修760多次，日常维修任务3500多次，水电维修任务2800多次，突发性水电应急抢修20多次。开展膳食、超市物价、业务用车检查20多次，通过钉钉软件调研师生需求，及时调整优化服务举措，师生满意度保持在80%以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五是安全管理更严谨。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根据疫情防控要求，严格落实封闭式管理措施，细致做好验码、测温具体工作，全力守好学院“小门”；认真做好学生错峰返校、错峰离校秩序管控，积极协调公安、交通部门有效做好校园周边道路交通引导，为做好疫情防控工作提供了坚实保障。完善校园安全管理体系，健全突发事件应急预案，广泛开展安全宣传教育，有效推进安全隐患排查整治，积极组织突发事件应急演练，大力推进人体测温、人脸比对、车辆识别等技防设施建设，校园安全防范能力不断提升。学院教育教学秩序良好，未发生重大事故或案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lang w:val="en-US" w:eastAsia="zh-CN"/>
          <w14:textFill>
            <w14:solidFill>
              <w14:schemeClr w14:val="tx1"/>
            </w14:solidFill>
          </w14:textFill>
        </w:rPr>
        <w:t>六是</w:t>
      </w:r>
      <w:r>
        <w:rPr>
          <w:rFonts w:hint="eastAsia" w:ascii="仿宋_GB2312" w:hAnsi="Times New Roman" w:eastAsia="仿宋_GB2312"/>
          <w:b/>
          <w:bCs/>
          <w:color w:val="000000" w:themeColor="text1"/>
          <w:sz w:val="32"/>
          <w:szCs w:val="32"/>
          <w14:textFill>
            <w14:solidFill>
              <w14:schemeClr w14:val="tx1"/>
            </w14:solidFill>
          </w14:textFill>
        </w:rPr>
        <w:t>科研</w:t>
      </w:r>
      <w:r>
        <w:rPr>
          <w:rFonts w:hint="eastAsia" w:ascii="仿宋_GB2312" w:hAnsi="Times New Roman" w:eastAsia="仿宋_GB2312"/>
          <w:b/>
          <w:bCs/>
          <w:color w:val="000000" w:themeColor="text1"/>
          <w:sz w:val="32"/>
          <w:szCs w:val="32"/>
          <w:lang w:val="en-US" w:eastAsia="zh-CN"/>
          <w14:textFill>
            <w14:solidFill>
              <w14:schemeClr w14:val="tx1"/>
            </w14:solidFill>
          </w14:textFill>
        </w:rPr>
        <w:t>成效更显著</w:t>
      </w:r>
      <w:r>
        <w:rPr>
          <w:rFonts w:hint="eastAsia" w:ascii="仿宋_GB2312"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强化科研管理，</w:t>
      </w:r>
      <w:r>
        <w:rPr>
          <w:rFonts w:hint="eastAsia" w:ascii="Times New Roman" w:hAnsi="Times New Roman" w:eastAsia="仿宋_GB2312"/>
          <w:color w:val="000000" w:themeColor="text1"/>
          <w:sz w:val="32"/>
          <w:szCs w:val="32"/>
          <w14:textFill>
            <w14:solidFill>
              <w14:schemeClr w14:val="tx1"/>
            </w14:solidFill>
          </w14:textFill>
        </w:rPr>
        <w:t>坚持“以教带研、以研促教”，不断提升教职工科研能力和教育教学水平。教职工申报立项省级以上课题5项，完成省级课题结题7项，主、参编教材22本，公开发表论文120篇，取得国家专利12项，获市级及以上教科研成果奖11项。</w:t>
      </w:r>
    </w:p>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表2 2020年学院教职工获取实用新型专利情况一览表</w:t>
      </w:r>
    </w:p>
    <w:tbl>
      <w:tblPr>
        <w:tblStyle w:val="9"/>
        <w:tblW w:w="84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4392"/>
        <w:gridCol w:w="2430"/>
        <w:gridCol w:w="15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t>专利名称</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t>专利号</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4"/>
                <w:szCs w:val="24"/>
                <w:u w:val="none"/>
                <w:lang w:val="en-US" w:eastAsia="zh-CN" w:bidi="ar"/>
                <w14:textFill>
                  <w14:solidFill>
                    <w14:schemeClr w14:val="tx1"/>
                  </w14:solidFill>
                </w14:textFill>
              </w:rPr>
              <w:t>专利证书号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9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一种新型可调节音量的汽车喇叭</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0052627.X</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第9652549号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5"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一种新型汽车方向盘防盗锁</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0049510.6</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第9751238号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7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一种无人驾驶汽车车顶激光测距仪安装架</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1745158.6</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第10601838号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一种汽车智能型汽车水箱装置</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2020 2 0435787.5</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第12015300号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1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一种汽车维修用的扩胎装置</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2020 2 0435788.X</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第11830380号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15"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一种汽车后排座椅减震器</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0692200.6</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第10023681号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一种汽车排气可拆卸的防倒灌装置</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0692334.6</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第10084171号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85"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一种可调节视角的汽车后视镜</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0692112.6</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第10095136号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一种新型支架汽车内后视镜</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1996851.0</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第11044744号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一种新型电动汽车仪表盘</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2019 2 1996852.5</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第11152112号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一种工业机器人末端执行器夹具</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2018 2 1840075.0</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第9711275号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0" w:hRule="atLeast"/>
        </w:trPr>
        <w:tc>
          <w:tcPr>
            <w:tcW w:w="439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一种汽车动力传动轴机构</w:t>
            </w:r>
          </w:p>
        </w:tc>
        <w:tc>
          <w:tcPr>
            <w:tcW w:w="24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ZL 2020 2 0678382.4</w:t>
            </w:r>
          </w:p>
        </w:tc>
        <w:tc>
          <w:tcPr>
            <w:tcW w:w="159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cstheme="minorEastAsia"/>
                <w:i w:val="0"/>
                <w:color w:val="000000" w:themeColor="text1"/>
                <w:sz w:val="24"/>
                <w:szCs w:val="24"/>
                <w:u w:val="none"/>
                <w:lang w:val="en-US" w:eastAsia="zh-CN"/>
                <w14:textFill>
                  <w14:solidFill>
                    <w14:schemeClr w14:val="tx1"/>
                  </w14:solidFill>
                </w14:textFill>
              </w:rPr>
              <w:t>——</w:t>
            </w:r>
          </w:p>
        </w:tc>
      </w:tr>
    </w:tbl>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七是管理队伍建设更扎实。</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狠抓管理队伍建设，积极营造敢于担当、干事创业的浓厚氛围。修订《中层干部选拔任用管理办法》，坚持重品行、重能力、重实干、重业绩的选人用人导向，强化考核，激励担当，注重在基层一线和急难险重的任务中培养考察干部。</w:t>
      </w:r>
      <w:r>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t>建立政治生态建设档案和干部廉政档案</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把好选人用人政治关、廉洁关、形象关。开展1名中层正职、1名中层副职提任的民主推荐和考察工作，考察试用期满中层副职干部8人，选派中层干部到人社部、省人社厅挂职交流2人；完成干部人事档案“三龄两历”审核认定32人；组织中层及以上干部等参加参加浙江大学干部管理培训46人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八是信息技术应用更广泛。</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以教育信息化助推教学和管理现代化，打造了基于钉钉软件的“校园APP”，集疫情防控、人事管理、教务管理、学生管理等审批流程100多个；完善信息化建设顶层设计，推动数据互联互通，借助物联网、云计算、大数据等技术，推动校园生活数字化、智能化。对校园网核心设备和骨干网进行升级，实现万兆到楼宇（不含宿舍区域），千兆到桌面，校园网固网用户上下行速率5M/s。校园网向外发送数据累计22T、接收数据257.71T，日均活跃用户数2700人。疫情期间，开设178门线上理论课、19门线上实训课，在校生全部参与线上教学，圆满完成131个班级的线上教学任务。</w:t>
      </w:r>
    </w:p>
    <w:p>
      <w:pPr>
        <w:keepNext w:val="0"/>
        <w:keepLines w:val="0"/>
        <w:pageBreakBefore w:val="0"/>
        <w:kinsoku/>
        <w:wordWrap/>
        <w:overflowPunct/>
        <w:topLinePunct w:val="0"/>
        <w:autoSpaceDE/>
        <w:autoSpaceDN/>
        <w:bidi w:val="0"/>
        <w:adjustRightInd/>
        <w:snapToGrid/>
        <w:spacing w:line="62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10" w:name="_Toc8512"/>
      <w:bookmarkStart w:id="111" w:name="_Toc22880"/>
      <w:bookmarkStart w:id="112" w:name="_Toc12714"/>
      <w:bookmarkStart w:id="113" w:name="_Toc31757"/>
      <w:bookmarkStart w:id="114" w:name="_Toc9642"/>
      <w:r>
        <w:rPr>
          <w:rFonts w:ascii="Times New Roman" w:hAnsi="Times New Roman" w:eastAsia="仿宋_GB2312" w:cs="Times New Roman"/>
          <w:b/>
          <w:bCs/>
          <w:color w:val="000000" w:themeColor="text1"/>
          <w:sz w:val="32"/>
          <w:szCs w:val="32"/>
          <w14:textFill>
            <w14:solidFill>
              <w14:schemeClr w14:val="tx1"/>
            </w14:solidFill>
          </w14:textFill>
        </w:rPr>
        <w:t>3.5 德育工作情况</w:t>
      </w:r>
      <w:bookmarkEnd w:id="110"/>
      <w:bookmarkEnd w:id="111"/>
      <w:bookmarkEnd w:id="112"/>
      <w:bookmarkEnd w:id="113"/>
      <w:bookmarkEnd w:id="114"/>
    </w:p>
    <w:p>
      <w:pPr>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坚持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“以人为本、德育为先”</w:t>
      </w:r>
      <w:r>
        <w:rPr>
          <w:rFonts w:hint="eastAsia" w:ascii="Times New Roman" w:hAnsi="Times New Roman" w:eastAsia="仿宋_GB2312" w:cs="Times New Roman"/>
          <w:color w:val="000000" w:themeColor="text1"/>
          <w:sz w:val="32"/>
          <w:szCs w:val="32"/>
          <w14:textFill>
            <w14:solidFill>
              <w14:schemeClr w14:val="tx1"/>
            </w14:solidFill>
          </w14:textFill>
        </w:rPr>
        <w:t>，注重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全面育人、科学育人：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一是德育工作机制更加完善。</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把立德树人作为办学根本，始终围绕学生、关照学生、服务学生，构建了院系二级学生德育考评体系，形成了特色鲜明的“一系一品”德育品牌；积极深化全员、全程、全方位“三全育人”，搭建了价值观育人、课堂育人、文化育人和实践育人“四个平台”，助力学生全面发展的工作机制更加完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Times New Roman" w:hAnsi="Times New Roman" w:eastAsia="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二是学生核心素养水平不断提升。</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实施学生素养培育工程，重点落实文化培育、师资培养、形象提升、模范引领、创新实践五项举措，全力打造校园电视台、名师工作室、真人活图书、礼仪实践周、一月一台戏、一系一品牌、创业一条街七张名片，着力提升学生适应终身发展和社会发展需要的必备品格和关键能力，学生素养水平明显提升。涌现出全国优秀共青团员、全国交通院校优秀学生励志奖学金获得者、人社部技能雏鹰奖学金获得者、中职国家奖学金获得者等一批优秀典型。</w:t>
      </w:r>
    </w:p>
    <w:p>
      <w:pPr>
        <w:keepNext w:val="0"/>
        <w:keepLines w:val="0"/>
        <w:pageBreakBefore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b/>
          <w:bCs/>
          <w:color w:val="000000" w:themeColor="text1"/>
          <w:kern w:val="0"/>
          <w:sz w:val="32"/>
          <w:szCs w:val="32"/>
          <w:highlight w:val="none"/>
          <w:lang w:val="en-US" w:eastAsia="zh-CN" w:bidi="ar-SA"/>
          <w14:textFill>
            <w14:solidFill>
              <w14:schemeClr w14:val="tx1"/>
            </w14:solidFill>
          </w14:textFill>
        </w:rPr>
        <w:t>三是文化育人氛围更加浓厚。</w:t>
      </w:r>
      <w:r>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加强学院文化凝炼和系统架构，初步完成校园文化体系顶层设计。实施校园文化提升工程，制定并有效落实《园文化建设工作计划》，持续完善校内文化氛围布置，高质量开展“我与国旗合个影”庆祝新中国成立71周年主题活动、建校46周年文艺汇演、校园文化艺术节、企业文化周、职教活动周、企业文化周等活动，文化育人氛围更加浓厚。邀请全国五一劳动奖章获得者、全国劳动模范许振超、孔祥瑞亲临学院，与交通学子共话工匠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产生良好社会反响</w:t>
      </w:r>
      <w:r>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创新</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第十二届全国交通运输行业道路货运汽车驾驶员职业技能大赛全国总决赛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开闭幕式活动安排，协调相关部门精心准备暖场节目——《永远奔跑在路上》，并在</w:t>
      </w:r>
      <w:r>
        <w:rPr>
          <w:rFonts w:hint="eastAsia" w:ascii="仿宋_GB2312" w:hAnsi="仿宋_GB2312" w:eastAsia="仿宋_GB2312" w:cs="仿宋_GB2312"/>
          <w:color w:val="000000" w:themeColor="text1"/>
          <w:sz w:val="32"/>
          <w:szCs w:val="32"/>
          <w14:textFill>
            <w14:solidFill>
              <w14:schemeClr w14:val="tx1"/>
            </w14:solidFill>
          </w14:textFill>
        </w:rPr>
        <w:t>第三届浙江国际智慧交通产业博览会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开幕</w:t>
      </w:r>
      <w:r>
        <w:rPr>
          <w:rFonts w:hint="eastAsia" w:ascii="仿宋_GB2312" w:hAnsi="仿宋_GB2312" w:eastAsia="仿宋_GB2312" w:cs="仿宋_GB2312"/>
          <w:color w:val="000000" w:themeColor="text1"/>
          <w:sz w:val="32"/>
          <w:szCs w:val="32"/>
          <w14:textFill>
            <w14:solidFill>
              <w14:schemeClr w14:val="tx1"/>
            </w14:solidFill>
          </w14:textFill>
        </w:rPr>
        <w:t>式上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亮相，得到部省领导的好评。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宋体"/>
          <w:b/>
          <w:bCs/>
          <w:color w:val="000000" w:themeColor="text1"/>
          <w:kern w:val="0"/>
          <w:sz w:val="32"/>
          <w:szCs w:val="32"/>
          <w:highlight w:val="none"/>
          <w:lang w:val="en-US" w:eastAsia="zh-CN" w:bidi="ar-SA"/>
          <w14:textFill>
            <w14:solidFill>
              <w14:schemeClr w14:val="tx1"/>
            </w14:solidFill>
          </w14:textFill>
        </w:rPr>
        <w:t>四是学生社团活动多姿多彩。</w:t>
      </w:r>
      <w:r>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加强学生社团组织建设，学生社团总数增至40个、参加社团学生人数增至1402人。</w:t>
      </w:r>
      <w:r>
        <w:rPr>
          <w:rFonts w:hint="default"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传统文化习学会、影视爱好者协会、赛车梦工厂协会</w:t>
      </w:r>
      <w:r>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等社团积极开展形式多样、内容丰富的社团活动，成为校内一道亮丽的风景线。</w:t>
      </w:r>
      <w:bookmarkStart w:id="115" w:name="_Toc146"/>
      <w:bookmarkStart w:id="116" w:name="_Toc4620"/>
      <w:bookmarkStart w:id="117" w:name="_Toc28689"/>
      <w:bookmarkStart w:id="118" w:name="_Toc5002"/>
      <w:bookmarkStart w:id="119" w:name="_Toc25546"/>
      <w:r>
        <w:rPr>
          <w:rFonts w:hint="eastAsia" w:ascii="Times New Roman" w:hAnsi="Times New Roman" w:eastAsia="仿宋_GB2312" w:cs="宋体"/>
          <w:b w:val="0"/>
          <w:bCs w:val="0"/>
          <w:color w:val="000000" w:themeColor="text1"/>
          <w:kern w:val="0"/>
          <w:sz w:val="32"/>
          <w:szCs w:val="32"/>
          <w:highlight w:val="none"/>
          <w:lang w:val="en-US" w:eastAsia="zh-CN" w:bidi="ar-SA"/>
          <w14:textFill>
            <w14:solidFill>
              <w14:schemeClr w14:val="tx1"/>
            </w14:solidFill>
          </w14:textFill>
        </w:rPr>
        <w:t xml:space="preserve">依托学生社团，深化晚自修管理模式改革，结合学生专业特点、兴趣爱好，开设15个晚自修兴趣小组，400多名学生参与其中，学生自主学习的主观能动性得到有效激发，晚自修效果明显提升。 </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3.6党建情况</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1"/>
        <w:rPr>
          <w:rFonts w:hint="eastAsia"/>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eastAsia" w:ascii="Times New Roman" w:hAnsi="Times New Roman" w:eastAsia="仿宋_GB2312" w:cs="Times New Roman"/>
          <w:b/>
          <w:bCs/>
          <w:color w:val="000000" w:themeColor="text1"/>
          <w:sz w:val="32"/>
          <w:szCs w:val="32"/>
          <w14:textFill>
            <w14:solidFill>
              <w14:schemeClr w14:val="tx1"/>
            </w14:solidFill>
          </w14:textFill>
        </w:rPr>
        <w:t>管党治党责任不断夯实。</w:t>
      </w:r>
      <w:r>
        <w:rPr>
          <w:rFonts w:hint="eastAsia" w:ascii="Times New Roman" w:hAnsi="Times New Roman" w:eastAsia="仿宋_GB2312" w:cs="Times New Roman"/>
          <w:color w:val="000000" w:themeColor="text1"/>
          <w:sz w:val="32"/>
          <w:szCs w:val="32"/>
          <w14:textFill>
            <w14:solidFill>
              <w14:schemeClr w14:val="tx1"/>
            </w14:solidFill>
          </w14:textFill>
        </w:rPr>
        <w:t>坚持党建统领，严格落实《党委（党组）落实全面从严治党主体责任规定》，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w:t>
      </w:r>
      <w:r>
        <w:rPr>
          <w:rFonts w:hint="eastAsia" w:ascii="Times New Roman" w:hAnsi="Times New Roman" w:eastAsia="仿宋_GB2312" w:cs="Times New Roman"/>
          <w:color w:val="000000" w:themeColor="text1"/>
          <w:sz w:val="32"/>
          <w:szCs w:val="32"/>
          <w14:textFill>
            <w14:solidFill>
              <w14:schemeClr w14:val="tx1"/>
            </w14:solidFill>
          </w14:textFill>
        </w:rPr>
        <w:t>推进“清廉机关、模范机关”创建活动，扎实开展管党治党失管失察自查自纠，坚持完善党委领导下的院长负责制，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定期</w:t>
      </w:r>
      <w:r>
        <w:rPr>
          <w:rFonts w:hint="eastAsia" w:ascii="Times New Roman" w:hAnsi="Times New Roman" w:eastAsia="仿宋_GB2312" w:cs="Times New Roman"/>
          <w:color w:val="000000" w:themeColor="text1"/>
          <w:sz w:val="32"/>
          <w:szCs w:val="32"/>
          <w14:textFill>
            <w14:solidFill>
              <w14:schemeClr w14:val="tx1"/>
            </w14:solidFill>
          </w14:textFill>
        </w:rPr>
        <w:t>召开“一岗双责”落实情况汇报会，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深入</w:t>
      </w:r>
      <w:r>
        <w:rPr>
          <w:rFonts w:hint="eastAsia" w:ascii="Times New Roman" w:hAnsi="Times New Roman" w:eastAsia="仿宋_GB2312" w:cs="Times New Roman"/>
          <w:color w:val="000000" w:themeColor="text1"/>
          <w:sz w:val="32"/>
          <w:szCs w:val="32"/>
          <w14:textFill>
            <w14:solidFill>
              <w14:schemeClr w14:val="tx1"/>
            </w14:solidFill>
          </w14:textFill>
        </w:rPr>
        <w:t>开展“讲政治、守纪律、立规矩”专题教育，</w:t>
      </w:r>
      <w:r>
        <w:rPr>
          <w:rFonts w:hint="eastAsia" w:ascii="仿宋_GB2312" w:eastAsia="仿宋_GB2312"/>
          <w:sz w:val="32"/>
          <w:szCs w:val="32"/>
          <w:lang w:val="en-US" w:eastAsia="zh-CN"/>
        </w:rPr>
        <w:t>全面抓好政治建设、思想建设、组织建设、作风建设、制度建设、纪律建设和意识形态等工作，坚持</w:t>
      </w:r>
      <w:r>
        <w:rPr>
          <w:rFonts w:hint="eastAsia" w:ascii="Times New Roman" w:hAnsi="Times New Roman" w:eastAsia="仿宋_GB2312" w:cs="Times New Roman"/>
          <w:color w:val="000000" w:themeColor="text1"/>
          <w:sz w:val="32"/>
          <w:szCs w:val="32"/>
          <w14:textFill>
            <w14:solidFill>
              <w14:schemeClr w14:val="tx1"/>
            </w14:solidFill>
          </w14:textFill>
        </w:rPr>
        <w:t>把全面从严治党与业务工作同部署、同落实、同检查，切实把主体责任扛在肩上、抓在手上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学院党的建设更加扎实有力。</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b/>
          <w:bCs/>
          <w:color w:val="000000" w:themeColor="text1"/>
          <w:sz w:val="32"/>
          <w:szCs w:val="32"/>
          <w14:textFill>
            <w14:solidFill>
              <w14:schemeClr w14:val="tx1"/>
            </w14:solidFill>
          </w14:textFill>
        </w:rPr>
        <w:t>基层组织战斗力有效增强。</w:t>
      </w:r>
      <w:r>
        <w:rPr>
          <w:rFonts w:hint="eastAsia" w:ascii="Times New Roman" w:hAnsi="Times New Roman" w:eastAsia="仿宋_GB2312" w:cs="Times New Roman"/>
          <w:color w:val="000000" w:themeColor="text1"/>
          <w:sz w:val="32"/>
          <w:szCs w:val="32"/>
          <w14:textFill>
            <w14:solidFill>
              <w14:schemeClr w14:val="tx1"/>
            </w14:solidFill>
          </w14:textFill>
        </w:rPr>
        <w:t>开展“一支部一主题、一支部一特色”活动，严格党内组织生活，全面提升基层党组织的凝聚力和战斗力。推进“一支部一品牌”特色党建品牌创建，9个支部已上报金华市直机关党委进行评星定级。组织抗疫先进个人和“我最喜爱的思政教师”评选，大力宣传先进典型，引导广大党员见贤思齐、对标先进。疫情期间，组建党员志愿服务队，搬运行李、巡查校园、值班值守，有力保障了学院的防疫工作，基层组织的战斗堡垒和广大党员的先锋模范作用在重大考验面前得到充分发挥。</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eastAsia" w:ascii="Times New Roman" w:hAnsi="Times New Roman" w:eastAsia="仿宋_GB2312" w:cs="Times New Roman"/>
          <w:b/>
          <w:bCs/>
          <w:color w:val="000000" w:themeColor="text1"/>
          <w:sz w:val="32"/>
          <w:szCs w:val="32"/>
          <w14:textFill>
            <w14:solidFill>
              <w14:schemeClr w14:val="tx1"/>
            </w14:solidFill>
          </w14:textFill>
        </w:rPr>
        <w:t>清廉校园建设稳步推进。</w:t>
      </w:r>
      <w:r>
        <w:rPr>
          <w:rFonts w:hint="eastAsia" w:ascii="Times New Roman" w:hAnsi="Times New Roman" w:eastAsia="仿宋_GB2312" w:cs="Times New Roman"/>
          <w:color w:val="000000" w:themeColor="text1"/>
          <w:sz w:val="32"/>
          <w:szCs w:val="32"/>
          <w14:textFill>
            <w14:solidFill>
              <w14:schemeClr w14:val="tx1"/>
            </w14:solidFill>
          </w14:textFill>
        </w:rPr>
        <w:t>贯彻清廉交通决策部署，出台《关于建设清廉校园纵深推进全面从严治党的实施意见》，实施五大方面25条措施，针对招生就业、物资采购、工程建设、意识形态等重点领域，制定、修订《教学点管理办法》《重点岗位人员轮岗办法》等一系列制度。强化监督，公示物资采购内容446项、3500余万元。开展“三公”经费审计，抓好问题整改，严防廉政风险，“三公经费”开支下降43.6%。加强清廉文化建设，举办第四届廉政诗词大会，开设廉政党课，拍摄廉政短视频，推送“廉政微党课”展播，推动廉洁意识春风化雨、深入人心。</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120" w:name="_Toc7183"/>
      <w:bookmarkStart w:id="121" w:name="_Toc25264"/>
      <w:bookmarkStart w:id="122" w:name="_Toc22176"/>
      <w:bookmarkStart w:id="123" w:name="_Toc25196"/>
      <w:bookmarkStart w:id="124" w:name="_Toc7782"/>
      <w:bookmarkStart w:id="125" w:name="_Toc27185"/>
      <w:bookmarkStart w:id="126" w:name="_Toc21642"/>
      <w:bookmarkStart w:id="127" w:name="_Toc17581"/>
      <w:bookmarkStart w:id="128" w:name="_Toc15800"/>
      <w:bookmarkStart w:id="129" w:name="_Toc31666"/>
      <w:bookmarkStart w:id="130" w:name="_Toc1420"/>
      <w:r>
        <w:rPr>
          <w:rFonts w:ascii="Times New Roman" w:hAnsi="Times New Roman" w:eastAsia="黑体" w:cs="Times New Roman"/>
          <w:color w:val="000000" w:themeColor="text1"/>
          <w:sz w:val="32"/>
          <w:szCs w:val="32"/>
          <w14:textFill>
            <w14:solidFill>
              <w14:schemeClr w14:val="tx1"/>
            </w14:solidFill>
          </w14:textFill>
        </w:rPr>
        <w:t>4.校企合作</w:t>
      </w:r>
      <w:bookmarkEnd w:id="120"/>
      <w:bookmarkEnd w:id="121"/>
      <w:bookmarkEnd w:id="122"/>
      <w:bookmarkEnd w:id="123"/>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1"/>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131" w:name="_Toc21859"/>
      <w:bookmarkStart w:id="132" w:name="_Toc20876"/>
      <w:bookmarkStart w:id="133" w:name="_Toc27001"/>
      <w:bookmarkStart w:id="134" w:name="_Toc2386"/>
      <w:bookmarkStart w:id="135" w:name="_Toc21076"/>
      <w:r>
        <w:rPr>
          <w:rFonts w:ascii="Times New Roman" w:hAnsi="Times New Roman" w:eastAsia="仿宋_GB2312" w:cs="Times New Roman"/>
          <w:b/>
          <w:bCs/>
          <w:color w:val="000000" w:themeColor="text1"/>
          <w:sz w:val="32"/>
          <w:szCs w:val="32"/>
          <w14:textFill>
            <w14:solidFill>
              <w14:schemeClr w14:val="tx1"/>
            </w14:solidFill>
          </w14:textFill>
        </w:rPr>
        <w:t>4.1校企合作开展情况和效</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果</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是不断扩大合作广度。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与联通金华分公司、金华代塔、台运集团、舟山汽运、金华公交集团有限公司、开化县交通实业有限公司等企业签订合作协议，合作企业增至246家，校外实习实训基地增至218个，各主干专业稳定合作的有影响力的企业均在5家以上；订单班增至7个。</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二是持续拓展合作深度。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深化校企合作，就共创培养模式、共同招生招工、共商专业规划、共议课程开发、共组师资队伍、共建实训基地、共评培养效果、共搭管理平台，推动学生学习、实习就业一体化发展等展与企业开深入交流，校企合作不断走深走实。丰田汽车校企合作共同体被确定为省级校企合作共同体。学院获北京现代班项目优秀院校、京东物流优秀校企合作伙伴等荣誉称号。</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36" w:name="_Toc7944"/>
      <w:bookmarkStart w:id="137" w:name="_Toc3861"/>
      <w:bookmarkStart w:id="138" w:name="_Toc7982"/>
      <w:bookmarkStart w:id="139" w:name="_Toc2301"/>
      <w:bookmarkStart w:id="140" w:name="_Toc19805"/>
      <w:r>
        <w:rPr>
          <w:rFonts w:ascii="Times New Roman" w:hAnsi="Times New Roman" w:eastAsia="仿宋_GB2312" w:cs="Times New Roman"/>
          <w:b/>
          <w:bCs/>
          <w:color w:val="000000" w:themeColor="text1"/>
          <w:sz w:val="32"/>
          <w:szCs w:val="32"/>
          <w14:textFill>
            <w14:solidFill>
              <w14:schemeClr w14:val="tx1"/>
            </w14:solidFill>
          </w14:textFill>
        </w:rPr>
        <w:t>4.2 学生实习情况</w:t>
      </w:r>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spacing w:line="620" w:lineRule="exact"/>
        <w:ind w:firstLine="64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2020-2021学年实习班级参加顶岗实习学生1574</w:t>
      </w:r>
      <w:r>
        <w:rPr>
          <w:rFonts w:hint="eastAsia" w:ascii="Times New Roman" w:hAnsi="Times New Roman" w:eastAsia="仿宋_GB2312"/>
          <w:color w:val="000000" w:themeColor="text1"/>
          <w:sz w:val="32"/>
          <w:szCs w:val="32"/>
          <w:lang w:val="en-US" w:eastAsia="zh-CN"/>
          <w14:textFill>
            <w14:solidFill>
              <w14:schemeClr w14:val="tx1"/>
            </w14:solidFill>
          </w14:textFill>
        </w:rPr>
        <w:t>人</w:t>
      </w:r>
      <w:r>
        <w:rPr>
          <w:rFonts w:hint="eastAsia" w:ascii="Times New Roman" w:hAnsi="Times New Roman" w:eastAsia="仿宋_GB2312"/>
          <w:color w:val="000000" w:themeColor="text1"/>
          <w:sz w:val="32"/>
          <w:szCs w:val="32"/>
          <w14:textFill>
            <w14:solidFill>
              <w14:schemeClr w14:val="tx1"/>
            </w14:solidFill>
          </w14:textFill>
        </w:rPr>
        <w:t>（含自主创业、入伍</w:t>
      </w:r>
      <w:r>
        <w:rPr>
          <w:rFonts w:hint="eastAsia" w:ascii="Times New Roman" w:hAnsi="Times New Roman" w:eastAsia="仿宋_GB2312"/>
          <w:color w:val="000000" w:themeColor="text1"/>
          <w:sz w:val="32"/>
          <w:szCs w:val="32"/>
          <w:lang w:val="en-US" w:eastAsia="zh-CN"/>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休学学生）。</w:t>
      </w:r>
      <w:r>
        <w:rPr>
          <w:rFonts w:hint="eastAsia" w:ascii="Times New Roman" w:hAnsi="Times New Roman" w:eastAsia="仿宋_GB2312"/>
          <w:color w:val="000000" w:themeColor="text1"/>
          <w:sz w:val="32"/>
          <w:szCs w:val="32"/>
          <w:lang w:val="en-US" w:eastAsia="zh-CN"/>
          <w14:textFill>
            <w14:solidFill>
              <w14:schemeClr w14:val="tx1"/>
            </w14:solidFill>
          </w14:textFill>
        </w:rPr>
        <w:t>5-6月，学院借助</w:t>
      </w:r>
      <w:r>
        <w:rPr>
          <w:rFonts w:hint="eastAsia" w:ascii="Times New Roman" w:hAnsi="Times New Roman" w:eastAsia="仿宋_GB2312"/>
          <w:color w:val="000000" w:themeColor="text1"/>
          <w:sz w:val="32"/>
          <w:szCs w:val="32"/>
          <w14:textFill>
            <w14:solidFill>
              <w14:schemeClr w14:val="tx1"/>
            </w14:solidFill>
          </w14:textFill>
        </w:rPr>
        <w:t>校友邦平台举办线上招聘会，260余家企业参与，企业发布职位数700</w:t>
      </w:r>
      <w:r>
        <w:rPr>
          <w:rFonts w:hint="eastAsia" w:ascii="Times New Roman" w:hAnsi="Times New Roman" w:eastAsia="仿宋_GB2312"/>
          <w:color w:val="000000" w:themeColor="text1"/>
          <w:sz w:val="32"/>
          <w:szCs w:val="32"/>
          <w:lang w:val="en-US" w:eastAsia="zh-CN"/>
          <w14:textFill>
            <w14:solidFill>
              <w14:schemeClr w14:val="tx1"/>
            </w14:solidFill>
          </w14:textFill>
        </w:rPr>
        <w:t>多</w:t>
      </w:r>
      <w:r>
        <w:rPr>
          <w:rFonts w:hint="eastAsia" w:ascii="Times New Roman" w:hAnsi="Times New Roman" w:eastAsia="仿宋_GB2312"/>
          <w:color w:val="000000" w:themeColor="text1"/>
          <w:sz w:val="32"/>
          <w:szCs w:val="32"/>
          <w14:textFill>
            <w14:solidFill>
              <w14:schemeClr w14:val="tx1"/>
            </w14:solidFill>
          </w14:textFill>
        </w:rPr>
        <w:t>个，提供实习岗位3000</w:t>
      </w:r>
      <w:r>
        <w:rPr>
          <w:rFonts w:hint="eastAsia" w:ascii="Times New Roman" w:hAnsi="Times New Roman" w:eastAsia="仿宋_GB2312"/>
          <w:color w:val="000000" w:themeColor="text1"/>
          <w:sz w:val="32"/>
          <w:szCs w:val="32"/>
          <w:lang w:val="en-US" w:eastAsia="zh-CN"/>
          <w14:textFill>
            <w14:solidFill>
              <w14:schemeClr w14:val="tx1"/>
            </w14:solidFill>
          </w14:textFill>
        </w:rPr>
        <w:t>多</w:t>
      </w:r>
      <w:r>
        <w:rPr>
          <w:rFonts w:hint="eastAsia" w:ascii="Times New Roman" w:hAnsi="Times New Roman" w:eastAsia="仿宋_GB2312"/>
          <w:color w:val="000000" w:themeColor="text1"/>
          <w:sz w:val="32"/>
          <w:szCs w:val="32"/>
          <w14:textFill>
            <w14:solidFill>
              <w14:schemeClr w14:val="tx1"/>
            </w14:solidFill>
          </w14:textFill>
        </w:rPr>
        <w:t>个，各</w:t>
      </w:r>
      <w:r>
        <w:rPr>
          <w:rFonts w:hint="eastAsia" w:ascii="Times New Roman" w:hAnsi="Times New Roman" w:eastAsia="仿宋_GB2312"/>
          <w:color w:val="000000" w:themeColor="text1"/>
          <w:sz w:val="32"/>
          <w:szCs w:val="32"/>
          <w:lang w:val="en-US" w:eastAsia="zh-CN"/>
          <w14:textFill>
            <w14:solidFill>
              <w14:schemeClr w14:val="tx1"/>
            </w14:solidFill>
          </w14:textFill>
        </w:rPr>
        <w:t>专业系</w:t>
      </w:r>
      <w:r>
        <w:rPr>
          <w:rFonts w:hint="eastAsia" w:ascii="Times New Roman" w:hAnsi="Times New Roman" w:eastAsia="仿宋_GB2312"/>
          <w:color w:val="000000" w:themeColor="text1"/>
          <w:sz w:val="32"/>
          <w:szCs w:val="32"/>
          <w14:textFill>
            <w14:solidFill>
              <w14:schemeClr w14:val="tx1"/>
            </w14:solidFill>
          </w14:textFill>
        </w:rPr>
        <w:t>线下组织了现代专场、通用专场、比亚迪专场、杭港地铁专场等</w:t>
      </w:r>
      <w:r>
        <w:rPr>
          <w:rFonts w:hint="eastAsia" w:ascii="Times New Roman" w:hAnsi="Times New Roman" w:eastAsia="仿宋_GB2312"/>
          <w:color w:val="000000" w:themeColor="text1"/>
          <w:sz w:val="32"/>
          <w:szCs w:val="32"/>
          <w:lang w:val="en-US" w:eastAsia="zh-CN"/>
          <w14:textFill>
            <w14:solidFill>
              <w14:schemeClr w14:val="tx1"/>
            </w14:solidFill>
          </w14:textFill>
        </w:rPr>
        <w:t>多场</w:t>
      </w:r>
      <w:r>
        <w:rPr>
          <w:rFonts w:hint="eastAsia" w:ascii="Times New Roman" w:hAnsi="Times New Roman" w:eastAsia="仿宋_GB2312"/>
          <w:color w:val="000000" w:themeColor="text1"/>
          <w:sz w:val="32"/>
          <w:szCs w:val="32"/>
          <w14:textFill>
            <w14:solidFill>
              <w14:schemeClr w14:val="tx1"/>
            </w14:solidFill>
          </w14:textFill>
        </w:rPr>
        <w:t>专项招聘</w:t>
      </w:r>
      <w:r>
        <w:rPr>
          <w:rFonts w:hint="eastAsia" w:ascii="Times New Roman" w:hAnsi="Times New Roman" w:eastAsia="仿宋_GB2312"/>
          <w:color w:val="000000" w:themeColor="text1"/>
          <w:sz w:val="32"/>
          <w:szCs w:val="32"/>
          <w:lang w:val="en-US" w:eastAsia="zh-CN"/>
          <w14:textFill>
            <w14:solidFill>
              <w14:schemeClr w14:val="tx1"/>
            </w14:solidFill>
          </w14:textFill>
        </w:rPr>
        <w:t>会</w:t>
      </w:r>
      <w:r>
        <w:rPr>
          <w:rFonts w:hint="eastAsia" w:ascii="Times New Roman" w:hAnsi="Times New Roman" w:eastAsia="仿宋_GB2312"/>
          <w:color w:val="000000" w:themeColor="text1"/>
          <w:sz w:val="32"/>
          <w:szCs w:val="32"/>
          <w14:textFill>
            <w14:solidFill>
              <w14:schemeClr w14:val="tx1"/>
            </w14:solidFill>
          </w14:textFill>
        </w:rPr>
        <w:t>，安排专项班学生200余人定向实习。实习学生通过视频面试和专场招聘面试，企业接收率100%。响应省人社厅号召，2月下旬，学院在全省技工院校中率先组织符合条件的实习学生有序返企复工。截至5月底，1300多名顶岗实习学生有1200多人返企复工，为100多家企业复工复产提供了有力支持。</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41" w:name="_Toc24156"/>
      <w:bookmarkStart w:id="142" w:name="_Toc3307"/>
      <w:bookmarkStart w:id="143" w:name="_Toc8082"/>
      <w:bookmarkStart w:id="144" w:name="_Toc28834"/>
      <w:bookmarkStart w:id="145" w:name="_Toc27862"/>
      <w:r>
        <w:rPr>
          <w:rFonts w:ascii="Times New Roman" w:hAnsi="Times New Roman" w:eastAsia="仿宋_GB2312" w:cs="Times New Roman"/>
          <w:b/>
          <w:bCs/>
          <w:color w:val="000000" w:themeColor="text1"/>
          <w:sz w:val="32"/>
          <w:szCs w:val="32"/>
          <w14:textFill>
            <w14:solidFill>
              <w14:schemeClr w14:val="tx1"/>
            </w14:solidFill>
          </w14:textFill>
        </w:rPr>
        <w:t>4.3 集团化办学情况</w:t>
      </w:r>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仿宋_GB2312" w:hAnsi="宋体"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作为全省综</w:t>
      </w:r>
      <w:r>
        <w:rPr>
          <w:rFonts w:hint="eastAsia" w:ascii="Times New Roman" w:hAnsi="Times New Roman" w:eastAsia="仿宋_GB2312" w:cs="Times New Roman"/>
          <w:color w:val="000000" w:themeColor="text1"/>
          <w:sz w:val="32"/>
          <w:szCs w:val="32"/>
          <w14:textFill>
            <w14:solidFill>
              <w14:schemeClr w14:val="tx1"/>
            </w14:solidFill>
          </w14:textFill>
        </w:rPr>
        <w:t>合办学实力较强的技师学院之一，学院充分发挥自身教育资源优势，积极为地方和行业企业发展贡献学院力量。2011年，学院牵头成立金华市汽车维修职业教育集团（理事长单位），紧密联系行业组织和区域内职业学校，强化校企合作，优化资源配置，积极为地方汽车产业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培养技术技能人才、提供专业技术支持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2020年，学院新加盟浙中新能源汽车产教联盟。同时，作为</w:t>
      </w:r>
      <w:r>
        <w:rPr>
          <w:rFonts w:hint="eastAsia" w:ascii="Times New Roman" w:hAnsi="Times New Roman" w:eastAsia="仿宋_GB2312" w:cs="Times New Roman"/>
          <w:color w:val="000000" w:themeColor="text1"/>
          <w:sz w:val="32"/>
          <w:szCs w:val="32"/>
          <w14:textFill>
            <w14:solidFill>
              <w14:schemeClr w14:val="tx1"/>
            </w14:solidFill>
          </w14:textFill>
        </w:rPr>
        <w:t>浙江交通职业教育集团（副理事长单位）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全国汽车职教集团、</w:t>
      </w:r>
      <w:r>
        <w:rPr>
          <w:rFonts w:hint="eastAsia" w:ascii="仿宋_GB2312" w:hAnsi="微软雅黑" w:eastAsia="仿宋_GB2312"/>
          <w:color w:val="000000" w:themeColor="text1"/>
          <w:sz w:val="32"/>
          <w:szCs w:val="32"/>
          <w14:textFill>
            <w14:solidFill>
              <w14:schemeClr w14:val="tx1"/>
            </w14:solidFill>
          </w14:textFill>
        </w:rPr>
        <w:t>浙江省轨道交通产教融合联盟</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主席单位</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等联盟组织成员</w:t>
      </w:r>
      <w:r>
        <w:rPr>
          <w:rFonts w:hint="eastAsia" w:ascii="仿宋_GB2312" w:hAnsi="微软雅黑" w:eastAsia="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学院积极发挥自身作用，充分利用教育培训和专业技术资源为行业企业提供</w:t>
      </w:r>
      <w:r>
        <w:rPr>
          <w:rFonts w:hint="eastAsia" w:ascii="Times New Roman" w:hAnsi="Times New Roman" w:eastAsia="仿宋_GB2312" w:cs="Times New Roman"/>
          <w:color w:val="000000" w:themeColor="text1"/>
          <w:sz w:val="32"/>
          <w:szCs w:val="32"/>
          <w14:textFill>
            <w14:solidFill>
              <w14:schemeClr w14:val="tx1"/>
            </w14:solidFill>
          </w14:textFill>
        </w:rPr>
        <w:t>订单培养、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项目制培训、</w:t>
      </w:r>
      <w:r>
        <w:rPr>
          <w:rFonts w:hint="eastAsia" w:ascii="Times New Roman" w:hAnsi="Times New Roman" w:eastAsia="仿宋_GB2312" w:cs="Times New Roman"/>
          <w:color w:val="000000" w:themeColor="text1"/>
          <w:sz w:val="32"/>
          <w:szCs w:val="32"/>
          <w14:textFill>
            <w14:solidFill>
              <w14:schemeClr w14:val="tx1"/>
            </w14:solidFill>
          </w14:textFill>
        </w:rPr>
        <w:t>技术开发、设备支持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等服务</w:t>
      </w:r>
      <w:r>
        <w:rPr>
          <w:rFonts w:hint="eastAsia" w:ascii="Times New Roman" w:hAnsi="Times New Roman" w:eastAsia="仿宋_GB2312" w:cs="Times New Roman"/>
          <w:color w:val="000000" w:themeColor="text1"/>
          <w:sz w:val="32"/>
          <w:szCs w:val="32"/>
          <w14:textFill>
            <w14:solidFill>
              <w14:schemeClr w14:val="tx1"/>
            </w14:solidFill>
          </w14:textFill>
        </w:rPr>
        <w:t>，深入推进校企双方供需对接、资源共享、责任</w:t>
      </w:r>
      <w:r>
        <w:rPr>
          <w:rFonts w:hint="eastAsia" w:ascii="仿宋_GB2312" w:hAnsi="宋体" w:eastAsia="仿宋_GB2312" w:cs="Arial"/>
          <w:color w:val="000000" w:themeColor="text1"/>
          <w:kern w:val="0"/>
          <w:sz w:val="32"/>
          <w:szCs w:val="32"/>
          <w14:textFill>
            <w14:solidFill>
              <w14:schemeClr w14:val="tx1"/>
            </w14:solidFill>
          </w14:textFill>
        </w:rPr>
        <w:t>共担、互利共赢。</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146" w:name="_Toc2348"/>
      <w:bookmarkStart w:id="147" w:name="_Toc19969"/>
      <w:bookmarkStart w:id="148" w:name="_Toc9427"/>
      <w:bookmarkStart w:id="149" w:name="_Toc27663"/>
      <w:bookmarkStart w:id="150" w:name="_Toc16645"/>
      <w:bookmarkStart w:id="151" w:name="_Toc27418"/>
      <w:bookmarkStart w:id="152" w:name="_Toc24547"/>
      <w:bookmarkStart w:id="153" w:name="_Toc19561"/>
      <w:bookmarkStart w:id="154" w:name="_Toc8428"/>
      <w:bookmarkStart w:id="155" w:name="_Toc1962"/>
      <w:bookmarkStart w:id="156" w:name="_Toc11563"/>
      <w:r>
        <w:rPr>
          <w:rFonts w:ascii="Times New Roman" w:hAnsi="Times New Roman" w:eastAsia="黑体" w:cs="Times New Roman"/>
          <w:color w:val="000000" w:themeColor="text1"/>
          <w:sz w:val="32"/>
          <w:szCs w:val="32"/>
          <w14:textFill>
            <w14:solidFill>
              <w14:schemeClr w14:val="tx1"/>
            </w14:solidFill>
          </w14:textFill>
        </w:rPr>
        <w:t>5.社会贡献</w:t>
      </w:r>
      <w:bookmarkEnd w:id="146"/>
      <w:bookmarkEnd w:id="147"/>
      <w:bookmarkEnd w:id="148"/>
      <w:bookmarkEnd w:id="149"/>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57" w:name="_Toc9694"/>
      <w:bookmarkStart w:id="158" w:name="_Toc30566"/>
      <w:bookmarkStart w:id="159" w:name="_Toc25642"/>
      <w:bookmarkStart w:id="160" w:name="_Toc6049"/>
      <w:bookmarkStart w:id="161" w:name="_Toc20322"/>
      <w:r>
        <w:rPr>
          <w:rFonts w:ascii="Times New Roman" w:hAnsi="Times New Roman" w:eastAsia="仿宋_GB2312" w:cs="Times New Roman"/>
          <w:b/>
          <w:bCs/>
          <w:color w:val="000000" w:themeColor="text1"/>
          <w:sz w:val="32"/>
          <w:szCs w:val="32"/>
          <w14:textFill>
            <w14:solidFill>
              <w14:schemeClr w14:val="tx1"/>
            </w14:solidFill>
          </w14:textFill>
        </w:rPr>
        <w:t>5.1技术技能人才培养</w:t>
      </w:r>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一是全日制人才培养再结硕果。</w:t>
      </w:r>
      <w:r>
        <w:rPr>
          <w:rFonts w:hint="eastAsia" w:ascii="仿宋_GB2312" w:hAnsi="微软雅黑" w:eastAsia="仿宋_GB2312"/>
          <w:color w:val="000000" w:themeColor="text1"/>
          <w:sz w:val="32"/>
          <w:szCs w:val="32"/>
          <w:lang w:val="en-US" w:eastAsia="zh-CN"/>
          <w14:textFill>
            <w14:solidFill>
              <w14:schemeClr w14:val="tx1"/>
            </w14:solidFill>
          </w14:textFill>
        </w:rPr>
        <w:t>继续深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化中本一体化、中高职一体化办学，招收3+4汽车运用与维修专业学生37人、招收3+2国际贸易实务专业学生45人、3+2会计专业学生43人、3+2汽车技术服务与营销专业学生39人。坚持就业导向，把就业质量作为检验人才培养质量、衡量服务地方经济和行业发展贡献度、办人民满意职业教育的重要指标，不断拓展就业渠道、完善就业服务平台，毕业生基础扎实、技能精湛，深受用人单位欢迎，毕业生就业率99.1%，用人单位满意度99.92%。</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二是社会培训业务企稳向好。</w:t>
      </w:r>
      <w:r>
        <w:rPr>
          <w:rFonts w:hint="eastAsia" w:ascii="仿宋_GB2312" w:hAnsi="微软雅黑" w:eastAsia="仿宋_GB2312"/>
          <w:color w:val="000000" w:themeColor="text1"/>
          <w:sz w:val="32"/>
          <w:szCs w:val="32"/>
          <w:lang w:val="en-US" w:eastAsia="zh-CN"/>
          <w14:textFill>
            <w14:solidFill>
              <w14:schemeClr w14:val="tx1"/>
            </w14:solidFill>
          </w14:textFill>
        </w:rPr>
        <w:t>紧贴交通运输行业和地方经济发展需要，大力开展职业技能培训和技能鉴定服务，积极推行互联网+职业技能培训、企业自主评价和项目制培训，在上半年疫情暂停线下培训的情况下，依然完成全年社会培训目标任务，国内疫情得到有效控制后，日常社会培训服务逐步恢复并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2019年同</w:t>
      </w:r>
      <w:r>
        <w:rPr>
          <w:rFonts w:hint="eastAsia" w:ascii="仿宋_GB2312" w:hAnsi="微软雅黑" w:eastAsia="仿宋_GB2312"/>
          <w:color w:val="000000" w:themeColor="text1"/>
          <w:sz w:val="32"/>
          <w:szCs w:val="32"/>
          <w:lang w:val="en-US" w:eastAsia="zh-CN"/>
          <w14:textFill>
            <w14:solidFill>
              <w14:schemeClr w14:val="tx1"/>
            </w14:solidFill>
          </w14:textFill>
        </w:rPr>
        <w:t>期水平。</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162" w:name="_Toc18137"/>
      <w:bookmarkStart w:id="163" w:name="_Toc9480"/>
      <w:bookmarkStart w:id="164" w:name="_Toc3885"/>
      <w:bookmarkStart w:id="165" w:name="_Toc15743"/>
      <w:bookmarkStart w:id="166" w:name="_Toc24006"/>
      <w:r>
        <w:rPr>
          <w:rFonts w:hint="eastAsia" w:ascii="仿宋_GB2312" w:hAnsi="Times New Roman" w:eastAsia="仿宋_GB2312"/>
          <w:b/>
          <w:bCs/>
          <w:color w:val="000000" w:themeColor="text1"/>
          <w:sz w:val="32"/>
          <w:szCs w:val="32"/>
          <w:lang w:val="en-US" w:eastAsia="zh-CN"/>
          <w14:textFill>
            <w14:solidFill>
              <w14:schemeClr w14:val="tx1"/>
            </w14:solidFill>
          </w14:textFill>
        </w:rPr>
        <w:t>三是职业</w:t>
      </w:r>
      <w:r>
        <w:rPr>
          <w:rFonts w:hint="eastAsia" w:ascii="仿宋_GB2312" w:hAnsi="Times New Roman" w:eastAsia="仿宋_GB2312"/>
          <w:b/>
          <w:bCs/>
          <w:color w:val="000000" w:themeColor="text1"/>
          <w:sz w:val="32"/>
          <w:szCs w:val="32"/>
          <w14:textFill>
            <w14:solidFill>
              <w14:schemeClr w14:val="tx1"/>
            </w14:solidFill>
          </w14:textFill>
        </w:rPr>
        <w:t>技能竞赛再结硕果</w:t>
      </w:r>
      <w:r>
        <w:rPr>
          <w:rFonts w:hint="eastAsia" w:ascii="仿宋_GB2312" w:hAnsi="Times New Roman" w:eastAsia="仿宋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持“以赛促学、以赛促教、以赛促改”，不断完善技能竞赛长效机制。师生参加市级及以上技能竞赛129项，获奖118项、获奖率91.5%，其中全国性一等奖4项、二等奖6项、三等奖11项，全省性一等奖13项。汽车维修、轨道车辆技术两个项目代表浙江参加经国务院批准举办的第一届全国技能大赛，分别获全国第五、六名，曾志鹏同学被授予“全国技术能手”称号。新增浙江省技术能手3人、金华市首席技师1人、技能之星3人，学院被确定为金华市劳模创新工作室。</w:t>
      </w:r>
    </w:p>
    <w:p>
      <w:pPr>
        <w:pStyle w:val="2"/>
        <w:keepNext w:val="0"/>
        <w:keepLines w:val="0"/>
        <w:pageBreakBefore w:val="0"/>
        <w:widowControl w:val="0"/>
        <w:kinsoku/>
        <w:wordWrap/>
        <w:overflowPunct/>
        <w:topLinePunct w:val="0"/>
        <w:autoSpaceDE/>
        <w:autoSpaceDN/>
        <w:bidi w:val="0"/>
        <w:adjustRightInd/>
        <w:snapToGrid/>
        <w:spacing w:before="157" w:beforeLines="50" w:after="0"/>
        <w:jc w:val="center"/>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表3 2020年学院学生参加职业技能竞赛获奖情况统计表</w:t>
      </w:r>
    </w:p>
    <w:tbl>
      <w:tblPr>
        <w:tblStyle w:val="9"/>
        <w:tblW w:w="82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2232"/>
        <w:gridCol w:w="1350"/>
        <w:gridCol w:w="1245"/>
        <w:gridCol w:w="1215"/>
        <w:gridCol w:w="1218"/>
        <w:gridCol w:w="10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514" w:hRule="atLeast"/>
          <w:jc w:val="center"/>
        </w:trPr>
        <w:tc>
          <w:tcPr>
            <w:tcW w:w="2232" w:type="dxa"/>
            <w:tcBorders>
              <w:tl2br w:val="single" w:color="000000" w:sz="8"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 xml:space="preserve">            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类别</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一等奖</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二等奖</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三等奖</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优秀奖</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国家一类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国家二类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国家三类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省一类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省二类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省三类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市一类</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360" w:hRule="atLeast"/>
          <w:jc w:val="center"/>
        </w:trPr>
        <w:tc>
          <w:tcPr>
            <w:tcW w:w="2232" w:type="dxa"/>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合计</w:t>
            </w:r>
          </w:p>
        </w:tc>
        <w:tc>
          <w:tcPr>
            <w:tcW w:w="1350"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26</w:t>
            </w:r>
          </w:p>
        </w:tc>
        <w:tc>
          <w:tcPr>
            <w:tcW w:w="124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16</w:t>
            </w:r>
          </w:p>
        </w:tc>
        <w:tc>
          <w:tcPr>
            <w:tcW w:w="121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28</w:t>
            </w:r>
          </w:p>
        </w:tc>
        <w:tc>
          <w:tcPr>
            <w:tcW w:w="1218"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9</w:t>
            </w:r>
          </w:p>
        </w:tc>
        <w:tc>
          <w:tcPr>
            <w:tcW w:w="1005" w:type="dxa"/>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79</w:t>
            </w:r>
          </w:p>
        </w:tc>
      </w:tr>
    </w:tbl>
    <w:p>
      <w:pPr>
        <w:pStyle w:val="2"/>
        <w:keepNext w:val="0"/>
        <w:keepLines w:val="0"/>
        <w:pageBreakBefore w:val="0"/>
        <w:widowControl w:val="0"/>
        <w:kinsoku/>
        <w:wordWrap/>
        <w:overflowPunct/>
        <w:topLinePunct w:val="0"/>
        <w:autoSpaceDE/>
        <w:autoSpaceDN/>
        <w:bidi w:val="0"/>
        <w:adjustRightInd/>
        <w:snapToGrid/>
        <w:spacing w:before="313" w:beforeLines="100" w:after="0"/>
        <w:jc w:val="center"/>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表4 2020年学院教师参加职业技能竞赛获奖情况统计表</w:t>
      </w:r>
    </w:p>
    <w:tbl>
      <w:tblPr>
        <w:tblStyle w:val="9"/>
        <w:tblW w:w="8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17"/>
        <w:gridCol w:w="1380"/>
        <w:gridCol w:w="1230"/>
        <w:gridCol w:w="1215"/>
        <w:gridCol w:w="123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05" w:hRule="atLeast"/>
          <w:jc w:val="center"/>
        </w:trPr>
        <w:tc>
          <w:tcPr>
            <w:tcW w:w="2217" w:type="dxa"/>
            <w:tcBorders>
              <w:top w:val="single" w:color="000000" w:sz="8" w:space="0"/>
              <w:left w:val="single" w:color="000000" w:sz="8" w:space="0"/>
              <w:bottom w:val="single" w:color="000000" w:sz="8" w:space="0"/>
              <w:right w:val="single" w:color="000000" w:sz="8" w:space="0"/>
              <w:tl2br w:val="single" w:color="000000" w:sz="8"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 xml:space="preserve">         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241" w:firstLineChars="100"/>
              <w:jc w:val="both"/>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类别</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一等奖</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二等奖</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三等奖</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优秀奖</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国家一类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国家二类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国家三类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省一类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省二类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省三类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市一类</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1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合计</w:t>
            </w:r>
          </w:p>
        </w:tc>
        <w:tc>
          <w:tcPr>
            <w:tcW w:w="138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4</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10</w:t>
            </w:r>
          </w:p>
        </w:tc>
        <w:tc>
          <w:tcPr>
            <w:tcW w:w="1215"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15</w:t>
            </w:r>
          </w:p>
        </w:tc>
        <w:tc>
          <w:tcPr>
            <w:tcW w:w="123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10</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39</w:t>
            </w:r>
          </w:p>
        </w:tc>
      </w:tr>
    </w:tbl>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5.2社会服务</w:t>
      </w:r>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充分利用师资和实训设施设备资源，主动为行业企业提供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技能</w:t>
      </w:r>
      <w:r>
        <w:rPr>
          <w:rFonts w:hint="eastAsia" w:ascii="Times New Roman" w:hAnsi="Times New Roman" w:eastAsia="仿宋_GB2312" w:cs="Times New Roman"/>
          <w:color w:val="000000" w:themeColor="text1"/>
          <w:sz w:val="32"/>
          <w:szCs w:val="32"/>
          <w14:textFill>
            <w14:solidFill>
              <w14:schemeClr w14:val="tx1"/>
            </w14:solidFill>
          </w14:textFill>
        </w:rPr>
        <w:t>培训、技能鉴定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认定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、技术支持和技术服务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一是扎实做好社会培训（鉴定）工作。</w:t>
      </w:r>
      <w:r>
        <w:rPr>
          <w:rFonts w:hint="eastAsia" w:ascii="Times New Roman" w:hAnsi="Times New Roman" w:eastAsia="仿宋_GB2312"/>
          <w:color w:val="000000" w:themeColor="text1"/>
          <w:sz w:val="32"/>
          <w:szCs w:val="32"/>
          <w14:textFill>
            <w14:solidFill>
              <w14:schemeClr w14:val="tx1"/>
            </w14:solidFill>
          </w14:textFill>
        </w:rPr>
        <w:t>发挥全国首批示范职业技能鉴定所功能，进一步扩大服务范围，学院被确定为全省技工院校职业技能等级认定试点院校，认定工种达到24个，生产咨询服务项目达到18个。完成15场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涉及</w:t>
      </w:r>
      <w:r>
        <w:rPr>
          <w:rFonts w:hint="eastAsia" w:ascii="Times New Roman" w:hAnsi="Times New Roman" w:eastAsia="仿宋_GB2312"/>
          <w:color w:val="000000" w:themeColor="text1"/>
          <w:sz w:val="32"/>
          <w:szCs w:val="32"/>
          <w14:textFill>
            <w14:solidFill>
              <w14:schemeClr w14:val="tx1"/>
            </w14:solidFill>
          </w14:textFill>
        </w:rPr>
        <w:t>12个工种共619名学生职业技能工种认定。</w:t>
      </w:r>
      <w:r>
        <w:rPr>
          <w:rFonts w:hint="eastAsia" w:ascii="仿宋_GB2312" w:hAnsi="仿宋_GB2312" w:eastAsia="仿宋_GB2312"/>
          <w:color w:val="000000" w:themeColor="text1"/>
          <w:sz w:val="32"/>
          <w14:textFill>
            <w14:solidFill>
              <w14:schemeClr w14:val="tx1"/>
            </w14:solidFill>
          </w14:textFill>
        </w:rPr>
        <w:t>紧贴交通运输行业和地方经济发展需要，大力开展职业技能培</w:t>
      </w:r>
      <w:r>
        <w:rPr>
          <w:rFonts w:hint="eastAsia" w:ascii="Times New Roman" w:hAnsi="Times New Roman" w:eastAsia="仿宋_GB2312"/>
          <w:color w:val="000000" w:themeColor="text1"/>
          <w:sz w:val="32"/>
          <w:szCs w:val="32"/>
          <w14:textFill>
            <w14:solidFill>
              <w14:schemeClr w14:val="tx1"/>
            </w14:solidFill>
          </w14:textFill>
        </w:rPr>
        <w:t>训和技能鉴定服务，积极推行互联网+职业技能培训、企业自主评价和项目制培训，在上半年</w:t>
      </w:r>
      <w:r>
        <w:rPr>
          <w:rFonts w:hint="eastAsia" w:ascii="Times New Roman" w:hAnsi="Times New Roman" w:eastAsia="仿宋_GB2312"/>
          <w:color w:val="000000" w:themeColor="text1"/>
          <w:sz w:val="32"/>
          <w:szCs w:val="32"/>
          <w:lang w:val="en-US" w:eastAsia="zh-CN"/>
          <w14:textFill>
            <w14:solidFill>
              <w14:schemeClr w14:val="tx1"/>
            </w14:solidFill>
          </w14:textFill>
        </w:rPr>
        <w:t>因</w:t>
      </w:r>
      <w:r>
        <w:rPr>
          <w:rFonts w:hint="eastAsia" w:ascii="Times New Roman" w:hAnsi="Times New Roman" w:eastAsia="仿宋_GB2312"/>
          <w:color w:val="000000" w:themeColor="text1"/>
          <w:sz w:val="32"/>
          <w:szCs w:val="32"/>
          <w14:textFill>
            <w14:solidFill>
              <w14:schemeClr w14:val="tx1"/>
            </w14:solidFill>
          </w14:textFill>
        </w:rPr>
        <w:t>疫情</w:t>
      </w:r>
      <w:r>
        <w:rPr>
          <w:rFonts w:hint="eastAsia" w:ascii="Times New Roman" w:hAnsi="Times New Roman" w:eastAsia="仿宋_GB2312"/>
          <w:color w:val="000000" w:themeColor="text1"/>
          <w:sz w:val="32"/>
          <w:szCs w:val="32"/>
          <w:lang w:val="en-US" w:eastAsia="zh-CN"/>
          <w14:textFill>
            <w14:solidFill>
              <w14:schemeClr w14:val="tx1"/>
            </w14:solidFill>
          </w14:textFill>
        </w:rPr>
        <w:t>影响</w:t>
      </w:r>
      <w:r>
        <w:rPr>
          <w:rFonts w:hint="eastAsia" w:ascii="Times New Roman" w:hAnsi="Times New Roman" w:eastAsia="仿宋_GB2312"/>
          <w:color w:val="000000" w:themeColor="text1"/>
          <w:sz w:val="32"/>
          <w:szCs w:val="32"/>
          <w14:textFill>
            <w14:solidFill>
              <w14:schemeClr w14:val="tx1"/>
            </w14:solidFill>
          </w14:textFill>
        </w:rPr>
        <w:t>暂停线下培训的情况下，依然完成社会培训8384人次、技能鉴定2200人次、驾驶培训966人。对接东部战区开展大货车驾驶员培训，为部队培训学员40人。完成703名企业新型学徒培养</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25期</w:t>
      </w:r>
      <w:r>
        <w:rPr>
          <w:rFonts w:hint="eastAsia" w:ascii="Times New Roman" w:hAnsi="Times New Roman" w:eastAsia="仿宋_GB2312"/>
          <w:color w:val="000000" w:themeColor="text1"/>
          <w:sz w:val="32"/>
          <w:szCs w:val="32"/>
          <w:lang w:val="en-US" w:eastAsia="zh-CN"/>
          <w14:textFill>
            <w14:solidFill>
              <w14:schemeClr w14:val="tx1"/>
            </w14:solidFill>
          </w14:textFill>
        </w:rPr>
        <w:t>共</w:t>
      </w:r>
      <w:r>
        <w:rPr>
          <w:rFonts w:hint="eastAsia" w:ascii="Times New Roman" w:hAnsi="Times New Roman" w:eastAsia="仿宋_GB2312"/>
          <w:color w:val="000000" w:themeColor="text1"/>
          <w:sz w:val="32"/>
          <w:szCs w:val="32"/>
          <w14:textFill>
            <w14:solidFill>
              <w14:schemeClr w14:val="tx1"/>
            </w14:solidFill>
          </w14:textFill>
        </w:rPr>
        <w:t>1460人</w:t>
      </w:r>
      <w:r>
        <w:rPr>
          <w:rFonts w:hint="eastAsia" w:ascii="Times New Roman" w:hAnsi="Times New Roman" w:eastAsia="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项目制培训。</w:t>
      </w:r>
    </w:p>
    <w:p>
      <w:pPr>
        <w:keepNext w:val="0"/>
        <w:keepLines w:val="0"/>
        <w:pageBreakBefore w:val="0"/>
        <w:widowControl w:val="0"/>
        <w:kinsoku/>
        <w:wordWrap/>
        <w:overflowPunct/>
        <w:topLinePunct w:val="0"/>
        <w:autoSpaceDE/>
        <w:autoSpaceDN/>
        <w:bidi w:val="0"/>
        <w:adjustRightInd/>
        <w:snapToGrid/>
        <w:spacing w:line="620" w:lineRule="exact"/>
        <w:ind w:firstLine="601"/>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二是积极提供各类技术服务。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发挥技能人才培养和专业技术资源优势，积极为行业企业提供技术支持和技术服务。承办、协办上级主管部门、行业协会和地方有关部门委托的技能竞赛14场，办赛数量创学院历史新高。教职工参与技术研究和技术攻关，取得国家专利12项。开展生产、咨询服务，联合人社部门开展下企业送服务，为企业设计零部件，全年供给服务企业20余家。</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教职工申报立项省级以上课题5项，完成省级课题结题7项，主、参编教材22本，公开发表论文120篇，取得国家专利12项，获市级及以上教科研成果奖11项。圆满完成第十二届全国交通运输行业道路货运汽车驾驶员职业技能大赛全国总决赛的协办任务，承担大赛浙江省参赛代表队的训练任务，创造我省在该赛项的最好成绩，相关工作得到大赛组委会、部职业资格中心和省厅的充分肯定。</w:t>
      </w:r>
    </w:p>
    <w:p>
      <w:pPr>
        <w:pStyle w:val="2"/>
        <w:keepNext w:val="0"/>
        <w:keepLines w:val="0"/>
        <w:pageBreakBefore w:val="0"/>
        <w:widowControl w:val="0"/>
        <w:kinsoku/>
        <w:wordWrap/>
        <w:overflowPunct/>
        <w:topLinePunct w:val="0"/>
        <w:autoSpaceDE/>
        <w:autoSpaceDN/>
        <w:bidi w:val="0"/>
        <w:adjustRightInd/>
        <w:snapToGrid/>
        <w:spacing w:before="157" w:beforeLines="50" w:after="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表5 2020年学院承办市级及以上技能竞赛情况统计表</w:t>
      </w:r>
    </w:p>
    <w:tbl>
      <w:tblPr>
        <w:tblStyle w:val="9"/>
        <w:tblW w:w="8193" w:type="dxa"/>
        <w:jc w:val="center"/>
        <w:shd w:val="clear" w:color="auto" w:fill="auto"/>
        <w:tblLayout w:type="autofit"/>
        <w:tblCellMar>
          <w:top w:w="0" w:type="dxa"/>
          <w:left w:w="0" w:type="dxa"/>
          <w:bottom w:w="0" w:type="dxa"/>
          <w:right w:w="0" w:type="dxa"/>
        </w:tblCellMar>
      </w:tblPr>
      <w:tblGrid>
        <w:gridCol w:w="1728"/>
        <w:gridCol w:w="6465"/>
      </w:tblGrid>
      <w:tr>
        <w:tblPrEx>
          <w:shd w:val="clear" w:color="auto" w:fill="auto"/>
          <w:tblCellMar>
            <w:top w:w="0" w:type="dxa"/>
            <w:left w:w="0" w:type="dxa"/>
            <w:bottom w:w="0" w:type="dxa"/>
            <w:right w:w="0" w:type="dxa"/>
          </w:tblCellMar>
        </w:tblPrEx>
        <w:trPr>
          <w:trHeight w:val="38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themeColor="text1"/>
                <w:sz w:val="24"/>
                <w:szCs w:val="24"/>
                <w:u w:val="none"/>
                <w14:textFill>
                  <w14:solidFill>
                    <w14:schemeClr w14:val="tx1"/>
                  </w14:solidFill>
                </w14:textFill>
              </w:rPr>
            </w:pPr>
            <w:r>
              <w:rPr>
                <w:rFonts w:hint="eastAsia" w:ascii="仿宋_GB2312" w:hAnsi="仿宋_GB2312" w:eastAsia="仿宋_GB2312" w:cs="仿宋_GB2312"/>
                <w:b/>
                <w:i w:val="0"/>
                <w:color w:val="000000" w:themeColor="text1"/>
                <w:kern w:val="0"/>
                <w:sz w:val="24"/>
                <w:szCs w:val="24"/>
                <w:u w:val="none"/>
                <w:lang w:val="en-US" w:eastAsia="zh-CN" w:bidi="ar"/>
                <w14:textFill>
                  <w14:solidFill>
                    <w14:schemeClr w14:val="tx1"/>
                  </w14:solidFill>
                </w14:textFill>
              </w:rPr>
              <w:t>日期</w:t>
            </w:r>
          </w:p>
        </w:tc>
        <w:tc>
          <w:tcPr>
            <w:tcW w:w="64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themeColor="text1"/>
                <w:sz w:val="24"/>
                <w:szCs w:val="24"/>
                <w:u w:val="none"/>
                <w14:textFill>
                  <w14:solidFill>
                    <w14:schemeClr w14:val="tx1"/>
                  </w14:solidFill>
                </w14:textFill>
              </w:rPr>
            </w:pPr>
            <w:r>
              <w:rPr>
                <w:rFonts w:hint="eastAsia" w:ascii="仿宋_GB2312" w:hAnsi="仿宋_GB2312" w:eastAsia="仿宋_GB2312" w:cs="仿宋_GB2312"/>
                <w:b/>
                <w:i w:val="0"/>
                <w:color w:val="000000" w:themeColor="text1"/>
                <w:kern w:val="0"/>
                <w:sz w:val="24"/>
                <w:szCs w:val="24"/>
                <w:u w:val="none"/>
                <w:lang w:val="en-US" w:eastAsia="zh-CN" w:bidi="ar"/>
                <w14:textFill>
                  <w14:solidFill>
                    <w14:schemeClr w14:val="tx1"/>
                  </w14:solidFill>
                </w14:textFill>
              </w:rPr>
              <w:t>承办竞赛项目</w:t>
            </w:r>
          </w:p>
        </w:tc>
      </w:tr>
      <w:tr>
        <w:tblPrEx>
          <w:shd w:val="clear" w:color="auto" w:fill="auto"/>
          <w:tblCellMar>
            <w:top w:w="0" w:type="dxa"/>
            <w:left w:w="0" w:type="dxa"/>
            <w:bottom w:w="0" w:type="dxa"/>
            <w:right w:w="0" w:type="dxa"/>
          </w:tblCellMar>
        </w:tblPrEx>
        <w:trPr>
          <w:trHeight w:val="33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1月3日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2020年金华市中职学校职业能力大赛</w:t>
            </w:r>
          </w:p>
        </w:tc>
      </w:tr>
      <w:tr>
        <w:tblPrEx>
          <w:shd w:val="clear" w:color="auto" w:fill="auto"/>
          <w:tblCellMar>
            <w:top w:w="0" w:type="dxa"/>
            <w:left w:w="0" w:type="dxa"/>
            <w:bottom w:w="0" w:type="dxa"/>
            <w:right w:w="0" w:type="dxa"/>
          </w:tblCellMar>
        </w:tblPrEx>
        <w:trPr>
          <w:trHeight w:val="377"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9月25-30日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金东区第三届“人才双创 技能蓝领”大赛汽车维修赛项</w:t>
            </w:r>
          </w:p>
        </w:tc>
      </w:tr>
      <w:tr>
        <w:tblPrEx>
          <w:shd w:val="clear" w:color="auto" w:fill="auto"/>
          <w:tblCellMar>
            <w:top w:w="0" w:type="dxa"/>
            <w:left w:w="0" w:type="dxa"/>
            <w:bottom w:w="0" w:type="dxa"/>
            <w:right w:w="0" w:type="dxa"/>
          </w:tblCellMar>
        </w:tblPrEx>
        <w:trPr>
          <w:trHeight w:val="38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Style w:val="22"/>
                <w:rFonts w:hint="eastAsia" w:ascii="仿宋_GB2312" w:hAnsi="仿宋_GB2312" w:eastAsia="仿宋_GB2312" w:cs="仿宋_GB2312"/>
                <w:color w:val="000000" w:themeColor="text1"/>
                <w:sz w:val="24"/>
                <w:szCs w:val="24"/>
                <w:lang w:val="en-US" w:eastAsia="zh-CN" w:bidi="ar"/>
                <w14:textFill>
                  <w14:solidFill>
                    <w14:schemeClr w14:val="tx1"/>
                  </w14:solidFill>
                </w14:textFill>
              </w:rPr>
              <w:t>9</w:t>
            </w: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月</w:t>
            </w:r>
            <w:r>
              <w:rPr>
                <w:rStyle w:val="22"/>
                <w:rFonts w:hint="eastAsia" w:ascii="仿宋_GB2312" w:hAnsi="仿宋_GB2312" w:eastAsia="仿宋_GB2312" w:cs="仿宋_GB2312"/>
                <w:color w:val="000000" w:themeColor="text1"/>
                <w:sz w:val="24"/>
                <w:szCs w:val="24"/>
                <w:lang w:val="en-US" w:eastAsia="zh-CN" w:bidi="ar"/>
                <w14:textFill>
                  <w14:solidFill>
                    <w14:schemeClr w14:val="tx1"/>
                  </w14:solidFill>
                </w14:textFill>
              </w:rPr>
              <w:t>28</w:t>
            </w: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第一届全国技能大赛汽车维修项目浙江省选拔赛</w:t>
            </w:r>
          </w:p>
        </w:tc>
      </w:tr>
      <w:tr>
        <w:tblPrEx>
          <w:shd w:val="clear" w:color="auto" w:fill="auto"/>
          <w:tblCellMar>
            <w:top w:w="0" w:type="dxa"/>
            <w:left w:w="0" w:type="dxa"/>
            <w:bottom w:w="0" w:type="dxa"/>
            <w:right w:w="0" w:type="dxa"/>
          </w:tblCellMar>
        </w:tblPrEx>
        <w:trPr>
          <w:trHeight w:val="26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10月30日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2020年金华市中职学校职业能力大赛（教师技能类）“汽车维修工”项目比赛</w:t>
            </w:r>
          </w:p>
        </w:tc>
      </w:tr>
      <w:tr>
        <w:tblPrEx>
          <w:shd w:val="clear" w:color="auto" w:fill="auto"/>
          <w:tblCellMar>
            <w:top w:w="0" w:type="dxa"/>
            <w:left w:w="0" w:type="dxa"/>
            <w:bottom w:w="0" w:type="dxa"/>
            <w:right w:w="0" w:type="dxa"/>
          </w:tblCellMar>
        </w:tblPrEx>
        <w:trPr>
          <w:trHeight w:val="34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1月</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承办全国中职学生技能竞赛金华市选拔赛钣金项目</w:t>
            </w:r>
          </w:p>
        </w:tc>
      </w:tr>
      <w:tr>
        <w:tblPrEx>
          <w:shd w:val="clear" w:color="auto" w:fill="auto"/>
          <w:tblCellMar>
            <w:top w:w="0" w:type="dxa"/>
            <w:left w:w="0" w:type="dxa"/>
            <w:bottom w:w="0" w:type="dxa"/>
            <w:right w:w="0" w:type="dxa"/>
          </w:tblCellMar>
        </w:tblPrEx>
        <w:trPr>
          <w:trHeight w:val="39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1月</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承办全国中职学生技能竞赛金华市选拔赛涂装项目</w:t>
            </w:r>
          </w:p>
        </w:tc>
      </w:tr>
      <w:tr>
        <w:tblPrEx>
          <w:tblCellMar>
            <w:top w:w="0" w:type="dxa"/>
            <w:left w:w="0" w:type="dxa"/>
            <w:bottom w:w="0" w:type="dxa"/>
            <w:right w:w="0" w:type="dxa"/>
          </w:tblCellMar>
        </w:tblPrEx>
        <w:trPr>
          <w:trHeight w:val="28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1月</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承办全国中职学生技能竞赛金华市选拔赛汽车营销项目</w:t>
            </w:r>
          </w:p>
        </w:tc>
      </w:tr>
      <w:tr>
        <w:tblPrEx>
          <w:tblCellMar>
            <w:top w:w="0" w:type="dxa"/>
            <w:left w:w="0" w:type="dxa"/>
            <w:bottom w:w="0" w:type="dxa"/>
            <w:right w:w="0" w:type="dxa"/>
          </w:tblCellMar>
        </w:tblPrEx>
        <w:trPr>
          <w:trHeight w:val="28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10月7-8日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中华人民共和国第一届职业技能大赛轨道车辆技术项目浙江省选拔赛</w:t>
            </w:r>
          </w:p>
        </w:tc>
      </w:tr>
      <w:tr>
        <w:tblPrEx>
          <w:tblCellMar>
            <w:top w:w="0" w:type="dxa"/>
            <w:left w:w="0" w:type="dxa"/>
            <w:bottom w:w="0" w:type="dxa"/>
            <w:right w:w="0" w:type="dxa"/>
          </w:tblCellMar>
        </w:tblPrEx>
        <w:trPr>
          <w:trHeight w:val="59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10月18日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 年金华市（金东区）第三届“人才双创 技能蓝领”技能比武系列大赛制图员赛项</w:t>
            </w:r>
          </w:p>
        </w:tc>
      </w:tr>
      <w:tr>
        <w:tblPrEx>
          <w:shd w:val="clear" w:color="auto" w:fill="auto"/>
          <w:tblCellMar>
            <w:top w:w="0" w:type="dxa"/>
            <w:left w:w="0" w:type="dxa"/>
            <w:bottom w:w="0" w:type="dxa"/>
            <w:right w:w="0" w:type="dxa"/>
          </w:tblCellMar>
        </w:tblPrEx>
        <w:trPr>
          <w:trHeight w:val="56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10月18日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 年金华市（金东区）第三届“人才双创 技能蓝领”技能比武系列大赛电工赛项</w:t>
            </w:r>
          </w:p>
        </w:tc>
      </w:tr>
      <w:tr>
        <w:tblPrEx>
          <w:tblCellMar>
            <w:top w:w="0" w:type="dxa"/>
            <w:left w:w="0" w:type="dxa"/>
            <w:bottom w:w="0" w:type="dxa"/>
            <w:right w:w="0" w:type="dxa"/>
          </w:tblCellMar>
        </w:tblPrEx>
        <w:trPr>
          <w:trHeight w:val="63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10月14-16日</w:t>
            </w:r>
          </w:p>
        </w:tc>
        <w:tc>
          <w:tcPr>
            <w:tcW w:w="6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2020年全国道路货运汽车驾驶员职业技能大赛浙江赛区选拔赛暨“重汽豪沃杯”全省货运汽车驾驶员职业技能竞赛</w:t>
            </w:r>
          </w:p>
        </w:tc>
      </w:tr>
      <w:tr>
        <w:tblPrEx>
          <w:tblCellMar>
            <w:top w:w="0" w:type="dxa"/>
            <w:left w:w="0" w:type="dxa"/>
            <w:bottom w:w="0" w:type="dxa"/>
            <w:right w:w="0" w:type="dxa"/>
          </w:tblCellMar>
        </w:tblPrEx>
        <w:trPr>
          <w:trHeight w:val="66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11月9-14日</w:t>
            </w:r>
          </w:p>
        </w:tc>
        <w:tc>
          <w:tcPr>
            <w:tcW w:w="6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2020年全国行业职业技能竞赛--第十二届全国交通运输行业“中交兴路杯”道路货运汽车驾驶员职业技能大赛全国总决赛</w:t>
            </w:r>
          </w:p>
        </w:tc>
      </w:tr>
      <w:tr>
        <w:tblPrEx>
          <w:shd w:val="clear" w:color="auto" w:fill="auto"/>
          <w:tblCellMar>
            <w:top w:w="0" w:type="dxa"/>
            <w:left w:w="0" w:type="dxa"/>
            <w:bottom w:w="0" w:type="dxa"/>
            <w:right w:w="0" w:type="dxa"/>
          </w:tblCellMar>
        </w:tblPrEx>
        <w:trPr>
          <w:trHeight w:val="38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10月23-24日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金华市电业局驾驶员技能比赛</w:t>
            </w:r>
          </w:p>
        </w:tc>
      </w:tr>
      <w:tr>
        <w:tblPrEx>
          <w:tblCellMar>
            <w:top w:w="0" w:type="dxa"/>
            <w:left w:w="0" w:type="dxa"/>
            <w:bottom w:w="0" w:type="dxa"/>
            <w:right w:w="0" w:type="dxa"/>
          </w:tblCellMar>
        </w:tblPrEx>
        <w:trPr>
          <w:trHeight w:val="39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10月13-14日</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金华市道路运输管理中心执法比赛</w:t>
            </w:r>
          </w:p>
        </w:tc>
      </w:tr>
    </w:tbl>
    <w:p>
      <w:pPr>
        <w:keepNext w:val="0"/>
        <w:keepLines w:val="0"/>
        <w:pageBreakBefore w:val="0"/>
        <w:widowControl w:val="0"/>
        <w:kinsoku/>
        <w:wordWrap/>
        <w:overflowPunct/>
        <w:topLinePunct w:val="0"/>
        <w:autoSpaceDE/>
        <w:autoSpaceDN/>
        <w:bidi w:val="0"/>
        <w:adjustRightInd/>
        <w:snapToGrid/>
        <w:spacing w:line="630" w:lineRule="exact"/>
        <w:ind w:firstLine="600"/>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三是努力做好优秀文化传承。</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加强校园文化凝炼和系统架构，初步完成校园文化体系顶层设计。实施校园文化提升工程，制定并有效落实学院《园文化建设2020年度工作计划》，围绕立德树人，架构工匠文化、社团文化、系部文化、师德文化、清廉文化“五维”文化体系，持续完善校内文化氛围布置，在做好疫情防控的情况下，积极开展文化艺术节、社团文化节、一月一台戏等形式多样的文化活动，文化育人氛围更加浓厚。依托学生核心素养提升和“多彩系部·魅力校园”文化品牌建设，将传统文化融入日常教育教学，以“诗”致雅，以“书”致善，以“礼”致序，以“乐”致和，赋予传统文化育人新内涵，《探索构建“3+X+Y”传统文化育人新模式》入选全省中职教育典型案例。</w:t>
      </w:r>
    </w:p>
    <w:p>
      <w:pPr>
        <w:keepNext w:val="0"/>
        <w:keepLines w:val="0"/>
        <w:pageBreakBefore w:val="0"/>
        <w:widowControl w:val="0"/>
        <w:kinsoku/>
        <w:wordWrap/>
        <w:overflowPunct/>
        <w:topLinePunct w:val="0"/>
        <w:autoSpaceDE/>
        <w:autoSpaceDN/>
        <w:bidi w:val="0"/>
        <w:adjustRightInd/>
        <w:snapToGrid/>
        <w:spacing w:line="630" w:lineRule="exact"/>
        <w:ind w:firstLine="601"/>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67" w:name="_Toc14194"/>
      <w:bookmarkStart w:id="168" w:name="_Toc1324"/>
      <w:bookmarkStart w:id="169" w:name="_Toc31168"/>
      <w:bookmarkStart w:id="170" w:name="_Toc25137"/>
      <w:bookmarkStart w:id="171" w:name="_Toc7542"/>
      <w:r>
        <w:rPr>
          <w:rFonts w:ascii="Times New Roman" w:hAnsi="Times New Roman" w:eastAsia="仿宋_GB2312" w:cs="Times New Roman"/>
          <w:b/>
          <w:bCs/>
          <w:color w:val="000000" w:themeColor="text1"/>
          <w:sz w:val="32"/>
          <w:szCs w:val="32"/>
          <w14:textFill>
            <w14:solidFill>
              <w14:schemeClr w14:val="tx1"/>
            </w14:solidFill>
          </w14:textFill>
        </w:rPr>
        <w:t>5.3对口支援</w:t>
      </w:r>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ascii="仿宋_GB2312" w:hAnsi="微软雅黑"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推进东西部扶贫协作，与云南德宏州梁河县薄弱学校合作，招收第三批“云南班”学员42人。</w:t>
      </w:r>
      <w:r>
        <w:rPr>
          <w:rFonts w:hint="eastAsia" w:ascii="Times New Roman" w:hAnsi="Times New Roman" w:eastAsia="仿宋_GB2312"/>
          <w:color w:val="000000" w:themeColor="text1"/>
          <w:sz w:val="32"/>
          <w:szCs w:val="32"/>
          <w:lang w:val="en-US" w:eastAsia="zh-CN"/>
          <w14:textFill>
            <w14:solidFill>
              <w14:schemeClr w14:val="tx1"/>
            </w14:solidFill>
          </w14:textFill>
        </w:rPr>
        <w:t>落实结对帮扶要求，采购丽水庆元农副产品5万元。落实省交通运输厅精准扶贫工作要求，为庆元9家交通维修企业开展安全评价服务。与金东区澧浦镇里新村签订文明结对协议，利用学院在文化、人才、信息、资金和文明创建等方面的优势，帮助结对村培养新型农民、培育文明乡风。结对支援7所薄弱职业学校，主动为对口学校提供教育帮扶、师资培训、专业建设指导等帮助。</w:t>
      </w:r>
    </w:p>
    <w:p>
      <w:pPr>
        <w:keepNext w:val="0"/>
        <w:keepLines w:val="0"/>
        <w:pageBreakBefore w:val="0"/>
        <w:widowControl w:val="0"/>
        <w:kinsoku/>
        <w:wordWrap/>
        <w:overflowPunct/>
        <w:topLinePunct w:val="0"/>
        <w:autoSpaceDE/>
        <w:autoSpaceDN/>
        <w:bidi w:val="0"/>
        <w:adjustRightInd/>
        <w:snapToGrid/>
        <w:spacing w:line="630" w:lineRule="exact"/>
        <w:ind w:firstLine="601"/>
        <w:textAlignment w:val="auto"/>
        <w:outlineLvl w:val="1"/>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5.4服务抗疫</w:t>
      </w:r>
    </w:p>
    <w:p>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成立防控工作领导小组和6个工作组，</w:t>
      </w:r>
      <w:r>
        <w:rPr>
          <w:rFonts w:hint="eastAsia" w:ascii="Times New Roman" w:hAnsi="Times New Roman" w:eastAsia="仿宋_GB2312"/>
          <w:color w:val="000000" w:themeColor="text1"/>
          <w:sz w:val="32"/>
          <w:szCs w:val="32"/>
          <w14:textFill>
            <w14:solidFill>
              <w14:schemeClr w14:val="tx1"/>
            </w14:solidFill>
          </w14:textFill>
        </w:rPr>
        <w:t>建立应急指挥中心和网格化管理五级责任体系，制定防控方案、制度18项，组织应急演练6次，领导干部靠前指挥，所有管理后勤人员投身抗疫一线，7名党员干部</w:t>
      </w:r>
      <w:r>
        <w:rPr>
          <w:rFonts w:hint="eastAsia" w:ascii="Times New Roman" w:hAnsi="Times New Roman" w:eastAsia="仿宋_GB2312"/>
          <w:color w:val="000000" w:themeColor="text1"/>
          <w:sz w:val="32"/>
          <w:szCs w:val="32"/>
          <w:lang w:val="en-US" w:eastAsia="zh-CN"/>
          <w14:textFill>
            <w14:solidFill>
              <w14:schemeClr w14:val="tx1"/>
            </w14:solidFill>
          </w14:textFill>
        </w:rPr>
        <w:t>参与</w:t>
      </w:r>
      <w:r>
        <w:rPr>
          <w:rFonts w:hint="eastAsia" w:ascii="Times New Roman" w:hAnsi="Times New Roman" w:eastAsia="仿宋_GB2312"/>
          <w:color w:val="000000" w:themeColor="text1"/>
          <w:sz w:val="32"/>
          <w:szCs w:val="32"/>
          <w14:textFill>
            <w14:solidFill>
              <w14:schemeClr w14:val="tx1"/>
            </w14:solidFill>
          </w14:textFill>
        </w:rPr>
        <w:t>“省级防疫专班”。</w:t>
      </w:r>
      <w:r>
        <w:rPr>
          <w:rFonts w:hint="eastAsia" w:ascii="Times New Roman" w:hAnsi="Times New Roman" w:eastAsia="仿宋_GB2312"/>
          <w:color w:val="000000" w:themeColor="text1"/>
          <w:sz w:val="32"/>
          <w:szCs w:val="32"/>
          <w:lang w:val="en-US" w:eastAsia="zh-CN"/>
          <w14:textFill>
            <w14:solidFill>
              <w14:schemeClr w14:val="tx1"/>
            </w14:solidFill>
          </w14:textFill>
        </w:rPr>
        <w:t>实行</w:t>
      </w:r>
      <w:r>
        <w:rPr>
          <w:rFonts w:hint="eastAsia" w:ascii="Times New Roman" w:hAnsi="Times New Roman" w:eastAsia="仿宋_GB2312"/>
          <w:color w:val="000000" w:themeColor="text1"/>
          <w:sz w:val="32"/>
          <w:szCs w:val="32"/>
          <w14:textFill>
            <w14:solidFill>
              <w14:schemeClr w14:val="tx1"/>
            </w14:solidFill>
          </w14:textFill>
        </w:rPr>
        <w:t>“一系一策、一班一案、一生一档”，常态化开展通风消毒、一日三检、日报告零报告，重点加强教职工和外来人员管理，</w:t>
      </w:r>
      <w:r>
        <w:rPr>
          <w:rFonts w:hint="eastAsia" w:ascii="Times New Roman" w:hAnsi="Times New Roman" w:eastAsia="仿宋_GB2312"/>
          <w:color w:val="000000" w:themeColor="text1"/>
          <w:sz w:val="32"/>
          <w:szCs w:val="32"/>
          <w:lang w:val="en-US" w:eastAsia="zh-CN"/>
          <w14:textFill>
            <w14:solidFill>
              <w14:schemeClr w14:val="tx1"/>
            </w14:solidFill>
          </w14:textFill>
        </w:rPr>
        <w:t>坚持</w:t>
      </w:r>
      <w:r>
        <w:rPr>
          <w:rFonts w:hint="eastAsia" w:ascii="Times New Roman" w:hAnsi="Times New Roman" w:eastAsia="仿宋_GB2312"/>
          <w:color w:val="000000" w:themeColor="text1"/>
          <w:sz w:val="32"/>
          <w:szCs w:val="32"/>
          <w14:textFill>
            <w14:solidFill>
              <w14:schemeClr w14:val="tx1"/>
            </w14:solidFill>
          </w14:textFill>
        </w:rPr>
        <w:t>亮码测温查行程码，做到疫情防控到边到底、无盲区、无死角。加强物资储备和服务保障，装备非接触式红外测温设备53台，采购口罩、消毒液、温度计等防疫物资1</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0余万元，发放防疫宣传资料8000余份，推出“线上超市”“快递寝室配送”等便利服务举措10余项，为师生安全度“疫”提供了坚强后盾。</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2806700</wp:posOffset>
            </wp:positionH>
            <wp:positionV relativeFrom="paragraph">
              <wp:posOffset>75565</wp:posOffset>
            </wp:positionV>
            <wp:extent cx="2513330" cy="1674495"/>
            <wp:effectExtent l="9525" t="9525" r="10795" b="11430"/>
            <wp:wrapTopAndBottom/>
            <wp:docPr id="7" name="图片 7" descr="6E3C379D5999DACA2693C1DE422_27874AF8_16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3C379D5999DACA2693C1DE422_27874AF8_16B7C"/>
                    <pic:cNvPicPr>
                      <a:picLocks noChangeAspect="1"/>
                    </pic:cNvPicPr>
                  </pic:nvPicPr>
                  <pic:blipFill>
                    <a:blip r:embed="rId9"/>
                    <a:stretch>
                      <a:fillRect/>
                    </a:stretch>
                  </pic:blipFill>
                  <pic:spPr>
                    <a:xfrm>
                      <a:off x="0" y="0"/>
                      <a:ext cx="2513330" cy="1674495"/>
                    </a:xfrm>
                    <a:prstGeom prst="rect">
                      <a:avLst/>
                    </a:prstGeom>
                    <a:ln>
                      <a:solidFill>
                        <a:schemeClr val="tx1"/>
                      </a:solidFill>
                      <a:prstDash val="sysDot"/>
                    </a:ln>
                  </pic:spPr>
                </pic:pic>
              </a:graphicData>
            </a:graphic>
          </wp:anchor>
        </w:drawing>
      </w:r>
      <w:r>
        <w:rPr>
          <w:rFonts w:hint="eastAsia" w:ascii="仿宋_GB2312" w:hAnsi="仿宋_GB2312" w:eastAsia="仿宋_GB2312" w:cs="仿宋_GB2312"/>
          <w:color w:val="000000" w:themeColor="text1"/>
          <w:sz w:val="24"/>
          <w:szCs w:val="24"/>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234950</wp:posOffset>
            </wp:positionH>
            <wp:positionV relativeFrom="paragraph">
              <wp:posOffset>85090</wp:posOffset>
            </wp:positionV>
            <wp:extent cx="2500630" cy="1665605"/>
            <wp:effectExtent l="9525" t="9525" r="23495" b="20320"/>
            <wp:wrapTopAndBottom/>
            <wp:docPr id="3" name="图片 3" descr="2B333CA68A2AD8A524EA7CF7FD3_649CA461_1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B333CA68A2AD8A524EA7CF7FD3_649CA461_19004"/>
                    <pic:cNvPicPr>
                      <a:picLocks noChangeAspect="1"/>
                    </pic:cNvPicPr>
                  </pic:nvPicPr>
                  <pic:blipFill>
                    <a:blip r:embed="rId10"/>
                    <a:stretch>
                      <a:fillRect/>
                    </a:stretch>
                  </pic:blipFill>
                  <pic:spPr>
                    <a:xfrm>
                      <a:off x="0" y="0"/>
                      <a:ext cx="2500630" cy="1665605"/>
                    </a:xfrm>
                    <a:prstGeom prst="rect">
                      <a:avLst/>
                    </a:prstGeom>
                    <a:ln>
                      <a:solidFill>
                        <a:schemeClr val="tx1"/>
                      </a:solidFill>
                      <a:prstDash val="sysDot"/>
                    </a:ln>
                  </pic:spPr>
                </pic:pic>
              </a:graphicData>
            </a:graphic>
          </wp:anchor>
        </w:drawing>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图4 刘小涛副省长亲临学院视察开学防疫工作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5月21日，刘小涛副省长亲临学院视察，对学院相关工作给予高度肯定，指出</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学院疫情防控和开学准备过程表现出色，这是学院的努力，也得益于省交通运输厅和金华市委市政府的关心；学院的办学非常有特色，师生精神状态非常好；省市相关部门对学院都非常支持，学院要好好珍惜</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172" w:name="_Toc15811"/>
      <w:bookmarkStart w:id="173" w:name="_Toc29865"/>
      <w:bookmarkStart w:id="174" w:name="_Toc18041"/>
      <w:bookmarkStart w:id="175" w:name="_Toc697"/>
      <w:bookmarkStart w:id="176" w:name="_Toc32365"/>
      <w:bookmarkStart w:id="177" w:name="_Toc26398"/>
      <w:bookmarkStart w:id="178" w:name="_Toc3274"/>
      <w:bookmarkStart w:id="179" w:name="_Toc15379"/>
      <w:bookmarkStart w:id="180" w:name="_Toc20574"/>
      <w:bookmarkStart w:id="181" w:name="_Toc24958"/>
      <w:bookmarkStart w:id="182" w:name="_Toc12312"/>
      <w:r>
        <w:rPr>
          <w:rFonts w:ascii="Times New Roman" w:hAnsi="Times New Roman" w:eastAsia="黑体" w:cs="Times New Roman"/>
          <w:color w:val="000000" w:themeColor="text1"/>
          <w:sz w:val="32"/>
          <w:szCs w:val="32"/>
          <w14:textFill>
            <w14:solidFill>
              <w14:schemeClr w14:val="tx1"/>
            </w14:solidFill>
          </w14:textFill>
        </w:rPr>
        <w:t>6.举办者履责</w:t>
      </w:r>
      <w:bookmarkEnd w:id="172"/>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83" w:name="_Toc31526"/>
      <w:bookmarkStart w:id="184" w:name="_Toc15148"/>
      <w:bookmarkStart w:id="185" w:name="_Toc16820"/>
      <w:bookmarkStart w:id="186" w:name="_Toc28724"/>
      <w:bookmarkStart w:id="187" w:name="_Toc14486"/>
      <w:r>
        <w:rPr>
          <w:rFonts w:ascii="Times New Roman" w:hAnsi="Times New Roman" w:eastAsia="仿宋_GB2312" w:cs="Times New Roman"/>
          <w:b/>
          <w:bCs/>
          <w:color w:val="000000" w:themeColor="text1"/>
          <w:sz w:val="32"/>
          <w:szCs w:val="32"/>
          <w14:textFill>
            <w14:solidFill>
              <w14:schemeClr w14:val="tx1"/>
            </w14:solidFill>
          </w14:textFill>
        </w:rPr>
        <w:t>6.1经费</w:t>
      </w:r>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学院经费来源主要为生</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均定额拨款和学生学费，以及上级项目补助经费。根据《浙江省人民政府办公厅关于加快推进技能人才队伍建设的意见》（浙政办发〔2015〕25号）文件精神，技师学院的收费标准和财政生均定额拨款标准参照高职院校执行。2020年高职学生生均定额为11180元，中职学生生均定额为8400元。2020年学院总收入15931.66万元，其中生均定额拨款8394.06万元、助学金1260.2万元、事业收入1997.05万元、项目补助1127.73万元、其他收入3106.41万元、国有资产出租收入返还46.21万元。2020年项目总投入8806.82万元，主要包括无形资产7613.01万元、房屋建筑物购建24.66万元、办公及教学专用设备1076.62万元、信息网络及软件87万元、其他资本性支出5.53万元。</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88" w:name="_Toc16391"/>
      <w:bookmarkStart w:id="189" w:name="_Toc32120"/>
      <w:bookmarkStart w:id="190" w:name="_Toc15457"/>
      <w:bookmarkStart w:id="191" w:name="_Toc3075"/>
      <w:bookmarkStart w:id="192" w:name="_Toc27423"/>
      <w:r>
        <w:rPr>
          <w:rFonts w:ascii="Times New Roman" w:hAnsi="Times New Roman" w:eastAsia="仿宋_GB2312" w:cs="Times New Roman"/>
          <w:b/>
          <w:bCs/>
          <w:color w:val="000000" w:themeColor="text1"/>
          <w:sz w:val="32"/>
          <w:szCs w:val="32"/>
          <w14:textFill>
            <w14:solidFill>
              <w14:schemeClr w14:val="tx1"/>
            </w14:solidFill>
          </w14:textFill>
        </w:rPr>
        <w:t>6.2政策措施</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一年来，学院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在完善内部管理、加强人才队伍建设、提升教育教学水平等方面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采取了一系列富有成效的政策举措：</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193" w:name="_Toc12976"/>
      <w:bookmarkStart w:id="194" w:name="_Toc21512"/>
      <w:bookmarkStart w:id="195" w:name="_Toc3694"/>
      <w:bookmarkStart w:id="196" w:name="_Toc11988"/>
      <w:bookmarkStart w:id="197" w:name="_Toc26540"/>
      <w:bookmarkStart w:id="198" w:name="_Toc5748"/>
      <w:bookmarkStart w:id="199" w:name="_Toc14157"/>
      <w:bookmarkStart w:id="200" w:name="_Toc10894"/>
      <w:bookmarkStart w:id="201" w:name="_Toc10447"/>
      <w:bookmarkStart w:id="202" w:name="_Toc2486"/>
      <w:bookmarkStart w:id="203" w:name="_Toc20306"/>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一是制度体系更加完善。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中职名校项目学校治理能力提升子项目建设为契机，进一步加强制度建设，制定了《院长奖励基金管理办法（试行）》（浙交技院〔2020〕8号）《津贴发放办法（试行）》（浙交技院〔2020〕9号）《星级班主任管理办法》（浙交技院〔2020〕38号）《教师专业成长培养方案（试行）》（浙交技院〔2020〕47号），修订了《教师教学工作业绩考核办法》（浙交技院〔2020〕2号）《教学事故认定和处理办法》（浙交技院〔2020〕3号）《部门年度工作目标管理考核办法》（浙交技院〔2020〕32号、《校聘人员管理办法》（浙交技院〔2020〕43号），整理并印发了学院《2019年文件汇编》，校内规章制度体系更加完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二是制度执行更加有力。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充分发挥学院纪委和监察审计部门作用，积极拓展日常监督的广度和深度，坚决杜绝在制度执行上做选择、搞变通、打折扣，严肃查处有令不行、有禁不止、阳奉阴违的行为；有效发挥民主监督在保障制度执行方面的作用，在部门考核中引入领导评价、部门互评、工作效能评价结果，在中层干部和教职工年度考核中引入群众评议结果，效果良好。校内政令畅通、执行有力，有效保障了各项工作的高质高效推进。</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三是干部选任更加规范。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修订《中层干部选拔任用管理办法》，坚持重品行、重能力、重实干、重业绩的选人用人导向，强化考核，激励担当，注重在基层一线和急难险重的任务中培养考察干部。建立政治生态建设档案和干部廉政档案，坚决把好选人用人政治关、廉洁关、形象关。提任中层正职1人、副职1人，考察试用期满中层副职干部8人，选派中层干部到人社部、省人社厅挂职交流2人；完成中层干部人事档案“三龄两历”审核认定32人；组织中层及以上干部等参加参加浙江大学干部管理培训46人次。</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四是队伍建设更加扎实。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定《高层次人才引进与管理办法》《新进教师成长培养方案》，修订《中层干部年度考核办法》《教职工年度考核办法》《校聘人员管理办法》，启用省人事工资系统、事业单位管理一件事平台，组织人事工作更加规范、流程更加便捷。招录事业编制人员15人、校聘人员30余人，组织教职工参加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余人次，教职工年龄、专业和学历结构不断优化。</w:t>
      </w:r>
    </w:p>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drawing>
          <wp:anchor distT="0" distB="0" distL="114300" distR="114300" simplePos="0" relativeHeight="251667456" behindDoc="0" locked="0" layoutInCell="1" allowOverlap="1">
            <wp:simplePos x="0" y="0"/>
            <wp:positionH relativeFrom="column">
              <wp:posOffset>220345</wp:posOffset>
            </wp:positionH>
            <wp:positionV relativeFrom="paragraph">
              <wp:posOffset>120650</wp:posOffset>
            </wp:positionV>
            <wp:extent cx="5088255" cy="2871470"/>
            <wp:effectExtent l="0" t="0" r="17145" b="5080"/>
            <wp:wrapTopAndBottom/>
            <wp:docPr id="8"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11"/>
                    <pic:cNvPicPr>
                      <a:picLocks noChangeAspect="1"/>
                    </pic:cNvPicPr>
                  </pic:nvPicPr>
                  <pic:blipFill>
                    <a:blip r:embed="rId11"/>
                    <a:srcRect t="6363" r="1006" b="6130"/>
                    <a:stretch>
                      <a:fillRect/>
                    </a:stretch>
                  </pic:blipFill>
                  <pic:spPr>
                    <a:xfrm>
                      <a:off x="0" y="0"/>
                      <a:ext cx="5088255" cy="2871470"/>
                    </a:xfrm>
                    <a:prstGeom prst="rect">
                      <a:avLst/>
                    </a:prstGeom>
                    <a:noFill/>
                    <a:ln>
                      <a:noFill/>
                    </a:ln>
                  </pic:spPr>
                </pic:pic>
              </a:graphicData>
            </a:graphic>
          </wp:anchor>
        </w:drawing>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图5 学院校园规划平面图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五是远景目标更加明确。</w:t>
      </w:r>
      <w:r>
        <w:rPr>
          <w:rFonts w:hint="eastAsia" w:ascii="Times New Roman" w:hAnsi="Times New Roman" w:eastAsia="仿宋_GB2312"/>
          <w:bCs/>
          <w:color w:val="000000" w:themeColor="text1"/>
          <w:sz w:val="32"/>
          <w:szCs w:val="32"/>
          <w14:textFill>
            <w14:solidFill>
              <w14:schemeClr w14:val="tx1"/>
            </w14:solidFill>
          </w14:textFill>
        </w:rPr>
        <w:t>在全省技工院校中率先启动《中长期发展规划（2021</w:t>
      </w:r>
      <w:r>
        <w:rPr>
          <w:rFonts w:ascii="Times New Roman" w:hAnsi="Times New Roman" w:eastAsia="仿宋_GB2312"/>
          <w:bCs/>
          <w:color w:val="000000" w:themeColor="text1"/>
          <w:sz w:val="32"/>
          <w:szCs w:val="32"/>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2035年）》编制，经过充分调研、多次论证、反复修改，文稿总体内容基本确定，已通过省厅组织的专家评审。9月底，学院向分管厅领导作了专题汇报，并结合反馈意见及时进行了再论证、再优化、再完善。科学规划利用新增用地，参照《高等职业学校建设标准》（建标197-2019），编制了“十四五”校园基本建设规划，10月中旬通过厅党组会审议。</w:t>
      </w:r>
      <w:r>
        <w:rPr>
          <w:rFonts w:hint="eastAsia" w:ascii="Times New Roman" w:hAnsi="Times New Roman" w:eastAsia="仿宋_GB2312"/>
          <w:bCs/>
          <w:color w:val="000000" w:themeColor="text1"/>
          <w:sz w:val="32"/>
          <w:szCs w:val="32"/>
          <w:lang w:val="en-US" w:eastAsia="zh-CN"/>
          <w14:textFill>
            <w14:solidFill>
              <w14:schemeClr w14:val="tx1"/>
            </w14:solidFill>
          </w14:textFill>
        </w:rPr>
        <w:t>根据规划，</w:t>
      </w:r>
      <w:r>
        <w:rPr>
          <w:rFonts w:hint="eastAsia" w:ascii="Times New Roman" w:hAnsi="Times New Roman" w:eastAsia="仿宋_GB2312"/>
          <w:bCs/>
          <w:color w:val="000000" w:themeColor="text1"/>
          <w:sz w:val="32"/>
          <w:szCs w:val="32"/>
          <w14:textFill>
            <w14:solidFill>
              <w14:schemeClr w14:val="tx1"/>
            </w14:solidFill>
          </w14:textFill>
        </w:rPr>
        <w:t>到“十四五”末，学院将形成“一心一环两轴三区四节点”的校园整体布局。</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7.特色创新</w:t>
      </w:r>
      <w:bookmarkEnd w:id="193"/>
      <w:bookmarkEnd w:id="194"/>
      <w:bookmarkEnd w:id="195"/>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以省中职名校项目建设为契机，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学院在创新型人才培养、特色专业群建设、传统文化育人方面</w:t>
      </w:r>
      <w:r>
        <w:rPr>
          <w:rFonts w:hint="eastAsia" w:ascii="Times New Roman" w:hAnsi="Times New Roman" w:eastAsia="仿宋_GB2312" w:cs="Times New Roman"/>
          <w:color w:val="000000" w:themeColor="text1"/>
          <w:sz w:val="32"/>
          <w:szCs w:val="32"/>
          <w14:textFill>
            <w14:solidFill>
              <w14:schemeClr w14:val="tx1"/>
            </w14:solidFill>
          </w14:textFill>
        </w:rPr>
        <w:t>形成了一批可学习可借鉴的典型案例。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bCs/>
          <w:color w:val="000000" w:themeColor="text1"/>
          <w:kern w:val="1"/>
          <w:sz w:val="32"/>
          <w:szCs w:val="32"/>
          <w14:textFill>
            <w14:solidFill>
              <w14:schemeClr w14:val="tx1"/>
            </w14:solidFill>
          </w14:textFill>
        </w:rPr>
      </w:pPr>
      <w:bookmarkStart w:id="204" w:name="_Toc10662"/>
      <w:bookmarkStart w:id="205" w:name="_Toc20965"/>
      <w:bookmarkStart w:id="206" w:name="_Toc5822"/>
      <w:bookmarkStart w:id="207" w:name="_Toc24174"/>
      <w:bookmarkStart w:id="208" w:name="_Toc10728"/>
      <w:bookmarkStart w:id="209" w:name="_Toc130"/>
      <w:bookmarkStart w:id="210" w:name="_Toc7106"/>
      <w:bookmarkStart w:id="211" w:name="_Toc30654"/>
      <w:bookmarkStart w:id="212" w:name="_Toc2427"/>
      <w:bookmarkStart w:id="213" w:name="_Toc25367"/>
      <w:bookmarkStart w:id="214" w:name="_Toc27292"/>
      <w:r>
        <w:rPr>
          <w:rFonts w:hint="eastAsia" w:ascii="仿宋_GB2312" w:hAnsi="仿宋_GB2312" w:eastAsia="仿宋_GB2312" w:cs="仿宋_GB2312"/>
          <w:b/>
          <w:bCs/>
          <w:color w:val="000000" w:themeColor="text1"/>
          <w:sz w:val="32"/>
          <w:szCs w:val="32"/>
          <w:lang w:val="en-US" w:eastAsia="zh-CN" w:bidi="ar"/>
          <w14:textFill>
            <w14:solidFill>
              <w14:schemeClr w14:val="tx1"/>
            </w14:solidFill>
          </w14:textFill>
        </w:rPr>
        <w:t>1.</w:t>
      </w:r>
      <w:r>
        <w:rPr>
          <w:rFonts w:hint="eastAsia" w:ascii="仿宋_GB2312" w:hAnsi="仿宋_GB2312" w:eastAsia="仿宋_GB2312" w:cs="仿宋_GB2312"/>
          <w:b/>
          <w:bCs/>
          <w:color w:val="000000" w:themeColor="text1"/>
          <w:sz w:val="32"/>
          <w:szCs w:val="32"/>
          <w:lang w:bidi="ar"/>
          <w14:textFill>
            <w14:solidFill>
              <w14:schemeClr w14:val="tx1"/>
            </w14:solidFill>
          </w14:textFill>
        </w:rPr>
        <w:t>《“燃爆”赛车梦，助推应用型、复合型、创新型人才培养》：</w:t>
      </w:r>
      <w:r>
        <w:rPr>
          <w:rFonts w:hint="eastAsia" w:eastAsia="仿宋_GB2312"/>
          <w:color w:val="000000" w:themeColor="text1"/>
          <w:sz w:val="32"/>
          <w:szCs w:val="32"/>
          <w:lang w:bidi="ar"/>
          <w14:textFill>
            <w14:solidFill>
              <w14:schemeClr w14:val="tx1"/>
            </w14:solidFill>
          </w14:textFill>
        </w:rPr>
        <w:t>依托赛</w:t>
      </w:r>
      <w:r>
        <w:rPr>
          <w:rFonts w:hint="eastAsia" w:ascii="Times New Roman" w:hAnsi="Times New Roman" w:eastAsia="仿宋_GB2312"/>
          <w:bCs/>
          <w:color w:val="000000" w:themeColor="text1"/>
          <w:kern w:val="1"/>
          <w:sz w:val="32"/>
          <w:szCs w:val="32"/>
          <w14:textFill>
            <w14:solidFill>
              <w14:schemeClr w14:val="tx1"/>
            </w14:solidFill>
          </w14:textFill>
        </w:rPr>
        <w:t>车梦工厂项目建设，围绕专业、师资队伍、赛车文化和社会服务能力建设，大力培养应用型、复合型、创新型技能人才。项目团队制作赛车6辆，完成省级课题1项；与15家企业开展技术交流合作，取得国家专利12项，出版教材4本。团队学生</w:t>
      </w:r>
      <w:r>
        <w:rPr>
          <w:rFonts w:ascii="Times New Roman" w:hAnsi="Times New Roman" w:eastAsia="仿宋_GB2312"/>
          <w:bCs/>
          <w:color w:val="000000" w:themeColor="text1"/>
          <w:kern w:val="1"/>
          <w:sz w:val="32"/>
          <w:szCs w:val="32"/>
          <w14:textFill>
            <w14:solidFill>
              <w14:schemeClr w14:val="tx1"/>
            </w14:solidFill>
          </w14:textFill>
        </w:rPr>
        <w:t>在省级以上技能大赛、创新创业竞赛</w:t>
      </w:r>
      <w:r>
        <w:rPr>
          <w:rFonts w:hint="eastAsia" w:ascii="Times New Roman" w:hAnsi="Times New Roman" w:eastAsia="仿宋_GB2312"/>
          <w:bCs/>
          <w:color w:val="000000" w:themeColor="text1"/>
          <w:kern w:val="1"/>
          <w:sz w:val="32"/>
          <w:szCs w:val="32"/>
          <w14:textFill>
            <w14:solidFill>
              <w14:schemeClr w14:val="tx1"/>
            </w14:solidFill>
          </w14:textFill>
        </w:rPr>
        <w:t>中</w:t>
      </w:r>
      <w:r>
        <w:rPr>
          <w:rFonts w:ascii="Times New Roman" w:hAnsi="Times New Roman" w:eastAsia="仿宋_GB2312"/>
          <w:bCs/>
          <w:color w:val="000000" w:themeColor="text1"/>
          <w:kern w:val="1"/>
          <w:sz w:val="32"/>
          <w:szCs w:val="32"/>
          <w14:textFill>
            <w14:solidFill>
              <w14:schemeClr w14:val="tx1"/>
            </w14:solidFill>
          </w14:textFill>
        </w:rPr>
        <w:t>获奖51人次</w:t>
      </w:r>
      <w:r>
        <w:rPr>
          <w:rFonts w:hint="eastAsia" w:ascii="Times New Roman" w:hAnsi="Times New Roman" w:eastAsia="仿宋_GB2312"/>
          <w:bCs/>
          <w:color w:val="000000" w:themeColor="text1"/>
          <w:kern w:val="1"/>
          <w:sz w:val="32"/>
          <w:szCs w:val="32"/>
          <w14:textFill>
            <w14:solidFill>
              <w14:schemeClr w14:val="tx1"/>
            </w14:solidFill>
          </w14:textFill>
        </w:rPr>
        <w:t>；2018年获</w:t>
      </w:r>
      <w:r>
        <w:rPr>
          <w:rFonts w:ascii="Times New Roman" w:hAnsi="Times New Roman" w:eastAsia="仿宋_GB2312"/>
          <w:bCs/>
          <w:color w:val="000000" w:themeColor="text1"/>
          <w:kern w:val="1"/>
          <w:sz w:val="32"/>
          <w:szCs w:val="32"/>
          <w14:textFill>
            <w14:solidFill>
              <w14:schemeClr w14:val="tx1"/>
            </w14:solidFill>
          </w14:textFill>
        </w:rPr>
        <w:t>中国大学生巴哈大赛职校组一等奖，</w:t>
      </w:r>
      <w:r>
        <w:rPr>
          <w:rFonts w:hint="eastAsia" w:ascii="Times New Roman" w:hAnsi="Times New Roman" w:eastAsia="仿宋_GB2312"/>
          <w:bCs/>
          <w:color w:val="000000" w:themeColor="text1"/>
          <w:kern w:val="1"/>
          <w:sz w:val="32"/>
          <w:szCs w:val="32"/>
          <w14:textFill>
            <w14:solidFill>
              <w14:schemeClr w14:val="tx1"/>
            </w14:solidFill>
          </w14:textFill>
        </w:rPr>
        <w:t>代表中国参加世界</w:t>
      </w:r>
      <w:r>
        <w:rPr>
          <w:rFonts w:ascii="Times New Roman" w:hAnsi="Times New Roman" w:eastAsia="仿宋_GB2312"/>
          <w:bCs/>
          <w:color w:val="000000" w:themeColor="text1"/>
          <w:kern w:val="1"/>
          <w:sz w:val="32"/>
          <w:szCs w:val="32"/>
          <w14:textFill>
            <w14:solidFill>
              <w14:schemeClr w14:val="tx1"/>
            </w14:solidFill>
          </w14:textFill>
        </w:rPr>
        <w:t>巴哈大赛</w:t>
      </w:r>
      <w:r>
        <w:rPr>
          <w:rFonts w:hint="eastAsia" w:ascii="Times New Roman" w:hAnsi="Times New Roman" w:eastAsia="仿宋_GB2312"/>
          <w:bCs/>
          <w:color w:val="000000" w:themeColor="text1"/>
          <w:kern w:val="1"/>
          <w:sz w:val="32"/>
          <w:szCs w:val="32"/>
          <w14:textFill>
            <w14:solidFill>
              <w14:schemeClr w14:val="tx1"/>
            </w14:solidFill>
          </w14:textFill>
        </w:rPr>
        <w:t>；2019年获</w:t>
      </w:r>
      <w:r>
        <w:rPr>
          <w:rFonts w:ascii="Times New Roman" w:hAnsi="Times New Roman" w:eastAsia="仿宋_GB2312"/>
          <w:bCs/>
          <w:color w:val="000000" w:themeColor="text1"/>
          <w:kern w:val="1"/>
          <w:sz w:val="32"/>
          <w:szCs w:val="32"/>
          <w14:textFill>
            <w14:solidFill>
              <w14:schemeClr w14:val="tx1"/>
            </w14:solidFill>
          </w14:textFill>
        </w:rPr>
        <w:t>燃油赛车</w:t>
      </w:r>
      <w:r>
        <w:rPr>
          <w:rFonts w:hint="eastAsia" w:ascii="Times New Roman" w:hAnsi="Times New Roman" w:eastAsia="仿宋_GB2312"/>
          <w:bCs/>
          <w:color w:val="000000" w:themeColor="text1"/>
          <w:kern w:val="1"/>
          <w:sz w:val="32"/>
          <w:szCs w:val="32"/>
          <w14:textFill>
            <w14:solidFill>
              <w14:schemeClr w14:val="tx1"/>
            </w14:solidFill>
          </w14:textFill>
        </w:rPr>
        <w:t>和</w:t>
      </w:r>
      <w:r>
        <w:rPr>
          <w:rFonts w:ascii="Times New Roman" w:hAnsi="Times New Roman" w:eastAsia="仿宋_GB2312"/>
          <w:bCs/>
          <w:color w:val="000000" w:themeColor="text1"/>
          <w:kern w:val="1"/>
          <w:sz w:val="32"/>
          <w:szCs w:val="32"/>
          <w14:textFill>
            <w14:solidFill>
              <w14:schemeClr w14:val="tx1"/>
            </w14:solidFill>
          </w14:textFill>
        </w:rPr>
        <w:t>电动巴哈</w:t>
      </w:r>
      <w:r>
        <w:rPr>
          <w:rFonts w:hint="eastAsia" w:ascii="Times New Roman" w:hAnsi="Times New Roman" w:eastAsia="仿宋_GB2312"/>
          <w:bCs/>
          <w:color w:val="000000" w:themeColor="text1"/>
          <w:kern w:val="1"/>
          <w:sz w:val="32"/>
          <w:szCs w:val="32"/>
          <w14:textFill>
            <w14:solidFill>
              <w14:schemeClr w14:val="tx1"/>
            </w14:solidFill>
          </w14:textFill>
        </w:rPr>
        <w:t>两个项目年度</w:t>
      </w:r>
      <w:r>
        <w:rPr>
          <w:rFonts w:ascii="Times New Roman" w:hAnsi="Times New Roman" w:eastAsia="仿宋_GB2312"/>
          <w:bCs/>
          <w:color w:val="000000" w:themeColor="text1"/>
          <w:kern w:val="1"/>
          <w:sz w:val="32"/>
          <w:szCs w:val="32"/>
          <w14:textFill>
            <w14:solidFill>
              <w14:schemeClr w14:val="tx1"/>
            </w14:solidFill>
          </w14:textFill>
        </w:rPr>
        <w:t>冠军</w:t>
      </w:r>
      <w:r>
        <w:rPr>
          <w:rFonts w:hint="eastAsia" w:ascii="Times New Roman" w:hAnsi="Times New Roman" w:eastAsia="仿宋_GB2312"/>
          <w:bCs/>
          <w:color w:val="000000" w:themeColor="text1"/>
          <w:kern w:val="1"/>
          <w:sz w:val="32"/>
          <w:szCs w:val="32"/>
          <w14:textFill>
            <w14:solidFill>
              <w14:schemeClr w14:val="tx1"/>
            </w14:solidFill>
          </w14:textFill>
        </w:rPr>
        <w:t>。</w:t>
      </w:r>
      <w:r>
        <w:rPr>
          <w:rFonts w:hint="eastAsia" w:ascii="Times New Roman" w:hAnsi="Times New Roman" w:eastAsia="仿宋_GB2312"/>
          <w:bCs/>
          <w:color w:val="000000" w:themeColor="text1"/>
          <w:kern w:val="1"/>
          <w:sz w:val="32"/>
          <w:szCs w:val="32"/>
          <w:lang w:val="en-US" w:eastAsia="zh-CN"/>
          <w14:textFill>
            <w14:solidFill>
              <w14:schemeClr w14:val="tx1"/>
            </w14:solidFill>
          </w14:textFill>
        </w:rPr>
        <w:t>2019至2020年，学院</w:t>
      </w:r>
      <w:r>
        <w:rPr>
          <w:rFonts w:hint="eastAsia" w:ascii="Times New Roman" w:hAnsi="Times New Roman" w:eastAsia="仿宋_GB2312"/>
          <w:bCs/>
          <w:color w:val="000000" w:themeColor="text1"/>
          <w:kern w:val="1"/>
          <w:sz w:val="32"/>
          <w:szCs w:val="32"/>
          <w14:textFill>
            <w14:solidFill>
              <w14:schemeClr w14:val="tx1"/>
            </w14:solidFill>
          </w14:textFill>
        </w:rPr>
        <w:t>巴哈赛车连续两年参展中国技能培训教育博览会。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bCs/>
          <w:color w:val="000000" w:themeColor="text1"/>
          <w:kern w:val="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
          <w14:textFill>
            <w14:solidFill>
              <w14:schemeClr w14:val="tx1"/>
            </w14:solidFill>
          </w14:textFill>
        </w:rPr>
        <w:t>2.《对接产业高端和产业需求，打造交通特色专业群》：</w:t>
      </w:r>
      <w:r>
        <w:rPr>
          <w:rFonts w:hint="eastAsia" w:eastAsia="仿宋_GB2312"/>
          <w:color w:val="000000" w:themeColor="text1"/>
          <w:sz w:val="32"/>
          <w:szCs w:val="32"/>
          <w:lang w:bidi="ar"/>
          <w14:textFill>
            <w14:solidFill>
              <w14:schemeClr w14:val="tx1"/>
            </w14:solidFill>
          </w14:textFill>
        </w:rPr>
        <w:t>依托名专业培育工程，对接汽车、城市轨道交通产业链和岗位群，打造交通特色专业群，深化“双核育人、四轮驱动”人才培养模式改革，构建“2+1”特色课程体系，形成创新型教学团队，打造了技能人才培养高地和技术技能创新服务平台，影响和带动学院专业建设水平整体提升，加速</w:t>
      </w:r>
      <w:r>
        <w:rPr>
          <w:rFonts w:hint="eastAsia" w:ascii="Times New Roman" w:hAnsi="Times New Roman" w:eastAsia="仿宋_GB2312"/>
          <w:bCs/>
          <w:color w:val="000000" w:themeColor="text1"/>
          <w:kern w:val="1"/>
          <w:sz w:val="32"/>
          <w:szCs w:val="32"/>
          <w14:textFill>
            <w14:solidFill>
              <w14:schemeClr w14:val="tx1"/>
            </w14:solidFill>
          </w14:textFill>
        </w:rPr>
        <w:t>形成汽车技术服务、城市轨道交通等5大专业群，汽车运用与维修、汽车车身修复、物流服务与管理专业，相继被确定为全国交通运输类示范专业点、省级品牌专业和优势特色专业。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0"/>
        <w:rPr>
          <w:rFonts w:hint="eastAsia" w:ascii="Times New Roman" w:hAnsi="Times New Roman" w:eastAsia="仿宋_GB2312"/>
          <w:bCs/>
          <w:color w:val="000000" w:themeColor="text1"/>
          <w:kern w:val="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
          <w14:textFill>
            <w14:solidFill>
              <w14:schemeClr w14:val="tx1"/>
            </w14:solidFill>
          </w14:textFill>
        </w:rPr>
        <w:t>3.《在继承与创新中打造新时代“诗书礼乐”传统文化育人新模式》：</w:t>
      </w:r>
      <w:r>
        <w:rPr>
          <w:rFonts w:hint="eastAsia" w:eastAsia="仿宋_GB2312"/>
          <w:color w:val="000000" w:themeColor="text1"/>
          <w:sz w:val="32"/>
          <w:szCs w:val="32"/>
          <w:lang w:bidi="ar"/>
          <w14:textFill>
            <w14:solidFill>
              <w14:schemeClr w14:val="tx1"/>
            </w14:solidFill>
          </w14:textFill>
        </w:rPr>
        <w:t>依托学生核心素养提升和“多彩系部</w:t>
      </w:r>
      <w:r>
        <w:rPr>
          <w:rFonts w:hint="eastAsia" w:ascii="仿宋_GB2312" w:hAnsi="仿宋_GB2312" w:eastAsia="仿宋_GB2312" w:cs="仿宋_GB2312"/>
          <w:color w:val="000000" w:themeColor="text1"/>
          <w:sz w:val="32"/>
          <w:szCs w:val="32"/>
          <w:lang w:bidi="ar"/>
          <w14:textFill>
            <w14:solidFill>
              <w14:schemeClr w14:val="tx1"/>
            </w14:solidFill>
          </w14:textFill>
        </w:rPr>
        <w:t>·</w:t>
      </w:r>
      <w:r>
        <w:rPr>
          <w:rFonts w:hint="eastAsia" w:eastAsia="仿宋_GB2312"/>
          <w:color w:val="000000" w:themeColor="text1"/>
          <w:sz w:val="32"/>
          <w:szCs w:val="32"/>
          <w:lang w:bidi="ar"/>
          <w14:textFill>
            <w14:solidFill>
              <w14:schemeClr w14:val="tx1"/>
            </w14:solidFill>
          </w14:textFill>
        </w:rPr>
        <w:t>魅力校园”文化品牌建设，将传统文化融入日常教育教学，以“诗”致雅，以“书”致善，以“礼”致序，以“乐”致和，赋予传统文化育人新内涵；组建指导团队、打造学习平台、完善课程体系、优化宣传阵地，构建传统文化育人新格局；通过体验学习进基地、文化展演进乡村、志愿服务进社区、领悟践行进家乡，拓展传统文化育人新实践。</w:t>
      </w:r>
      <w:r>
        <w:rPr>
          <w:rFonts w:hint="eastAsia" w:ascii="Times New Roman" w:hAnsi="Times New Roman" w:eastAsia="仿宋_GB2312"/>
          <w:bCs/>
          <w:color w:val="000000" w:themeColor="text1"/>
          <w:kern w:val="1"/>
          <w:sz w:val="32"/>
          <w:szCs w:val="32"/>
          <w14:textFill>
            <w14:solidFill>
              <w14:schemeClr w14:val="tx1"/>
            </w14:solidFill>
          </w14:textFill>
        </w:rPr>
        <w:t>《探索构建“3+X+Y”传统文化育人新模式》入选全省中职教育典型案例。</w:t>
      </w:r>
      <w:r>
        <w:rPr>
          <w:rFonts w:hint="eastAsia" w:eastAsia="仿宋_GB2312"/>
          <w:color w:val="000000" w:themeColor="text1"/>
          <w:sz w:val="32"/>
          <w:szCs w:val="32"/>
          <w:lang w:bidi="ar"/>
          <w14:textFill>
            <w14:solidFill>
              <w14:schemeClr w14:val="tx1"/>
            </w14:solidFill>
          </w14:textFill>
        </w:rPr>
        <w:t>学院</w:t>
      </w:r>
      <w:r>
        <w:rPr>
          <w:rFonts w:hint="eastAsia" w:ascii="Times New Roman" w:hAnsi="Times New Roman" w:eastAsia="仿宋_GB2312"/>
          <w:bCs/>
          <w:color w:val="000000" w:themeColor="text1"/>
          <w:kern w:val="1"/>
          <w:sz w:val="32"/>
          <w:szCs w:val="32"/>
          <w14:textFill>
            <w14:solidFill>
              <w14:schemeClr w14:val="tx1"/>
            </w14:solidFill>
          </w14:textFill>
        </w:rPr>
        <w:t>传统文化习学会获全国技工院校优秀社团评选一等奖，学生</w:t>
      </w:r>
      <w:r>
        <w:rPr>
          <w:rFonts w:hint="eastAsia" w:eastAsia="仿宋_GB2312"/>
          <w:color w:val="000000" w:themeColor="text1"/>
          <w:sz w:val="32"/>
          <w:szCs w:val="32"/>
          <w:lang w:bidi="ar"/>
          <w14:textFill>
            <w14:solidFill>
              <w14:schemeClr w14:val="tx1"/>
            </w14:solidFill>
          </w14:textFill>
        </w:rPr>
        <w:t>获</w:t>
      </w:r>
      <w:r>
        <w:rPr>
          <w:rFonts w:eastAsia="仿宋_GB2312"/>
          <w:color w:val="000000" w:themeColor="text1"/>
          <w:sz w:val="32"/>
          <w:szCs w:val="32"/>
          <w:lang w:bidi="ar"/>
          <w14:textFill>
            <w14:solidFill>
              <w14:schemeClr w14:val="tx1"/>
            </w14:solidFill>
          </w14:textFill>
        </w:rPr>
        <w:t>全省技工院校文化素养竞赛</w:t>
      </w:r>
      <w:r>
        <w:rPr>
          <w:rFonts w:hint="eastAsia" w:ascii="Times New Roman" w:hAnsi="Times New Roman" w:eastAsia="仿宋_GB2312"/>
          <w:bCs/>
          <w:color w:val="000000" w:themeColor="text1"/>
          <w:kern w:val="1"/>
          <w:sz w:val="32"/>
          <w:szCs w:val="32"/>
          <w14:textFill>
            <w14:solidFill>
              <w14:schemeClr w14:val="tx1"/>
            </w14:solidFill>
          </w14:textFill>
        </w:rPr>
        <w:t>奖项15个，其中一等奖3个、二等奖4个</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8.主要问题和改进措施</w:t>
      </w:r>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虽然取得了一定的成绩，但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我们必须清醒地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认识</w:t>
      </w:r>
      <w:r>
        <w:rPr>
          <w:rFonts w:hint="eastAsia" w:ascii="仿宋_GB2312" w:hAnsi="仿宋_GB2312" w:eastAsia="仿宋_GB2312" w:cs="仿宋_GB2312"/>
          <w:color w:val="000000" w:themeColor="text1"/>
          <w:sz w:val="32"/>
          <w:szCs w:val="32"/>
          <w14:textFill>
            <w14:solidFill>
              <w14:schemeClr w14:val="tx1"/>
            </w14:solidFill>
          </w14:textFill>
        </w:rPr>
        <w:t>到，我们的工作还存在一些问题和不足，主要有：</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一是培养质量需要进一步提高。</w:t>
      </w:r>
      <w:r>
        <w:rPr>
          <w:rFonts w:hint="eastAsia" w:ascii="仿宋_GB2312" w:hAnsi="仿宋_GB2312" w:eastAsia="仿宋_GB2312" w:cs="仿宋_GB2312"/>
          <w:color w:val="000000" w:themeColor="text1"/>
          <w:sz w:val="32"/>
          <w:szCs w:val="32"/>
          <w14:textFill>
            <w14:solidFill>
              <w14:schemeClr w14:val="tx1"/>
            </w14:solidFill>
          </w14:textFill>
        </w:rPr>
        <w:t>人才培养方向需要更加紧贴交通行业实际、符合未来交通发展方向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还未实现世界技能大赛奖牌零的突破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人才培养对接国际标准的步伐亟需加快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二是专业优势需要进一步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增强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专业优势、特色不够明显，主干专业</w:t>
      </w:r>
      <w:r>
        <w:rPr>
          <w:rFonts w:hint="eastAsia" w:ascii="仿宋_GB2312" w:hAnsi="仿宋_GB2312" w:eastAsia="仿宋_GB2312" w:cs="仿宋_GB2312"/>
          <w:color w:val="000000" w:themeColor="text1"/>
          <w:sz w:val="32"/>
          <w:szCs w:val="32"/>
          <w:lang w:eastAsia="zh-CN"/>
          <w14:textFill>
            <w14:solidFill>
              <w14:schemeClr w14:val="tx1"/>
            </w14:solidFill>
          </w14:textFill>
        </w:rPr>
        <w:t>示范引领作用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专业整体发展水平有待进一步提高，发展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潜力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有待进一步挖掘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三是师资实力需要进一步加强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高水平、高层次人才引进困难，紧缺具有</w:t>
      </w:r>
      <w:r>
        <w:rPr>
          <w:rFonts w:hint="eastAsia" w:ascii="仿宋_GB2312" w:hAnsi="仿宋_GB2312" w:eastAsia="仿宋_GB2312" w:cs="仿宋_GB2312"/>
          <w:color w:val="000000" w:themeColor="text1"/>
          <w:sz w:val="32"/>
          <w:szCs w:val="32"/>
          <w14:textFill>
            <w14:solidFill>
              <w14:schemeClr w14:val="tx1"/>
            </w14:solidFill>
          </w14:textFill>
        </w:rPr>
        <w:t>较强教学、科研和竞赛辅导能力的师资。</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四是办学条件需要进一步优化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十四五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基本建设项目还未开工，</w:t>
      </w:r>
      <w:r>
        <w:rPr>
          <w:rFonts w:hint="eastAsia" w:ascii="仿宋_GB2312" w:hAnsi="仿宋_GB2312" w:eastAsia="仿宋_GB2312" w:cs="仿宋_GB2312"/>
          <w:color w:val="000000" w:themeColor="text1"/>
          <w:sz w:val="32"/>
          <w:szCs w:val="32"/>
          <w14:textFill>
            <w14:solidFill>
              <w14:schemeClr w14:val="tx1"/>
            </w14:solidFill>
          </w14:textFill>
        </w:rPr>
        <w:t>教学场所、住宿条件、运动场地等现有办学条件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w:t>
      </w:r>
      <w:r>
        <w:rPr>
          <w:rFonts w:hint="eastAsia" w:ascii="仿宋_GB2312" w:hAnsi="仿宋_GB2312" w:eastAsia="仿宋_GB2312" w:cs="仿宋_GB2312"/>
          <w:color w:val="000000" w:themeColor="text1"/>
          <w:sz w:val="32"/>
          <w:szCs w:val="32"/>
          <w14:textFill>
            <w14:solidFill>
              <w14:schemeClr w14:val="tx1"/>
            </w14:solidFill>
          </w14:textFill>
        </w:rPr>
        <w:t>不能很好地满足发展需要。</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五是合作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办学</w:t>
      </w:r>
      <w:r>
        <w:rPr>
          <w:rFonts w:hint="eastAsia" w:ascii="仿宋_GB2312" w:hAnsi="仿宋_GB2312" w:eastAsia="仿宋_GB2312" w:cs="仿宋_GB2312"/>
          <w:b/>
          <w:bCs/>
          <w:color w:val="000000" w:themeColor="text1"/>
          <w:sz w:val="32"/>
          <w:szCs w:val="32"/>
          <w14:textFill>
            <w14:solidFill>
              <w14:schemeClr w14:val="tx1"/>
            </w14:solidFill>
          </w14:textFill>
        </w:rPr>
        <w:t>需要进一步拓展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推进产教深度融合、实现校企协同育人等方面成效不够明显，国际合作办学方面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缺少实质性</w:t>
      </w:r>
      <w:r>
        <w:rPr>
          <w:rFonts w:hint="eastAsia" w:ascii="仿宋_GB2312" w:hAnsi="仿宋_GB2312" w:eastAsia="仿宋_GB2312" w:cs="仿宋_GB2312"/>
          <w:color w:val="000000" w:themeColor="text1"/>
          <w:sz w:val="32"/>
          <w:szCs w:val="32"/>
          <w14:textFill>
            <w14:solidFill>
              <w14:schemeClr w14:val="tx1"/>
            </w14:solidFill>
          </w14:textFill>
        </w:rPr>
        <w:t>成果。</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学院将主动对标“三地一窗口”使命担当，</w:t>
      </w:r>
      <w:r>
        <w:rPr>
          <w:rFonts w:hint="eastAsia" w:ascii="仿宋_GB2312" w:hAnsi="仿宋_GB2312" w:eastAsia="仿宋_GB2312" w:cs="仿宋_GB2312"/>
          <w:color w:val="000000" w:themeColor="text1"/>
          <w:sz w:val="32"/>
          <w:szCs w:val="32"/>
          <w14:textFill>
            <w14:solidFill>
              <w14:schemeClr w14:val="tx1"/>
            </w14:solidFill>
          </w14:textFill>
        </w:rPr>
        <w:t>积极贯彻新理念、融入新格局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以崭新姿态适应职教改革和高水平交通强省建设提出的新期待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新要求，以更高标准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更高质量做好各项工作。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一是</w:t>
      </w:r>
      <w:r>
        <w:rPr>
          <w:rFonts w:hint="eastAsia" w:ascii="楷体_GB2312" w:hAnsi="楷体_GB2312" w:eastAsia="楷体_GB2312" w:cs="楷体_GB2312"/>
          <w:b/>
          <w:bCs/>
          <w:color w:val="000000" w:themeColor="text1"/>
          <w:sz w:val="32"/>
          <w:szCs w:val="32"/>
          <w14:textFill>
            <w14:solidFill>
              <w14:schemeClr w14:val="tx1"/>
            </w14:solidFill>
          </w14:textFill>
        </w:rPr>
        <w:t>慎终如始抓好疫情防控</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以刘小涛副省长视察学院开学防疫工作时的讲话精神为指引，按照</w:t>
      </w:r>
      <w:r>
        <w:rPr>
          <w:rFonts w:hint="eastAsia" w:ascii="仿宋_GB2312" w:eastAsia="仿宋_GB2312"/>
          <w:color w:val="000000" w:themeColor="text1"/>
          <w:sz w:val="32"/>
          <w:szCs w:val="32"/>
          <w:lang w:eastAsia="zh-CN"/>
          <w14:textFill>
            <w14:solidFill>
              <w14:schemeClr w14:val="tx1"/>
            </w14:solidFill>
          </w14:textFill>
        </w:rPr>
        <w:t>《厅所属院校疫情防控和应急处置工作指引》、</w:t>
      </w:r>
      <w:r>
        <w:rPr>
          <w:rFonts w:hint="eastAsia" w:ascii="仿宋_GB2312" w:eastAsia="仿宋_GB2312"/>
          <w:color w:val="000000" w:themeColor="text1"/>
          <w:sz w:val="32"/>
          <w:szCs w:val="32"/>
          <w14:textFill>
            <w14:solidFill>
              <w14:schemeClr w14:val="tx1"/>
            </w14:solidFill>
          </w14:textFill>
        </w:rPr>
        <w:t>《学院新冠肺炎疫情常态化防控工作方案》</w:t>
      </w:r>
      <w:r>
        <w:rPr>
          <w:rFonts w:hint="eastAsia" w:ascii="仿宋_GB2312" w:eastAsia="仿宋_GB2312"/>
          <w:color w:val="000000" w:themeColor="text1"/>
          <w:sz w:val="32"/>
          <w:szCs w:val="32"/>
          <w:lang w:val="en-US"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《肺结核疫情防控工作方案》要求，严格落实各项管控措施，坚决阻断疫情向校园蔓延，全力守护师生安全。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二是</w:t>
      </w:r>
      <w:r>
        <w:rPr>
          <w:rFonts w:hint="eastAsia" w:ascii="楷体_GB2312" w:hAnsi="楷体_GB2312" w:eastAsia="楷体_GB2312" w:cs="楷体_GB2312"/>
          <w:b/>
          <w:bCs/>
          <w:color w:val="000000" w:themeColor="text1"/>
          <w:sz w:val="32"/>
          <w:szCs w:val="32"/>
          <w14:textFill>
            <w14:solidFill>
              <w14:schemeClr w14:val="tx1"/>
            </w14:solidFill>
          </w14:textFill>
        </w:rPr>
        <w:t>纵深推进全面从严治党</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以迎接建党100周年为契机，全面加强党的建设，以一流党建引领学院各项事业高质量发展。践行</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重要窗口</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新使命，压紧压实全面从严治党主体责任，</w:t>
      </w:r>
      <w:r>
        <w:rPr>
          <w:rFonts w:hint="eastAsia" w:ascii="Times New Roman" w:hAnsi="Times New Roman" w:eastAsia="仿宋_GB2312"/>
          <w:color w:val="000000" w:themeColor="text1"/>
          <w:sz w:val="32"/>
          <w:szCs w:val="32"/>
          <w14:textFill>
            <w14:solidFill>
              <w14:schemeClr w14:val="tx1"/>
            </w14:solidFill>
          </w14:textFill>
        </w:rPr>
        <w:t>持续深化清廉校园、</w:t>
      </w:r>
      <w:r>
        <w:rPr>
          <w:rFonts w:hint="eastAsia" w:ascii="仿宋_GB2312" w:eastAsia="仿宋_GB2312"/>
          <w:color w:val="000000" w:themeColor="text1"/>
          <w:sz w:val="32"/>
          <w:szCs w:val="32"/>
          <w14:textFill>
            <w14:solidFill>
              <w14:schemeClr w14:val="tx1"/>
            </w14:solidFill>
          </w14:textFill>
        </w:rPr>
        <w:t>廉政建设无盲区活动，着力加强对重大事项、重点领域、关键环节、重要岗位的监督，推进全面从严治党走深走实。</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w:t>
      </w:r>
      <w:r>
        <w:rPr>
          <w:rFonts w:hint="eastAsia" w:ascii="楷体_GB2312" w:hAnsi="楷体_GB2312" w:eastAsia="楷体_GB2312" w:cs="楷体_GB2312"/>
          <w:b/>
          <w:bCs/>
          <w:color w:val="000000" w:themeColor="text1"/>
          <w:sz w:val="32"/>
          <w:szCs w:val="32"/>
          <w14:textFill>
            <w14:solidFill>
              <w14:schemeClr w14:val="tx1"/>
            </w14:solidFill>
          </w14:textFill>
        </w:rPr>
        <w:t>全面启动校园扩建工程</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做好教练场东迁工程设计和施工，完成新征用地临时围墙建设和土地平整。加快机电实训大楼、轨道交通实训大楼、继续教育教学大楼、产教融合大楼等规划建设项目前期工作。根据学院城市轨道交通产教融合工程项目安排，重点推进轨道交通实训大楼建设，确保完成可行性研究报告、施工图设计审查等工作，争取完成施工招标。</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四是</w:t>
      </w:r>
      <w:r>
        <w:rPr>
          <w:rFonts w:hint="eastAsia" w:ascii="楷体_GB2312" w:hAnsi="楷体_GB2312" w:eastAsia="楷体_GB2312" w:cs="楷体_GB2312"/>
          <w:b/>
          <w:bCs/>
          <w:color w:val="000000" w:themeColor="text1"/>
          <w:sz w:val="32"/>
          <w:szCs w:val="32"/>
          <w14:textFill>
            <w14:solidFill>
              <w14:schemeClr w14:val="tx1"/>
            </w14:solidFill>
          </w14:textFill>
        </w:rPr>
        <w:t>持续深化教育教学改革</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将2021年作为教育教学改革深化年，规范管理，狠抓质量，全面提升教育教学水平。围绕立德树人根本任务，进一步加强思想政治理论课建设，把思政工作贯穿教育教学全过程，努力构建“大思政大德育”工作格局。实施核心素养提升工程，推进全方位、立体化育人体系建设，力争建成省级及以上德育品牌项目。完善教学质量保障体系，推进</w:t>
      </w:r>
      <w:r>
        <w:rPr>
          <w:rFonts w:hint="eastAsia" w:ascii="仿宋_GB2312" w:eastAsia="仿宋_GB2312"/>
          <w:color w:val="000000" w:themeColor="text1"/>
          <w:sz w:val="32"/>
          <w:szCs w:val="32"/>
          <w14:textFill>
            <w14:solidFill>
              <w14:schemeClr w14:val="tx1"/>
            </w14:solidFill>
          </w14:textFill>
        </w:rPr>
        <w:t>通用职业素质课程</w:t>
      </w:r>
      <w:r>
        <w:rPr>
          <w:rFonts w:hint="eastAsia" w:ascii="仿宋_GB2312" w:eastAsia="仿宋_GB2312"/>
          <w:color w:val="000000" w:themeColor="text1"/>
          <w:sz w:val="32"/>
          <w:szCs w:val="32"/>
          <w:lang w:val="en-US" w:eastAsia="zh-CN"/>
          <w14:textFill>
            <w14:solidFill>
              <w14:schemeClr w14:val="tx1"/>
            </w14:solidFill>
          </w14:textFill>
        </w:rPr>
        <w:t>改革、</w:t>
      </w:r>
      <w:r>
        <w:rPr>
          <w:rFonts w:hint="eastAsia" w:ascii="仿宋_GB2312" w:eastAsia="仿宋_GB2312"/>
          <w:color w:val="000000" w:themeColor="text1"/>
          <w:sz w:val="32"/>
          <w:szCs w:val="32"/>
          <w14:textFill>
            <w14:solidFill>
              <w14:schemeClr w14:val="tx1"/>
            </w14:solidFill>
          </w14:textFill>
        </w:rPr>
        <w:t>一体化教学改革</w:t>
      </w:r>
      <w:r>
        <w:rPr>
          <w:rFonts w:hint="eastAsia" w:ascii="Times New Roman" w:hAnsi="Times New Roman" w:eastAsia="仿宋_GB2312"/>
          <w:color w:val="000000" w:themeColor="text1"/>
          <w:sz w:val="32"/>
          <w:szCs w:val="32"/>
          <w14:textFill>
            <w14:solidFill>
              <w14:schemeClr w14:val="tx1"/>
            </w14:solidFill>
          </w14:textFill>
        </w:rPr>
        <w:t>、技师研修、学徒制试点等工作，进一步</w:t>
      </w:r>
      <w:r>
        <w:rPr>
          <w:rFonts w:hint="eastAsia" w:ascii="仿宋_GB2312" w:eastAsia="仿宋_GB2312"/>
          <w:color w:val="000000" w:themeColor="text1"/>
          <w:sz w:val="32"/>
          <w:szCs w:val="32"/>
          <w14:textFill>
            <w14:solidFill>
              <w14:schemeClr w14:val="tx1"/>
            </w14:solidFill>
          </w14:textFill>
        </w:rPr>
        <w:t>完善教学督导，强化</w:t>
      </w:r>
      <w:r>
        <w:rPr>
          <w:rFonts w:hint="eastAsia" w:ascii="Times New Roman" w:hAnsi="Times New Roman" w:eastAsia="仿宋_GB2312"/>
          <w:color w:val="000000" w:themeColor="text1"/>
          <w:sz w:val="32"/>
          <w:szCs w:val="32"/>
          <w14:textFill>
            <w14:solidFill>
              <w14:schemeClr w14:val="tx1"/>
            </w14:solidFill>
          </w14:textFill>
        </w:rPr>
        <w:t>教学、实习环节的监督检查，</w:t>
      </w:r>
      <w:r>
        <w:rPr>
          <w:rFonts w:hint="eastAsia" w:ascii="仿宋_GB2312" w:eastAsia="仿宋_GB2312"/>
          <w:color w:val="000000" w:themeColor="text1"/>
          <w:sz w:val="32"/>
          <w:szCs w:val="32"/>
          <w14:textFill>
            <w14:solidFill>
              <w14:schemeClr w14:val="tx1"/>
            </w14:solidFill>
          </w14:textFill>
        </w:rPr>
        <w:t>促进教学质量全面提升。健全竞赛保障激励机制，确保在国赛、省赛上再创佳绩。</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五是</w:t>
      </w:r>
      <w:r>
        <w:rPr>
          <w:rFonts w:hint="eastAsia" w:ascii="楷体_GB2312" w:hAnsi="楷体_GB2312" w:eastAsia="楷体_GB2312" w:cs="楷体_GB2312"/>
          <w:b/>
          <w:bCs/>
          <w:color w:val="000000" w:themeColor="text1"/>
          <w:sz w:val="32"/>
          <w:szCs w:val="32"/>
          <w14:textFill>
            <w14:solidFill>
              <w14:schemeClr w14:val="tx1"/>
            </w14:solidFill>
          </w14:textFill>
        </w:rPr>
        <w:t>加快推进人才队伍建设</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坚持外引内培，落实《高层次人才引进与管理办法》，实施《师资队伍能力提升三年行动计划》，加大管理干部和骨干教师交流锻炼力度，着力打造一支专业技术精湛、综合素质优良、梯队结构稳健的人才队伍。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六是</w:t>
      </w:r>
      <w:r>
        <w:rPr>
          <w:rFonts w:hint="eastAsia" w:ascii="楷体_GB2312" w:hAnsi="楷体_GB2312" w:eastAsia="楷体_GB2312" w:cs="楷体_GB2312"/>
          <w:b/>
          <w:bCs/>
          <w:color w:val="000000" w:themeColor="text1"/>
          <w:sz w:val="32"/>
          <w:szCs w:val="32"/>
          <w14:textFill>
            <w14:solidFill>
              <w14:schemeClr w14:val="tx1"/>
            </w14:solidFill>
          </w14:textFill>
        </w:rPr>
        <w:t>继续加强外部合作交流</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发挥技能人才培养资源和品牌优势，与更多国内外知名企业合作，进一步促进校企深度融合。以城市轨道交通产教融合工程项目建设为契机，完善产教融合设施，推动产教融合理念和实践创新，吸引更多优质企业共建共享实训设施。加强与地方政府、工业园区、企事业单位的联系，争取有关部门更多参与、支持学院专业建设和人才培养。加强与“一带一路”沿线国家职业教育机构和“走出去”的国内知名企业合作，大力引进国外优质教育资源、不断拓宽国际合作办学渠道，努力培养国际化技能人才，力争取得更多实质成果。巩固与中西部贫困地区和省内薄弱院校的合作，加强对丽水庆元的对口帮扶，积极为脱贫攻坚贡献学院力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七是</w:t>
      </w:r>
      <w:r>
        <w:rPr>
          <w:rFonts w:hint="eastAsia" w:ascii="楷体_GB2312" w:hAnsi="楷体_GB2312" w:eastAsia="楷体_GB2312" w:cs="楷体_GB2312"/>
          <w:b/>
          <w:bCs/>
          <w:color w:val="000000" w:themeColor="text1"/>
          <w:sz w:val="32"/>
          <w:szCs w:val="32"/>
          <w14:textFill>
            <w14:solidFill>
              <w14:schemeClr w14:val="tx1"/>
            </w14:solidFill>
          </w14:textFill>
        </w:rPr>
        <w:t>不断提升教育培训能力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全力抓好招生就业，确保全日制在校生稳定在</w:t>
      </w:r>
      <w:r>
        <w:rPr>
          <w:rFonts w:ascii="Times New Roman" w:hAnsi="Times New Roman" w:eastAsia="仿宋_GB2312"/>
          <w:color w:val="000000" w:themeColor="text1"/>
          <w:sz w:val="32"/>
          <w:szCs w:val="32"/>
          <w14:textFill>
            <w14:solidFill>
              <w14:schemeClr w14:val="tx1"/>
            </w14:solidFill>
          </w14:textFill>
        </w:rPr>
        <w:t>8000</w:t>
      </w:r>
      <w:r>
        <w:rPr>
          <w:rFonts w:hint="eastAsia" w:ascii="仿宋_GB2312" w:eastAsia="仿宋_GB2312"/>
          <w:color w:val="000000" w:themeColor="text1"/>
          <w:sz w:val="32"/>
          <w:szCs w:val="32"/>
          <w14:textFill>
            <w14:solidFill>
              <w14:schemeClr w14:val="tx1"/>
            </w14:solidFill>
          </w14:textFill>
        </w:rPr>
        <w:t>人左右</w:t>
      </w:r>
      <w:r>
        <w:rPr>
          <w:rFonts w:hint="eastAsia" w:ascii="Times New Roman" w:hAnsi="Times New Roman" w:eastAsia="仿宋_GB2312"/>
          <w:color w:val="000000" w:themeColor="text1"/>
          <w:sz w:val="32"/>
          <w:szCs w:val="32"/>
          <w14:textFill>
            <w14:solidFill>
              <w14:schemeClr w14:val="tx1"/>
            </w14:solidFill>
          </w14:textFill>
        </w:rPr>
        <w:t>、毕业生就业率和企业满意度均保持在98%以上。充分发挥培训（实训）基地和职业技能认定中心作用，进一步拓展范围、创新形式、扩大规模、提升质量，确保学徒培训人数不低于当年实习学生人数的50%、创业培训人数不低于下厂实习学生人数的90%，完成社会培训不少于10000人次，努力形成</w:t>
      </w:r>
      <w:r>
        <w:rPr>
          <w:rFonts w:ascii="Times New Roman" w:hAnsi="Times New Roman" w:eastAsia="仿宋_GB2312"/>
          <w:color w:val="000000" w:themeColor="text1"/>
          <w:sz w:val="32"/>
          <w:szCs w:val="32"/>
          <w14:textFill>
            <w14:solidFill>
              <w14:schemeClr w14:val="tx1"/>
            </w14:solidFill>
          </w14:textFill>
        </w:rPr>
        <w:t>规范、专业、优质的社会服务品牌</w:t>
      </w:r>
      <w:r>
        <w:rPr>
          <w:rFonts w:hint="eastAsia" w:ascii="Times New Roman" w:hAnsi="Times New Roman" w:eastAsia="仿宋_GB2312"/>
          <w:color w:val="000000" w:themeColor="text1"/>
          <w:sz w:val="32"/>
          <w:szCs w:val="32"/>
          <w14:textFill>
            <w14:solidFill>
              <w14:schemeClr w14:val="tx1"/>
            </w14:solidFill>
          </w14:textFill>
        </w:rPr>
        <w:t>。对接东部战区，扎实做好大型车培训项目，确保</w:t>
      </w:r>
      <w:r>
        <w:rPr>
          <w:rFonts w:ascii="Times New Roman" w:hAnsi="Times New Roman" w:eastAsia="仿宋_GB2312"/>
          <w:color w:val="000000" w:themeColor="text1"/>
          <w:sz w:val="32"/>
          <w:szCs w:val="32"/>
          <w14:textFill>
            <w14:solidFill>
              <w14:schemeClr w14:val="tx1"/>
            </w14:solidFill>
          </w14:textFill>
        </w:rPr>
        <w:t>完成培训任务。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八是</w:t>
      </w:r>
      <w:r>
        <w:rPr>
          <w:rFonts w:hint="eastAsia" w:ascii="楷体_GB2312" w:hAnsi="楷体_GB2312" w:eastAsia="楷体_GB2312" w:cs="楷体_GB2312"/>
          <w:b/>
          <w:bCs/>
          <w:color w:val="000000" w:themeColor="text1"/>
          <w:sz w:val="32"/>
          <w:szCs w:val="32"/>
          <w14:textFill>
            <w14:solidFill>
              <w14:schemeClr w14:val="tx1"/>
            </w14:solidFill>
          </w14:textFill>
        </w:rPr>
        <w:t>着力加强校园文化建设</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做好校园文化顶层设计，</w:t>
      </w:r>
      <w:r>
        <w:rPr>
          <w:rFonts w:hint="eastAsia" w:ascii="Times New Roman" w:hAnsi="Times New Roman" w:eastAsia="仿宋_GB2312"/>
          <w:color w:val="000000" w:themeColor="text1"/>
          <w:sz w:val="32"/>
          <w:szCs w:val="32"/>
          <w14:textFill>
            <w14:solidFill>
              <w14:schemeClr w14:val="tx1"/>
            </w14:solidFill>
          </w14:textFill>
        </w:rPr>
        <w:t>实施校园文化品牌建设工程，围绕立德树人“一个中心”，完善传统媒体和新媒体“两大平台”，推进文化建设专业化、系统化、品牌化“三化融合”，建好理念识别系统、视觉识别系统、行为识别系统、空间识别系统“四个载体”，建成特色鲜明、内涵丰富、模式引领的“领驭”校园文化品牌，助力学院向理念领先、德艺领通、品牌领航“三领”目标加速迈进，引领师生向控驭德行、掌驭技能、驾驭人生、领驭未来“四驭”成功路奔跑，努力形成富有职教特征和交通特色的校园文化体系。</w:t>
      </w:r>
    </w:p>
    <w:sectPr>
      <w:footerReference r:id="rId3" w:type="default"/>
      <w:pgSz w:w="11906" w:h="16838"/>
      <w:pgMar w:top="1644" w:right="1644" w:bottom="1644" w:left="1644"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AA"/>
    <w:rsid w:val="000B5D37"/>
    <w:rsid w:val="001C5396"/>
    <w:rsid w:val="005E6E52"/>
    <w:rsid w:val="00B627AA"/>
    <w:rsid w:val="00C072C0"/>
    <w:rsid w:val="00DE41B8"/>
    <w:rsid w:val="01484422"/>
    <w:rsid w:val="01994541"/>
    <w:rsid w:val="01A138CB"/>
    <w:rsid w:val="020C734E"/>
    <w:rsid w:val="02385F81"/>
    <w:rsid w:val="026B70F1"/>
    <w:rsid w:val="029F10EA"/>
    <w:rsid w:val="02AF1548"/>
    <w:rsid w:val="02E77BD9"/>
    <w:rsid w:val="03040BC7"/>
    <w:rsid w:val="032558AD"/>
    <w:rsid w:val="03485853"/>
    <w:rsid w:val="03B91946"/>
    <w:rsid w:val="03C01CE8"/>
    <w:rsid w:val="03C77091"/>
    <w:rsid w:val="03EB73EF"/>
    <w:rsid w:val="03FA3C52"/>
    <w:rsid w:val="040849A0"/>
    <w:rsid w:val="04133A9F"/>
    <w:rsid w:val="04283D55"/>
    <w:rsid w:val="04777AD5"/>
    <w:rsid w:val="05970F77"/>
    <w:rsid w:val="05B957DB"/>
    <w:rsid w:val="05FD009A"/>
    <w:rsid w:val="05FE7A73"/>
    <w:rsid w:val="060F7F16"/>
    <w:rsid w:val="061E3CA5"/>
    <w:rsid w:val="06781750"/>
    <w:rsid w:val="06AF1CB3"/>
    <w:rsid w:val="06C31C27"/>
    <w:rsid w:val="074F3B48"/>
    <w:rsid w:val="07AB1F4F"/>
    <w:rsid w:val="07B92530"/>
    <w:rsid w:val="07CD675E"/>
    <w:rsid w:val="0824180A"/>
    <w:rsid w:val="083F3925"/>
    <w:rsid w:val="088B3F81"/>
    <w:rsid w:val="08B51B69"/>
    <w:rsid w:val="08C31E9F"/>
    <w:rsid w:val="08CA729C"/>
    <w:rsid w:val="096075C1"/>
    <w:rsid w:val="0967547C"/>
    <w:rsid w:val="097D5E14"/>
    <w:rsid w:val="09912047"/>
    <w:rsid w:val="09A124C1"/>
    <w:rsid w:val="09EE6B8C"/>
    <w:rsid w:val="0A0A5C9A"/>
    <w:rsid w:val="0A597861"/>
    <w:rsid w:val="0AA51634"/>
    <w:rsid w:val="0AD71AF1"/>
    <w:rsid w:val="0AED5139"/>
    <w:rsid w:val="0AF06518"/>
    <w:rsid w:val="0AFC13B3"/>
    <w:rsid w:val="0C447D60"/>
    <w:rsid w:val="0C791554"/>
    <w:rsid w:val="0C80169F"/>
    <w:rsid w:val="0C8D3822"/>
    <w:rsid w:val="0C9F7E1B"/>
    <w:rsid w:val="0CD97EB8"/>
    <w:rsid w:val="0CDF4390"/>
    <w:rsid w:val="0DBB105E"/>
    <w:rsid w:val="0DCD5FCD"/>
    <w:rsid w:val="0DE30297"/>
    <w:rsid w:val="0DE571C4"/>
    <w:rsid w:val="0E167834"/>
    <w:rsid w:val="0E1E4E1C"/>
    <w:rsid w:val="0E25117B"/>
    <w:rsid w:val="0E4A0B5B"/>
    <w:rsid w:val="0ECA4B93"/>
    <w:rsid w:val="0EE3226E"/>
    <w:rsid w:val="0F2C7B92"/>
    <w:rsid w:val="0F3E6E55"/>
    <w:rsid w:val="0F7A0207"/>
    <w:rsid w:val="0F7A5D17"/>
    <w:rsid w:val="0F9D7148"/>
    <w:rsid w:val="0FC6099B"/>
    <w:rsid w:val="0FEC25B2"/>
    <w:rsid w:val="102E54E2"/>
    <w:rsid w:val="11417D1B"/>
    <w:rsid w:val="11947934"/>
    <w:rsid w:val="11B54A50"/>
    <w:rsid w:val="11C277E8"/>
    <w:rsid w:val="12231707"/>
    <w:rsid w:val="123B2CAC"/>
    <w:rsid w:val="1241180F"/>
    <w:rsid w:val="1287130C"/>
    <w:rsid w:val="128C5415"/>
    <w:rsid w:val="129A3382"/>
    <w:rsid w:val="12C26440"/>
    <w:rsid w:val="13200C60"/>
    <w:rsid w:val="13485D4F"/>
    <w:rsid w:val="13662BC7"/>
    <w:rsid w:val="13916DDD"/>
    <w:rsid w:val="139174DE"/>
    <w:rsid w:val="13D50E4C"/>
    <w:rsid w:val="13FB0149"/>
    <w:rsid w:val="140813BC"/>
    <w:rsid w:val="14592401"/>
    <w:rsid w:val="145D629B"/>
    <w:rsid w:val="14B92005"/>
    <w:rsid w:val="14C85666"/>
    <w:rsid w:val="14F510ED"/>
    <w:rsid w:val="150022F2"/>
    <w:rsid w:val="1500397C"/>
    <w:rsid w:val="153C7CF6"/>
    <w:rsid w:val="15D02220"/>
    <w:rsid w:val="15E66CC6"/>
    <w:rsid w:val="160F4AEA"/>
    <w:rsid w:val="165A4720"/>
    <w:rsid w:val="16BD419D"/>
    <w:rsid w:val="17067812"/>
    <w:rsid w:val="170F56B2"/>
    <w:rsid w:val="17190866"/>
    <w:rsid w:val="172710F6"/>
    <w:rsid w:val="175B5A06"/>
    <w:rsid w:val="17EB2EC7"/>
    <w:rsid w:val="17FB6DB3"/>
    <w:rsid w:val="183D3E82"/>
    <w:rsid w:val="18453B6C"/>
    <w:rsid w:val="186B72E0"/>
    <w:rsid w:val="186E5FC9"/>
    <w:rsid w:val="186F2E95"/>
    <w:rsid w:val="1899562C"/>
    <w:rsid w:val="18A17683"/>
    <w:rsid w:val="18B426AA"/>
    <w:rsid w:val="18BC5975"/>
    <w:rsid w:val="18EF3FBD"/>
    <w:rsid w:val="18FD28AA"/>
    <w:rsid w:val="193523E0"/>
    <w:rsid w:val="194B4D17"/>
    <w:rsid w:val="195A7134"/>
    <w:rsid w:val="19656203"/>
    <w:rsid w:val="19F15969"/>
    <w:rsid w:val="1A4727B6"/>
    <w:rsid w:val="1A753028"/>
    <w:rsid w:val="1A8842C6"/>
    <w:rsid w:val="1B150B96"/>
    <w:rsid w:val="1B221110"/>
    <w:rsid w:val="1B2C35EC"/>
    <w:rsid w:val="1B7464CC"/>
    <w:rsid w:val="1BCE0012"/>
    <w:rsid w:val="1C3A43BD"/>
    <w:rsid w:val="1C602CCE"/>
    <w:rsid w:val="1C81211B"/>
    <w:rsid w:val="1C8338BA"/>
    <w:rsid w:val="1CAE7051"/>
    <w:rsid w:val="1CFE5DAC"/>
    <w:rsid w:val="1D0F0F2B"/>
    <w:rsid w:val="1D134195"/>
    <w:rsid w:val="1D37627A"/>
    <w:rsid w:val="1D3D3C41"/>
    <w:rsid w:val="1DD65F8A"/>
    <w:rsid w:val="1E117B1B"/>
    <w:rsid w:val="1EAD5B10"/>
    <w:rsid w:val="1EAE77B7"/>
    <w:rsid w:val="1ED04CBD"/>
    <w:rsid w:val="1ED70E34"/>
    <w:rsid w:val="1EDB4548"/>
    <w:rsid w:val="1F023680"/>
    <w:rsid w:val="1F054BE9"/>
    <w:rsid w:val="1F27578D"/>
    <w:rsid w:val="1F2E3C4A"/>
    <w:rsid w:val="1F693D6A"/>
    <w:rsid w:val="1F7C1902"/>
    <w:rsid w:val="1F8C5C17"/>
    <w:rsid w:val="1F9B7534"/>
    <w:rsid w:val="1FA5607C"/>
    <w:rsid w:val="1FC42902"/>
    <w:rsid w:val="1FE95125"/>
    <w:rsid w:val="1FFB6348"/>
    <w:rsid w:val="20A66CD7"/>
    <w:rsid w:val="20D275F4"/>
    <w:rsid w:val="21223B6C"/>
    <w:rsid w:val="21245532"/>
    <w:rsid w:val="214A61CA"/>
    <w:rsid w:val="21706ECD"/>
    <w:rsid w:val="217E0942"/>
    <w:rsid w:val="21CD3FF4"/>
    <w:rsid w:val="21D05146"/>
    <w:rsid w:val="22C03463"/>
    <w:rsid w:val="231375D7"/>
    <w:rsid w:val="2322031A"/>
    <w:rsid w:val="23312D90"/>
    <w:rsid w:val="234203AE"/>
    <w:rsid w:val="237864A5"/>
    <w:rsid w:val="23C15FB1"/>
    <w:rsid w:val="23F35F20"/>
    <w:rsid w:val="252662BE"/>
    <w:rsid w:val="25522FA7"/>
    <w:rsid w:val="256B5BA8"/>
    <w:rsid w:val="259434B5"/>
    <w:rsid w:val="25AA365F"/>
    <w:rsid w:val="25B47447"/>
    <w:rsid w:val="25C17900"/>
    <w:rsid w:val="27366AA9"/>
    <w:rsid w:val="278A78B2"/>
    <w:rsid w:val="27A6711D"/>
    <w:rsid w:val="27B86B65"/>
    <w:rsid w:val="27BD3160"/>
    <w:rsid w:val="280F66A2"/>
    <w:rsid w:val="28A60810"/>
    <w:rsid w:val="28B043EB"/>
    <w:rsid w:val="290621CB"/>
    <w:rsid w:val="291504E3"/>
    <w:rsid w:val="29900291"/>
    <w:rsid w:val="29970C45"/>
    <w:rsid w:val="29980E98"/>
    <w:rsid w:val="29D401D8"/>
    <w:rsid w:val="2A1F103F"/>
    <w:rsid w:val="2A7C404C"/>
    <w:rsid w:val="2A8407E2"/>
    <w:rsid w:val="2B144328"/>
    <w:rsid w:val="2B1A65E4"/>
    <w:rsid w:val="2B2E7EA9"/>
    <w:rsid w:val="2B4F473C"/>
    <w:rsid w:val="2B776CEE"/>
    <w:rsid w:val="2B956F5C"/>
    <w:rsid w:val="2BBF0655"/>
    <w:rsid w:val="2BF6462F"/>
    <w:rsid w:val="2C4415F6"/>
    <w:rsid w:val="2C4F74A8"/>
    <w:rsid w:val="2C6A456E"/>
    <w:rsid w:val="2C744D84"/>
    <w:rsid w:val="2CC22948"/>
    <w:rsid w:val="2D121DD6"/>
    <w:rsid w:val="2D1D038D"/>
    <w:rsid w:val="2D291F8D"/>
    <w:rsid w:val="2D8A42DF"/>
    <w:rsid w:val="2D9F3E4A"/>
    <w:rsid w:val="2DC12485"/>
    <w:rsid w:val="2DCE663F"/>
    <w:rsid w:val="2DE3053F"/>
    <w:rsid w:val="2E1B3DA3"/>
    <w:rsid w:val="2E2B68B6"/>
    <w:rsid w:val="2E2C1ECB"/>
    <w:rsid w:val="2E980C62"/>
    <w:rsid w:val="2EFD7554"/>
    <w:rsid w:val="2F441F09"/>
    <w:rsid w:val="2F8533B3"/>
    <w:rsid w:val="2F854921"/>
    <w:rsid w:val="2F8D3DE0"/>
    <w:rsid w:val="2F9F7425"/>
    <w:rsid w:val="2FE31AA9"/>
    <w:rsid w:val="300E5659"/>
    <w:rsid w:val="300F686B"/>
    <w:rsid w:val="30174D13"/>
    <w:rsid w:val="30192678"/>
    <w:rsid w:val="30321575"/>
    <w:rsid w:val="307F3DCD"/>
    <w:rsid w:val="3080313F"/>
    <w:rsid w:val="30815BC7"/>
    <w:rsid w:val="308E1FF4"/>
    <w:rsid w:val="31213203"/>
    <w:rsid w:val="314C30E3"/>
    <w:rsid w:val="3187114E"/>
    <w:rsid w:val="3190682F"/>
    <w:rsid w:val="31E67764"/>
    <w:rsid w:val="321112BF"/>
    <w:rsid w:val="32B312A1"/>
    <w:rsid w:val="32E1761A"/>
    <w:rsid w:val="33365139"/>
    <w:rsid w:val="33373E64"/>
    <w:rsid w:val="33735E18"/>
    <w:rsid w:val="338866D5"/>
    <w:rsid w:val="33FA0B9E"/>
    <w:rsid w:val="34014CDD"/>
    <w:rsid w:val="34060318"/>
    <w:rsid w:val="34151092"/>
    <w:rsid w:val="341718A1"/>
    <w:rsid w:val="342D2DF9"/>
    <w:rsid w:val="343018D1"/>
    <w:rsid w:val="34480E3E"/>
    <w:rsid w:val="34580F7A"/>
    <w:rsid w:val="3491151E"/>
    <w:rsid w:val="34C335CC"/>
    <w:rsid w:val="34D7510A"/>
    <w:rsid w:val="35071BD2"/>
    <w:rsid w:val="353D6D0F"/>
    <w:rsid w:val="35462751"/>
    <w:rsid w:val="356D220C"/>
    <w:rsid w:val="35A22579"/>
    <w:rsid w:val="35E2394D"/>
    <w:rsid w:val="36230BD2"/>
    <w:rsid w:val="36626D4F"/>
    <w:rsid w:val="36A23446"/>
    <w:rsid w:val="36C211E8"/>
    <w:rsid w:val="36DF517A"/>
    <w:rsid w:val="36EB6957"/>
    <w:rsid w:val="37170241"/>
    <w:rsid w:val="374E6454"/>
    <w:rsid w:val="375C3A29"/>
    <w:rsid w:val="37B71C98"/>
    <w:rsid w:val="37BB6361"/>
    <w:rsid w:val="380245A9"/>
    <w:rsid w:val="38646BB2"/>
    <w:rsid w:val="387E0BE7"/>
    <w:rsid w:val="388952A2"/>
    <w:rsid w:val="38AE219D"/>
    <w:rsid w:val="393F6787"/>
    <w:rsid w:val="39A77FF8"/>
    <w:rsid w:val="39ED0F42"/>
    <w:rsid w:val="39FF0FCD"/>
    <w:rsid w:val="3A145BEF"/>
    <w:rsid w:val="3A2C0B2D"/>
    <w:rsid w:val="3A2E1C71"/>
    <w:rsid w:val="3AE26054"/>
    <w:rsid w:val="3B697DCF"/>
    <w:rsid w:val="3B963DCC"/>
    <w:rsid w:val="3BC017D8"/>
    <w:rsid w:val="3BE54324"/>
    <w:rsid w:val="3C120DCE"/>
    <w:rsid w:val="3C1B50CC"/>
    <w:rsid w:val="3C247FD1"/>
    <w:rsid w:val="3C2E1389"/>
    <w:rsid w:val="3C3C53AF"/>
    <w:rsid w:val="3C562D37"/>
    <w:rsid w:val="3C604997"/>
    <w:rsid w:val="3C8F20EF"/>
    <w:rsid w:val="3CB61C27"/>
    <w:rsid w:val="3CC412F5"/>
    <w:rsid w:val="3CE267AB"/>
    <w:rsid w:val="3D184AA2"/>
    <w:rsid w:val="3D472F7B"/>
    <w:rsid w:val="3D4D4F36"/>
    <w:rsid w:val="3D7C436E"/>
    <w:rsid w:val="3D8C189B"/>
    <w:rsid w:val="3DC3411D"/>
    <w:rsid w:val="3E1B6F3E"/>
    <w:rsid w:val="3E250876"/>
    <w:rsid w:val="3E6402FB"/>
    <w:rsid w:val="3EB71306"/>
    <w:rsid w:val="3EDB0155"/>
    <w:rsid w:val="3EDD23AE"/>
    <w:rsid w:val="3F2F0532"/>
    <w:rsid w:val="3F460DFB"/>
    <w:rsid w:val="3F7D2080"/>
    <w:rsid w:val="3F8E20A2"/>
    <w:rsid w:val="3F9A1176"/>
    <w:rsid w:val="3FD35755"/>
    <w:rsid w:val="3FF31891"/>
    <w:rsid w:val="4009208F"/>
    <w:rsid w:val="401D0AD1"/>
    <w:rsid w:val="40774C40"/>
    <w:rsid w:val="41124FDF"/>
    <w:rsid w:val="4137648D"/>
    <w:rsid w:val="41421483"/>
    <w:rsid w:val="4167163A"/>
    <w:rsid w:val="419060BB"/>
    <w:rsid w:val="41AE1E5A"/>
    <w:rsid w:val="4249340E"/>
    <w:rsid w:val="42A15957"/>
    <w:rsid w:val="43123421"/>
    <w:rsid w:val="43524C1B"/>
    <w:rsid w:val="43560A47"/>
    <w:rsid w:val="43667FC1"/>
    <w:rsid w:val="43825489"/>
    <w:rsid w:val="43A02121"/>
    <w:rsid w:val="43E3747C"/>
    <w:rsid w:val="440831C9"/>
    <w:rsid w:val="44143585"/>
    <w:rsid w:val="442F2165"/>
    <w:rsid w:val="448B1B2D"/>
    <w:rsid w:val="44932233"/>
    <w:rsid w:val="44A651C8"/>
    <w:rsid w:val="44CC4DB9"/>
    <w:rsid w:val="44E53D76"/>
    <w:rsid w:val="44F203B0"/>
    <w:rsid w:val="45B173C0"/>
    <w:rsid w:val="45C130AE"/>
    <w:rsid w:val="45F45E43"/>
    <w:rsid w:val="464A7224"/>
    <w:rsid w:val="46925322"/>
    <w:rsid w:val="46DE2931"/>
    <w:rsid w:val="46EC003F"/>
    <w:rsid w:val="47203E65"/>
    <w:rsid w:val="473D3135"/>
    <w:rsid w:val="475C5A14"/>
    <w:rsid w:val="4780078F"/>
    <w:rsid w:val="47892A30"/>
    <w:rsid w:val="47F6672B"/>
    <w:rsid w:val="48752B0C"/>
    <w:rsid w:val="49203ED6"/>
    <w:rsid w:val="49A053C4"/>
    <w:rsid w:val="49F5186C"/>
    <w:rsid w:val="4A0C54ED"/>
    <w:rsid w:val="4A563A83"/>
    <w:rsid w:val="4A693F93"/>
    <w:rsid w:val="4ADE4FE1"/>
    <w:rsid w:val="4B373777"/>
    <w:rsid w:val="4B3A0E1A"/>
    <w:rsid w:val="4B4F27D1"/>
    <w:rsid w:val="4B620573"/>
    <w:rsid w:val="4B62573C"/>
    <w:rsid w:val="4B9049ED"/>
    <w:rsid w:val="4B9D27FE"/>
    <w:rsid w:val="4BF32B9C"/>
    <w:rsid w:val="4C14072C"/>
    <w:rsid w:val="4C154E79"/>
    <w:rsid w:val="4C2B6611"/>
    <w:rsid w:val="4C57495C"/>
    <w:rsid w:val="4C843EBA"/>
    <w:rsid w:val="4CA43495"/>
    <w:rsid w:val="4D0218C9"/>
    <w:rsid w:val="4D300873"/>
    <w:rsid w:val="4DC60462"/>
    <w:rsid w:val="4DE50F62"/>
    <w:rsid w:val="4E120F68"/>
    <w:rsid w:val="4E78452D"/>
    <w:rsid w:val="4E936F19"/>
    <w:rsid w:val="4EE6346A"/>
    <w:rsid w:val="4EF16374"/>
    <w:rsid w:val="4EFA5F9E"/>
    <w:rsid w:val="4F520D78"/>
    <w:rsid w:val="4F581A9E"/>
    <w:rsid w:val="4FC34A03"/>
    <w:rsid w:val="502010C3"/>
    <w:rsid w:val="503A0376"/>
    <w:rsid w:val="508F6A8B"/>
    <w:rsid w:val="50924D1D"/>
    <w:rsid w:val="50A2123E"/>
    <w:rsid w:val="50BD2D16"/>
    <w:rsid w:val="50F72983"/>
    <w:rsid w:val="50FC67CE"/>
    <w:rsid w:val="510E171D"/>
    <w:rsid w:val="51440B3C"/>
    <w:rsid w:val="5175144E"/>
    <w:rsid w:val="5176732E"/>
    <w:rsid w:val="51804191"/>
    <w:rsid w:val="51943D1F"/>
    <w:rsid w:val="51BD6706"/>
    <w:rsid w:val="51C4258E"/>
    <w:rsid w:val="51F24D8E"/>
    <w:rsid w:val="5205614F"/>
    <w:rsid w:val="5252156E"/>
    <w:rsid w:val="525D0C43"/>
    <w:rsid w:val="526511FB"/>
    <w:rsid w:val="52952B4A"/>
    <w:rsid w:val="52D84024"/>
    <w:rsid w:val="52E73392"/>
    <w:rsid w:val="52F641CF"/>
    <w:rsid w:val="53331DBD"/>
    <w:rsid w:val="53805EB0"/>
    <w:rsid w:val="53BB2B1C"/>
    <w:rsid w:val="53C61BDA"/>
    <w:rsid w:val="53EA02E8"/>
    <w:rsid w:val="543A7892"/>
    <w:rsid w:val="54421269"/>
    <w:rsid w:val="544609E9"/>
    <w:rsid w:val="544B74B9"/>
    <w:rsid w:val="5472683E"/>
    <w:rsid w:val="54DC4790"/>
    <w:rsid w:val="55185299"/>
    <w:rsid w:val="556002EE"/>
    <w:rsid w:val="5579622E"/>
    <w:rsid w:val="557D01AF"/>
    <w:rsid w:val="558E533F"/>
    <w:rsid w:val="55BF149D"/>
    <w:rsid w:val="55C82626"/>
    <w:rsid w:val="55D22B0A"/>
    <w:rsid w:val="560B5735"/>
    <w:rsid w:val="560E3D27"/>
    <w:rsid w:val="56131102"/>
    <w:rsid w:val="565F54F3"/>
    <w:rsid w:val="56635236"/>
    <w:rsid w:val="56804416"/>
    <w:rsid w:val="569C6C97"/>
    <w:rsid w:val="56B012E3"/>
    <w:rsid w:val="56C10650"/>
    <w:rsid w:val="56E34E95"/>
    <w:rsid w:val="56E84082"/>
    <w:rsid w:val="56FB0E3A"/>
    <w:rsid w:val="571A64A4"/>
    <w:rsid w:val="57E0354F"/>
    <w:rsid w:val="57F42538"/>
    <w:rsid w:val="585A30CF"/>
    <w:rsid w:val="58BC1A5D"/>
    <w:rsid w:val="58C0018B"/>
    <w:rsid w:val="58C0538A"/>
    <w:rsid w:val="58E94C6F"/>
    <w:rsid w:val="59544025"/>
    <w:rsid w:val="595C71F4"/>
    <w:rsid w:val="5968642B"/>
    <w:rsid w:val="599852F4"/>
    <w:rsid w:val="59A61A69"/>
    <w:rsid w:val="59D503F0"/>
    <w:rsid w:val="59EF4C4E"/>
    <w:rsid w:val="5A1C041B"/>
    <w:rsid w:val="5A7A0DD8"/>
    <w:rsid w:val="5A994AC3"/>
    <w:rsid w:val="5ACC1253"/>
    <w:rsid w:val="5AEB432E"/>
    <w:rsid w:val="5B011F09"/>
    <w:rsid w:val="5B024FE7"/>
    <w:rsid w:val="5B170A79"/>
    <w:rsid w:val="5B304F67"/>
    <w:rsid w:val="5B357917"/>
    <w:rsid w:val="5B4B6497"/>
    <w:rsid w:val="5BA54DF2"/>
    <w:rsid w:val="5BA95B34"/>
    <w:rsid w:val="5BB57F8B"/>
    <w:rsid w:val="5BD007EC"/>
    <w:rsid w:val="5C1B1BD4"/>
    <w:rsid w:val="5C232133"/>
    <w:rsid w:val="5C317C2B"/>
    <w:rsid w:val="5C3B77F4"/>
    <w:rsid w:val="5C7C3C36"/>
    <w:rsid w:val="5C9954F5"/>
    <w:rsid w:val="5CA72BD2"/>
    <w:rsid w:val="5CB52877"/>
    <w:rsid w:val="5D307CCB"/>
    <w:rsid w:val="5D501E23"/>
    <w:rsid w:val="5DB9292F"/>
    <w:rsid w:val="5DD8266E"/>
    <w:rsid w:val="5DDE3819"/>
    <w:rsid w:val="5DED6E6A"/>
    <w:rsid w:val="5E5D3A7A"/>
    <w:rsid w:val="5E901B40"/>
    <w:rsid w:val="5EF10339"/>
    <w:rsid w:val="5F3C0582"/>
    <w:rsid w:val="5FCD010B"/>
    <w:rsid w:val="600840D3"/>
    <w:rsid w:val="60487EA8"/>
    <w:rsid w:val="60672FBB"/>
    <w:rsid w:val="6095000E"/>
    <w:rsid w:val="60B408A6"/>
    <w:rsid w:val="61400600"/>
    <w:rsid w:val="61527F7A"/>
    <w:rsid w:val="61E04804"/>
    <w:rsid w:val="62674D4E"/>
    <w:rsid w:val="62744D51"/>
    <w:rsid w:val="627653A2"/>
    <w:rsid w:val="62E67C6A"/>
    <w:rsid w:val="62EE0877"/>
    <w:rsid w:val="635B55AD"/>
    <w:rsid w:val="636D03E4"/>
    <w:rsid w:val="63822044"/>
    <w:rsid w:val="63A340F4"/>
    <w:rsid w:val="63AB33CD"/>
    <w:rsid w:val="63B07857"/>
    <w:rsid w:val="63B92597"/>
    <w:rsid w:val="63B92F67"/>
    <w:rsid w:val="63E900F3"/>
    <w:rsid w:val="641336DE"/>
    <w:rsid w:val="642D133E"/>
    <w:rsid w:val="64622DC2"/>
    <w:rsid w:val="64BE4060"/>
    <w:rsid w:val="65137696"/>
    <w:rsid w:val="65165F58"/>
    <w:rsid w:val="652872D8"/>
    <w:rsid w:val="65D603A4"/>
    <w:rsid w:val="65F17156"/>
    <w:rsid w:val="666D047C"/>
    <w:rsid w:val="6677509D"/>
    <w:rsid w:val="66E529F2"/>
    <w:rsid w:val="678A454C"/>
    <w:rsid w:val="67945FFE"/>
    <w:rsid w:val="67AA57A1"/>
    <w:rsid w:val="67EF2FCB"/>
    <w:rsid w:val="67F31974"/>
    <w:rsid w:val="68094FAB"/>
    <w:rsid w:val="68195D55"/>
    <w:rsid w:val="68213571"/>
    <w:rsid w:val="683D2BD5"/>
    <w:rsid w:val="68481680"/>
    <w:rsid w:val="68501EED"/>
    <w:rsid w:val="685A302B"/>
    <w:rsid w:val="6878225D"/>
    <w:rsid w:val="68B97183"/>
    <w:rsid w:val="68D3799E"/>
    <w:rsid w:val="68FD56F9"/>
    <w:rsid w:val="690D7EF2"/>
    <w:rsid w:val="6967481E"/>
    <w:rsid w:val="69715F51"/>
    <w:rsid w:val="6A6748B4"/>
    <w:rsid w:val="6A7F59B8"/>
    <w:rsid w:val="6A845977"/>
    <w:rsid w:val="6AA921E0"/>
    <w:rsid w:val="6ADE5AFD"/>
    <w:rsid w:val="6AFA3342"/>
    <w:rsid w:val="6B2A0D43"/>
    <w:rsid w:val="6B352F87"/>
    <w:rsid w:val="6B46238F"/>
    <w:rsid w:val="6B543CE5"/>
    <w:rsid w:val="6B7D0AAD"/>
    <w:rsid w:val="6BB903FD"/>
    <w:rsid w:val="6C1C6C4A"/>
    <w:rsid w:val="6C304C69"/>
    <w:rsid w:val="6C385DB1"/>
    <w:rsid w:val="6C397501"/>
    <w:rsid w:val="6C504F17"/>
    <w:rsid w:val="6C604EB3"/>
    <w:rsid w:val="6C66249B"/>
    <w:rsid w:val="6C922B82"/>
    <w:rsid w:val="6C955A41"/>
    <w:rsid w:val="6CAB2B3A"/>
    <w:rsid w:val="6CBF22B4"/>
    <w:rsid w:val="6D6955CD"/>
    <w:rsid w:val="6D7A0ECF"/>
    <w:rsid w:val="6D8D6582"/>
    <w:rsid w:val="6D971C58"/>
    <w:rsid w:val="6DB9419B"/>
    <w:rsid w:val="6DD2436F"/>
    <w:rsid w:val="6DF4711E"/>
    <w:rsid w:val="6DF54BB2"/>
    <w:rsid w:val="6F6C75FF"/>
    <w:rsid w:val="6F883C8E"/>
    <w:rsid w:val="6F983D49"/>
    <w:rsid w:val="70004BB9"/>
    <w:rsid w:val="703C17BF"/>
    <w:rsid w:val="706C6AED"/>
    <w:rsid w:val="70762956"/>
    <w:rsid w:val="70B401A0"/>
    <w:rsid w:val="70C10DE6"/>
    <w:rsid w:val="714321B1"/>
    <w:rsid w:val="715618B9"/>
    <w:rsid w:val="716E4C5F"/>
    <w:rsid w:val="71AF2A8F"/>
    <w:rsid w:val="71D164FD"/>
    <w:rsid w:val="72444A38"/>
    <w:rsid w:val="725204CD"/>
    <w:rsid w:val="725E5418"/>
    <w:rsid w:val="7271739E"/>
    <w:rsid w:val="72D3669E"/>
    <w:rsid w:val="72DC117A"/>
    <w:rsid w:val="732A3B62"/>
    <w:rsid w:val="732F2D62"/>
    <w:rsid w:val="733A187F"/>
    <w:rsid w:val="739002C1"/>
    <w:rsid w:val="73C62E91"/>
    <w:rsid w:val="741977EC"/>
    <w:rsid w:val="74206276"/>
    <w:rsid w:val="744D6DC6"/>
    <w:rsid w:val="74751E1F"/>
    <w:rsid w:val="74C137E6"/>
    <w:rsid w:val="74C47867"/>
    <w:rsid w:val="75B034D6"/>
    <w:rsid w:val="76697D5A"/>
    <w:rsid w:val="7697005D"/>
    <w:rsid w:val="76AA7519"/>
    <w:rsid w:val="76AE4E93"/>
    <w:rsid w:val="76C16751"/>
    <w:rsid w:val="770249B6"/>
    <w:rsid w:val="775E5427"/>
    <w:rsid w:val="776A4584"/>
    <w:rsid w:val="777B5571"/>
    <w:rsid w:val="777C521C"/>
    <w:rsid w:val="77A7475A"/>
    <w:rsid w:val="77DB64FE"/>
    <w:rsid w:val="782F688A"/>
    <w:rsid w:val="78302BD9"/>
    <w:rsid w:val="783F1122"/>
    <w:rsid w:val="784F24D4"/>
    <w:rsid w:val="786C44E8"/>
    <w:rsid w:val="7873063D"/>
    <w:rsid w:val="78AD67C3"/>
    <w:rsid w:val="78B70207"/>
    <w:rsid w:val="78FE5B2B"/>
    <w:rsid w:val="790C3E24"/>
    <w:rsid w:val="79513B71"/>
    <w:rsid w:val="79743E71"/>
    <w:rsid w:val="79BF3F10"/>
    <w:rsid w:val="79CC7EBF"/>
    <w:rsid w:val="7B19388F"/>
    <w:rsid w:val="7B3B4012"/>
    <w:rsid w:val="7B4C3139"/>
    <w:rsid w:val="7C96366E"/>
    <w:rsid w:val="7CC1770E"/>
    <w:rsid w:val="7CC87B1D"/>
    <w:rsid w:val="7CF44DBC"/>
    <w:rsid w:val="7D87582E"/>
    <w:rsid w:val="7D945C58"/>
    <w:rsid w:val="7DB725B4"/>
    <w:rsid w:val="7DC01112"/>
    <w:rsid w:val="7DCA6BF0"/>
    <w:rsid w:val="7DFE42AD"/>
    <w:rsid w:val="7E0E701D"/>
    <w:rsid w:val="7E260651"/>
    <w:rsid w:val="7E405768"/>
    <w:rsid w:val="7E9D7325"/>
    <w:rsid w:val="7ECE3447"/>
    <w:rsid w:val="7F075F9E"/>
    <w:rsid w:val="7F711321"/>
    <w:rsid w:val="7F8210B6"/>
    <w:rsid w:val="7F8F499B"/>
    <w:rsid w:val="7F900F7B"/>
    <w:rsid w:val="7FA3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330" w:beforeAutospacing="0" w:after="165" w:afterAutospacing="0" w:line="18" w:lineRule="atLeast"/>
      <w:ind w:left="0" w:right="0"/>
      <w:jc w:val="left"/>
    </w:pPr>
    <w:rPr>
      <w:rFonts w:ascii="Helvetica" w:hAnsi="Helvetica" w:eastAsia="Helvetica" w:cs="Helvetica"/>
      <w:b/>
      <w:color w:val="37474F"/>
      <w:kern w:val="44"/>
      <w:sz w:val="42"/>
      <w:szCs w:val="42"/>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000000"/>
      <w:u w:val="none"/>
    </w:rPr>
  </w:style>
  <w:style w:type="character" w:styleId="14">
    <w:name w:val="HTML Definition"/>
    <w:basedOn w:val="11"/>
    <w:semiHidden/>
    <w:unhideWhenUsed/>
    <w:qFormat/>
    <w:uiPriority w:val="99"/>
    <w:rPr>
      <w:i/>
    </w:rPr>
  </w:style>
  <w:style w:type="character" w:styleId="15">
    <w:name w:val="Hyperlink"/>
    <w:basedOn w:val="11"/>
    <w:semiHidden/>
    <w:unhideWhenUsed/>
    <w:qFormat/>
    <w:uiPriority w:val="99"/>
    <w:rPr>
      <w:color w:val="000000"/>
      <w:u w:val="none"/>
    </w:rPr>
  </w:style>
  <w:style w:type="character" w:styleId="16">
    <w:name w:val="HTML Code"/>
    <w:basedOn w:val="11"/>
    <w:semiHidden/>
    <w:unhideWhenUsed/>
    <w:qFormat/>
    <w:uiPriority w:val="99"/>
    <w:rPr>
      <w:rFonts w:hint="default" w:ascii="Consolas" w:hAnsi="Consolas" w:eastAsia="Consolas" w:cs="Consolas"/>
      <w:color w:val="5683AD"/>
      <w:sz w:val="21"/>
      <w:szCs w:val="21"/>
      <w:bdr w:val="single" w:color="BCD8F1" w:sz="6" w:space="0"/>
    </w:rPr>
  </w:style>
  <w:style w:type="character" w:styleId="17">
    <w:name w:val="HTML Keyboard"/>
    <w:basedOn w:val="11"/>
    <w:semiHidden/>
    <w:unhideWhenUsed/>
    <w:qFormat/>
    <w:uiPriority w:val="99"/>
    <w:rPr>
      <w:rFonts w:ascii="Consolas" w:hAnsi="Consolas" w:eastAsia="Consolas" w:cs="Consolas"/>
      <w:color w:val="FFFFFF"/>
      <w:sz w:val="21"/>
      <w:szCs w:val="21"/>
      <w:shd w:val="clear" w:fill="FF6F06"/>
    </w:rPr>
  </w:style>
  <w:style w:type="character" w:styleId="18">
    <w:name w:val="HTML Sample"/>
    <w:basedOn w:val="11"/>
    <w:semiHidden/>
    <w:unhideWhenUsed/>
    <w:qFormat/>
    <w:uiPriority w:val="99"/>
    <w:rPr>
      <w:rFonts w:hint="default" w:ascii="Consolas" w:hAnsi="Consolas" w:eastAsia="Consolas" w:cs="Consolas"/>
      <w:sz w:val="21"/>
      <w:szCs w:val="21"/>
    </w:rPr>
  </w:style>
  <w:style w:type="character" w:customStyle="1" w:styleId="19">
    <w:name w:val="current"/>
    <w:basedOn w:val="11"/>
    <w:qFormat/>
    <w:uiPriority w:val="0"/>
    <w:rPr>
      <w:color w:val="FFFFFF"/>
      <w:bdr w:val="single" w:color="0F83E6" w:sz="6" w:space="0"/>
      <w:shd w:val="clear" w:fill="0F83E6"/>
    </w:rPr>
  </w:style>
  <w:style w:type="character" w:customStyle="1" w:styleId="20">
    <w:name w:val="disabled"/>
    <w:basedOn w:val="11"/>
    <w:qFormat/>
    <w:uiPriority w:val="0"/>
    <w:rPr>
      <w:color w:val="808080"/>
      <w:bdr w:val="single" w:color="E6E3E3" w:sz="6" w:space="0"/>
      <w:shd w:val="clear" w:fill="FFFFFF"/>
    </w:rPr>
  </w:style>
  <w:style w:type="character" w:customStyle="1" w:styleId="21">
    <w:name w:val="flag-icon2"/>
    <w:basedOn w:val="11"/>
    <w:qFormat/>
    <w:uiPriority w:val="0"/>
    <w:rPr>
      <w:sz w:val="45"/>
      <w:szCs w:val="45"/>
    </w:rPr>
  </w:style>
  <w:style w:type="character" w:customStyle="1" w:styleId="22">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0-2021&#23398;&#24180;&#31532;&#19968;&#23398;&#26399;&#26399;&#26411;&#32771;&#35797;&#23433;&#2549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0-2021&#23398;&#24180;&#31532;&#19968;&#23398;&#26399;&#26399;&#26411;&#32771;&#35797;&#23433;&#2549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0-2021&#23398;&#24180;&#31532;&#19968;&#23398;&#26399;&#26399;&#26411;&#32771;&#35797;&#23433;&#254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'[2020-2021学年第一学期期末考试安排.xlsx]Sheet1'!$H$38</c:f>
              <c:strCache>
                <c:ptCount val="1"/>
                <c:pt idx="0">
                  <c:v>2021级新生学制构成</c:v>
                </c:pt>
              </c:strCache>
            </c:strRef>
          </c:tx>
          <c:spPr/>
          <c:explosion val="4"/>
          <c:dPt>
            <c:idx val="0"/>
            <c:bubble3D val="0"/>
            <c:explosion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explosion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explosion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explosion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Lbls>
            <c:dLbl>
              <c:idx val="0"/>
              <c:layout>
                <c:manualLayout>
                  <c:x val="0.133766626360339"/>
                  <c:y val="0.04184100418410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40568319226118"/>
                  <c:y val="-0.1774132937806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72067714631197"/>
                  <c:y val="0.1213389121338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34824667472793"/>
                  <c:y val="0.0083682008368200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5973397823458"/>
                      <c:h val="0.137796373779637"/>
                    </c:manualLayout>
                  </c15:layout>
                </c:ext>
              </c:extLst>
            </c:dLbl>
            <c:dLbl>
              <c:idx val="4"/>
              <c:layout>
                <c:manualLayout>
                  <c:x val="-0.0625180841170724"/>
                  <c:y val="-0.083682008368200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0332527206771"/>
                      <c:h val="0.198047419804742"/>
                    </c:manualLayout>
                  </c15:layout>
                </c:ext>
              </c:extLst>
            </c:dLbl>
            <c:dLbl>
              <c:idx val="5"/>
              <c:layout>
                <c:manualLayout>
                  <c:x val="-0.0226723095525998"/>
                  <c:y val="0.057124722310377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'[2020-2021学年第一学期期末考试安排.xlsx]Sheet1'!$G$39:$G$44</c:f>
              <c:strCache>
                <c:ptCount val="6"/>
                <c:pt idx="0">
                  <c:v>技师+大专</c:v>
                </c:pt>
                <c:pt idx="1">
                  <c:v>高级工+大专</c:v>
                </c:pt>
                <c:pt idx="2">
                  <c:v>大专</c:v>
                </c:pt>
                <c:pt idx="3">
                  <c:v>3+4中本一体化</c:v>
                </c:pt>
                <c:pt idx="4">
                  <c:v>3+2中高职一体化</c:v>
                </c:pt>
                <c:pt idx="5">
                  <c:v>中级工</c:v>
                </c:pt>
              </c:strCache>
            </c:strRef>
          </c:cat>
          <c:val>
            <c:numRef>
              <c:f>'[2020-2021学年第一学期期末考试安排.xlsx]Sheet1'!$H$39:$H$44</c:f>
              <c:numCache>
                <c:formatCode>General</c:formatCode>
                <c:ptCount val="6"/>
                <c:pt idx="0">
                  <c:v>165</c:v>
                </c:pt>
                <c:pt idx="1">
                  <c:v>1812</c:v>
                </c:pt>
                <c:pt idx="2">
                  <c:v>104</c:v>
                </c:pt>
                <c:pt idx="3">
                  <c:v>37</c:v>
                </c:pt>
                <c:pt idx="4">
                  <c:v>127</c:v>
                </c:pt>
                <c:pt idx="5">
                  <c:v>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4"/>
          <c:dPt>
            <c:idx val="0"/>
            <c:bubble3D val="0"/>
            <c:explosion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explosion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explosion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explosion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dPt>
          <c:dPt>
            <c:idx val="7"/>
            <c:bubble3D val="0"/>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dPt>
          <c:dPt>
            <c:idx val="8"/>
            <c:bubble3D val="0"/>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dPt>
          <c:dLbls>
            <c:dLbl>
              <c:idx val="0"/>
              <c:layout>
                <c:manualLayout>
                  <c:x val="0.158333333333333"/>
                  <c:y val="0.1180555555555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
                  <c:y val="0.03819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0416666666667"/>
                  <c:y val="-0.020833333333333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41666666666667"/>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4375"/>
                  <c:y val="0.01388888888888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625"/>
                  <c:y val="0.02777777777777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266402838427948"/>
                  <c:y val="0.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17967612809315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170833333333333"/>
                  <c:y val="0.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'[2020-2021学年第一学期期末考试安排.xlsx]Sheet1'!$K$55:$K$63</c:f>
              <c:strCache>
                <c:ptCount val="9"/>
                <c:pt idx="0">
                  <c:v>汽车技术系</c:v>
                </c:pt>
                <c:pt idx="1">
                  <c:v>汽车服务系</c:v>
                </c:pt>
                <c:pt idx="2">
                  <c:v>机电技术系</c:v>
                </c:pt>
                <c:pt idx="3">
                  <c:v>经济贸易系</c:v>
                </c:pt>
                <c:pt idx="4">
                  <c:v>余姚教学点</c:v>
                </c:pt>
                <c:pt idx="5">
                  <c:v>丽水分部</c:v>
                </c:pt>
                <c:pt idx="6">
                  <c:v>常山教学点</c:v>
                </c:pt>
                <c:pt idx="7">
                  <c:v>临海教学点</c:v>
                </c:pt>
                <c:pt idx="8">
                  <c:v>温州教学点</c:v>
                </c:pt>
              </c:strCache>
            </c:strRef>
          </c:cat>
          <c:val>
            <c:numRef>
              <c:f>'[2020-2021学年第一学期期末考试安排.xlsx]Sheet1'!$L$55:$L$63</c:f>
              <c:numCache>
                <c:formatCode>General</c:formatCode>
                <c:ptCount val="9"/>
                <c:pt idx="0">
                  <c:v>551</c:v>
                </c:pt>
                <c:pt idx="1">
                  <c:v>451</c:v>
                </c:pt>
                <c:pt idx="2">
                  <c:v>572</c:v>
                </c:pt>
                <c:pt idx="3">
                  <c:v>604</c:v>
                </c:pt>
                <c:pt idx="4">
                  <c:v>52</c:v>
                </c:pt>
                <c:pt idx="5">
                  <c:v>404</c:v>
                </c:pt>
                <c:pt idx="6">
                  <c:v>74</c:v>
                </c:pt>
                <c:pt idx="7">
                  <c:v>97</c:v>
                </c:pt>
                <c:pt idx="8">
                  <c:v>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'[2020-2021学年第一学期期末考试安排.xlsx]Sheet2'!$J$18</c:f>
              <c:strCache>
                <c:ptCount val="1"/>
                <c:pt idx="0">
                  <c:v>2018年</c:v>
                </c:pt>
              </c:strCache>
            </c:strRef>
          </c:tx>
          <c:spPr>
            <a:solidFill>
              <a:schemeClr val="accent1"/>
            </a:solidFill>
            <a:ln>
              <a:noFill/>
            </a:ln>
            <a:effectLst/>
          </c:spPr>
          <c:invertIfNegative val="0"/>
          <c:dLbls>
            <c:dLbl>
              <c:idx val="0"/>
              <c:layout>
                <c:manualLayout>
                  <c:x val="-0.0156821745948772"/>
                  <c:y val="0.00733855185909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6027182435964"/>
                  <c:y val="0.01467710371819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6027182435964"/>
                  <c:y val="0.01100782778864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87506534239415"/>
                  <c:y val="0.02568493150684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21605109480863"/>
                  <c:y val="0.04296710643032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78985886042865"/>
                  <c:y val="0.04036203522504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46404466615515"/>
                  <c:y val="0.006274347134829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'[2020-2021学年第一学期期末考试安排.xlsx]Sheet2'!$I$19:$I$25</c:f>
              <c:strCache>
                <c:ptCount val="7"/>
                <c:pt idx="0">
                  <c:v>学生理论学习满意度</c:v>
                </c:pt>
                <c:pt idx="1">
                  <c:v>专业学习满意度</c:v>
                </c:pt>
                <c:pt idx="2">
                  <c:v>实习实训满意度</c:v>
                </c:pt>
                <c:pt idx="3">
                  <c:v>校园文化与社团活动满意度</c:v>
                </c:pt>
                <c:pt idx="4">
                  <c:v>生活满意度</c:v>
                </c:pt>
                <c:pt idx="5">
                  <c:v>校园安全满意度</c:v>
                </c:pt>
                <c:pt idx="6">
                  <c:v>毕业生对学院的满意度</c:v>
                </c:pt>
              </c:strCache>
            </c:strRef>
          </c:cat>
          <c:val>
            <c:numRef>
              <c:f>'[2020-2021学年第一学期期末考试安排.xlsx]Sheet2'!$J$19:$J$25</c:f>
              <c:numCache>
                <c:formatCode>0.00%</c:formatCode>
                <c:ptCount val="7"/>
                <c:pt idx="0">
                  <c:v>0.9252</c:v>
                </c:pt>
                <c:pt idx="1">
                  <c:v>0.9234</c:v>
                </c:pt>
                <c:pt idx="2">
                  <c:v>0.9215</c:v>
                </c:pt>
                <c:pt idx="3">
                  <c:v>0.9183</c:v>
                </c:pt>
                <c:pt idx="4">
                  <c:v>0.9167</c:v>
                </c:pt>
                <c:pt idx="5">
                  <c:v>0.9139</c:v>
                </c:pt>
                <c:pt idx="6">
                  <c:v>0.9942</c:v>
                </c:pt>
              </c:numCache>
            </c:numRef>
          </c:val>
        </c:ser>
        <c:ser>
          <c:idx val="1"/>
          <c:order val="1"/>
          <c:tx>
            <c:strRef>
              <c:f>'[2020-2021学年第一学期期末考试安排.xlsx]Sheet2'!$K$18</c:f>
              <c:strCache>
                <c:ptCount val="1"/>
                <c:pt idx="0">
                  <c:v>2019年</c:v>
                </c:pt>
              </c:strCache>
            </c:strRef>
          </c:tx>
          <c:spPr>
            <a:solidFill>
              <a:schemeClr val="accent2"/>
            </a:solidFill>
            <a:ln>
              <a:noFill/>
            </a:ln>
            <a:effectLst/>
          </c:spPr>
          <c:invertIfNegative val="0"/>
          <c:dLbls>
            <c:dLbl>
              <c:idx val="0"/>
              <c:layout>
                <c:manualLayout>
                  <c:x val="0.00130684788290643"/>
                  <c:y val="-0.02568493150684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30684788290643"/>
                  <c:y val="-0.01467710371819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3753267119707"/>
                  <c:y val="-0.04036203522504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998400639744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454783063251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3302348336594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'[2020-2021学年第一学期期末考试安排.xlsx]Sheet2'!$I$19:$I$25</c:f>
              <c:strCache>
                <c:ptCount val="7"/>
                <c:pt idx="0">
                  <c:v>学生理论学习满意度</c:v>
                </c:pt>
                <c:pt idx="1">
                  <c:v>专业学习满意度</c:v>
                </c:pt>
                <c:pt idx="2">
                  <c:v>实习实训满意度</c:v>
                </c:pt>
                <c:pt idx="3">
                  <c:v>校园文化与社团活动满意度</c:v>
                </c:pt>
                <c:pt idx="4">
                  <c:v>生活满意度</c:v>
                </c:pt>
                <c:pt idx="5">
                  <c:v>校园安全满意度</c:v>
                </c:pt>
                <c:pt idx="6">
                  <c:v>毕业生对学院的满意度</c:v>
                </c:pt>
              </c:strCache>
            </c:strRef>
          </c:cat>
          <c:val>
            <c:numRef>
              <c:f>'[2020-2021学年第一学期期末考试安排.xlsx]Sheet2'!$K$19:$K$25</c:f>
              <c:numCache>
                <c:formatCode>0.00%</c:formatCode>
                <c:ptCount val="7"/>
                <c:pt idx="0">
                  <c:v>0.9569</c:v>
                </c:pt>
                <c:pt idx="1">
                  <c:v>0.9622</c:v>
                </c:pt>
                <c:pt idx="2">
                  <c:v>0.9587</c:v>
                </c:pt>
                <c:pt idx="3">
                  <c:v>0.926</c:v>
                </c:pt>
                <c:pt idx="4">
                  <c:v>0.9224</c:v>
                </c:pt>
                <c:pt idx="5">
                  <c:v>0.9213</c:v>
                </c:pt>
                <c:pt idx="6">
                  <c:v>0.995</c:v>
                </c:pt>
              </c:numCache>
            </c:numRef>
          </c:val>
        </c:ser>
        <c:ser>
          <c:idx val="2"/>
          <c:order val="2"/>
          <c:tx>
            <c:strRef>
              <c:f>'[2020-2021学年第一学期期末考试安排.xlsx]Sheet2'!$L$18</c:f>
              <c:strCache>
                <c:ptCount val="1"/>
                <c:pt idx="0">
                  <c:v>2020年</c:v>
                </c:pt>
              </c:strCache>
            </c:strRef>
          </c:tx>
          <c:spPr>
            <a:solidFill>
              <a:schemeClr val="accent3"/>
            </a:solidFill>
            <a:ln>
              <a:noFill/>
            </a:ln>
            <a:effectLst/>
          </c:spPr>
          <c:invertIfNegative val="0"/>
          <c:dLbls>
            <c:dLbl>
              <c:idx val="0"/>
              <c:layout>
                <c:manualLayout>
                  <c:x val="0.0228828141160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4523840228676"/>
                  <c:y val="-0.006274347134829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48301097752222"/>
                  <c:y val="0.00366927592954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00575013068479"/>
                  <c:y val="-0.05136986301369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35232618923157"/>
                  <c:y val="-0.01100782778864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30684788290643"/>
                  <c:y val="-0.0366927592954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659174072138"/>
                  <c:y val="0.00366927592954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'[2020-2021学年第一学期期末考试安排.xlsx]Sheet2'!$I$19:$I$25</c:f>
              <c:strCache>
                <c:ptCount val="7"/>
                <c:pt idx="0">
                  <c:v>学生理论学习满意度</c:v>
                </c:pt>
                <c:pt idx="1">
                  <c:v>专业学习满意度</c:v>
                </c:pt>
                <c:pt idx="2">
                  <c:v>实习实训满意度</c:v>
                </c:pt>
                <c:pt idx="3">
                  <c:v>校园文化与社团活动满意度</c:v>
                </c:pt>
                <c:pt idx="4">
                  <c:v>生活满意度</c:v>
                </c:pt>
                <c:pt idx="5">
                  <c:v>校园安全满意度</c:v>
                </c:pt>
                <c:pt idx="6">
                  <c:v>毕业生对学院的满意度</c:v>
                </c:pt>
              </c:strCache>
            </c:strRef>
          </c:cat>
          <c:val>
            <c:numRef>
              <c:f>'[2020-2021学年第一学期期末考试安排.xlsx]Sheet2'!$L$19:$L$25</c:f>
              <c:numCache>
                <c:formatCode>0.00%</c:formatCode>
                <c:ptCount val="7"/>
                <c:pt idx="0">
                  <c:v>0.9449</c:v>
                </c:pt>
                <c:pt idx="1">
                  <c:v>0.9419</c:v>
                </c:pt>
                <c:pt idx="2">
                  <c:v>0.9405</c:v>
                </c:pt>
                <c:pt idx="3">
                  <c:v>0.9401</c:v>
                </c:pt>
                <c:pt idx="4">
                  <c:v>0.9412</c:v>
                </c:pt>
                <c:pt idx="5">
                  <c:v>0.9351</c:v>
                </c:pt>
                <c:pt idx="6" c:formatCode="0%">
                  <c:v>0.99</c:v>
                </c:pt>
              </c:numCache>
            </c:numRef>
          </c:val>
        </c:ser>
        <c:dLbls>
          <c:showLegendKey val="0"/>
          <c:showVal val="1"/>
          <c:showCatName val="0"/>
          <c:showSerName val="0"/>
          <c:showPercent val="0"/>
          <c:showBubbleSize val="0"/>
        </c:dLbls>
        <c:gapWidth val="199"/>
        <c:overlap val="0"/>
        <c:axId val="68651538"/>
        <c:axId val="208122434"/>
      </c:barChart>
      <c:catAx>
        <c:axId val="686515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latin typeface="+mn-lt"/>
                <a:ea typeface="+mn-ea"/>
                <a:cs typeface="+mn-cs"/>
              </a:defRPr>
            </a:pPr>
          </a:p>
        </c:txPr>
        <c:crossAx val="208122434"/>
        <c:crosses val="autoZero"/>
        <c:auto val="1"/>
        <c:lblAlgn val="ctr"/>
        <c:lblOffset val="100"/>
        <c:noMultiLvlLbl val="0"/>
      </c:catAx>
      <c:valAx>
        <c:axId val="20812243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68651538"/>
        <c:crosses val="autoZero"/>
        <c:crossBetween val="between"/>
      </c:valAx>
      <c:spPr>
        <a:noFill/>
        <a:ln>
          <a:solidFill>
            <a:schemeClr val="bg1"/>
          </a:solid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376981796829125"/>
          <c:y val="0.048399106478034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sz="10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170</Words>
  <Characters>975</Characters>
  <Lines>8</Lines>
  <Paragraphs>2</Paragraphs>
  <TotalTime>19</TotalTime>
  <ScaleCrop>false</ScaleCrop>
  <LinksUpToDate>false</LinksUpToDate>
  <CharactersWithSpaces>1143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2018-11-02T01:13:00Z</dcterms:created>
  <dc:creator>USER</dc:creator>
  <cp:lastModifiedBy>欧</cp:lastModifiedBy>
  <dcterms:modified xsi:type="dcterms:W3CDTF">2021-02-01T04:07:07Z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