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0"/>
          <w:szCs w:val="40"/>
        </w:rPr>
      </w:pPr>
    </w:p>
    <w:p>
      <w:pPr>
        <w:jc w:val="center"/>
        <w:rPr>
          <w:rFonts w:ascii="黑体" w:hAnsi="黑体" w:eastAsia="黑体" w:cs="宋体"/>
          <w:bCs/>
          <w:kern w:val="0"/>
          <w:sz w:val="32"/>
          <w:szCs w:val="32"/>
        </w:rPr>
      </w:pPr>
      <w:r>
        <w:rPr>
          <w:rFonts w:hint="eastAsia" w:ascii="方正小标宋简体" w:hAnsi="宋体" w:eastAsia="方正小标宋简体" w:cs="宋体"/>
          <w:kern w:val="0"/>
          <w:sz w:val="40"/>
          <w:szCs w:val="40"/>
        </w:rPr>
        <w:t>20</w:t>
      </w:r>
      <w:r>
        <w:rPr>
          <w:rFonts w:ascii="方正小标宋简体" w:hAnsi="宋体" w:eastAsia="方正小标宋简体" w:cs="宋体"/>
          <w:kern w:val="0"/>
          <w:sz w:val="40"/>
          <w:szCs w:val="40"/>
        </w:rPr>
        <w:t>21</w:t>
      </w:r>
      <w:r>
        <w:rPr>
          <w:rFonts w:hint="eastAsia" w:ascii="方正小标宋简体" w:hAnsi="宋体" w:eastAsia="方正小标宋简体" w:cs="宋体"/>
          <w:kern w:val="0"/>
          <w:sz w:val="40"/>
          <w:szCs w:val="40"/>
        </w:rPr>
        <w:t>年浙江省教学成果奖</w:t>
      </w:r>
      <w:r>
        <w:rPr>
          <w:rFonts w:hint="eastAsia" w:ascii="方正小标宋简体" w:hAnsi="宋体" w:eastAsia="方正小标宋简体" w:cs="宋体"/>
          <w:kern w:val="0"/>
          <w:sz w:val="40"/>
          <w:szCs w:val="40"/>
          <w:lang w:eastAsia="zh-CN"/>
        </w:rPr>
        <w:t>推荐</w:t>
      </w:r>
      <w:r>
        <w:rPr>
          <w:rFonts w:hint="eastAsia" w:ascii="方正小标宋简体" w:hAnsi="宋体" w:eastAsia="方正小标宋简体" w:cs="宋体"/>
          <w:kern w:val="0"/>
          <w:sz w:val="40"/>
          <w:szCs w:val="40"/>
        </w:rPr>
        <w:t>名单</w:t>
      </w:r>
    </w:p>
    <w:p>
      <w:pPr>
        <w:ind w:firstLine="160" w:firstLineChars="50"/>
        <w:jc w:val="center"/>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lang w:eastAsia="zh-CN"/>
        </w:rPr>
        <w:t>（</w:t>
      </w:r>
      <w:r>
        <w:rPr>
          <w:rFonts w:hint="eastAsia" w:ascii="楷体_GB2312" w:hAnsi="楷体_GB2312" w:eastAsia="楷体_GB2312" w:cs="楷体_GB2312"/>
          <w:bCs/>
          <w:kern w:val="0"/>
          <w:sz w:val="32"/>
          <w:szCs w:val="32"/>
        </w:rPr>
        <w:t>高等教育类</w:t>
      </w:r>
      <w:r>
        <w:rPr>
          <w:rFonts w:hint="eastAsia" w:ascii="楷体_GB2312" w:hAnsi="楷体_GB2312" w:eastAsia="楷体_GB2312" w:cs="楷体_GB2312"/>
          <w:bCs/>
          <w:kern w:val="0"/>
          <w:sz w:val="32"/>
          <w:szCs w:val="32"/>
          <w:lang w:eastAsia="zh-CN"/>
        </w:rPr>
        <w:t>）</w:t>
      </w:r>
    </w:p>
    <w:p>
      <w:pPr>
        <w:ind w:firstLine="160" w:firstLineChars="50"/>
        <w:rPr>
          <w:rFonts w:ascii="黑体" w:hAnsi="黑体" w:eastAsia="黑体"/>
          <w:sz w:val="32"/>
          <w:szCs w:val="32"/>
        </w:rPr>
      </w:pPr>
      <w:r>
        <w:rPr>
          <w:rFonts w:hint="eastAsia" w:ascii="黑体" w:hAnsi="黑体" w:eastAsia="黑体" w:cs="宋体"/>
          <w:bCs/>
          <w:kern w:val="0"/>
          <w:sz w:val="32"/>
          <w:szCs w:val="32"/>
        </w:rPr>
        <w:t>（一）特等奖（25项）</w:t>
      </w:r>
    </w:p>
    <w:tbl>
      <w:tblPr>
        <w:tblStyle w:val="4"/>
        <w:tblW w:w="10425" w:type="dxa"/>
        <w:jc w:val="center"/>
        <w:tblLayout w:type="fixed"/>
        <w:tblCellMar>
          <w:top w:w="0" w:type="dxa"/>
          <w:left w:w="108" w:type="dxa"/>
          <w:bottom w:w="0" w:type="dxa"/>
          <w:right w:w="108" w:type="dxa"/>
        </w:tblCellMar>
      </w:tblPr>
      <w:tblGrid>
        <w:gridCol w:w="776"/>
        <w:gridCol w:w="3521"/>
        <w:gridCol w:w="4223"/>
        <w:gridCol w:w="1905"/>
      </w:tblGrid>
      <w:tr>
        <w:tblPrEx>
          <w:tblCellMar>
            <w:top w:w="0" w:type="dxa"/>
            <w:left w:w="108" w:type="dxa"/>
            <w:bottom w:w="0" w:type="dxa"/>
            <w:right w:w="108" w:type="dxa"/>
          </w:tblCellMar>
        </w:tblPrEx>
        <w:trPr>
          <w:trHeight w:val="7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352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成 果 名 称</w:t>
            </w:r>
          </w:p>
        </w:tc>
        <w:tc>
          <w:tcPr>
            <w:tcW w:w="422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主要完成人</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申报单位</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“知识、能力、素质、人格”并重的KAQ2.0新时代一流本科教育体系</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吴朝晖、张光新、胡吉明、李恒威、罗建红、陆国栋、刘向东、邬小撑、郭文刚、邱利民、金娟琴、刘鹏、顾颖杰、杨旸、王英芳</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“力学3.0”导向的工程科学前沿拔尖创新人才培养体系构建与实践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杨卫、赵沛、李振华、王永、曲绍兴、王惠明、王宏涛、金肖玲、吴昌聚、庄表中</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“以我为主、一对多、高水平”打造国际合作教育样板区</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何莲珍、欧阳宏伟、李尔平、傅强、诸葛洋、王玉芬、周金其、屈利娟、瞿海东、Susan Welburn、Philip Krein</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新医科视阈下的“医学+”交叉融合卓越人才培养新模式探索与实践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周天华、徐凌霄、马振秋、韩魏、徐骁、李晓明、许正平、柯越海、方向明、林卓清、应婧倞、沈思思、丁萌琪、赵丽娜、张莎、邢沁青、许士琪、冯吉妤</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评估牵引、声誉导向、多方联动的竞赛治理优化及其成效</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陆国栋、赵春鱼、何钦铭、陈临强、吴英策、颜晖、张炜、张克俊、顾大强、魏志渊、王进、张聪、赵燕、阚阅、孙永乐</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浙江大学、中国高等教育学会、中国计量大学、杭州电子科技大学、浙大城市学院、杭州简学科技有限公司</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以科研驱动式教学为核心的经济学人才研究创新能力提升范式的探索与实践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方红生、黄先海、潘士远、陆菁、朱柏铭、黄勇</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新时代背景下的全面助教制度改革与实践：从理科公共基础课程试点开始</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胡吉明、方文军、王彦广、赵华绒、盛为民、赵道木、王晓莹、杨旸、吕萍、彭笑刚、刘占祥、吴百乐、张嘉捷、谭桂娥</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以生为本、整合创新、科教互促—食品保藏课程群教学改革与实践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罗自生、茅林春、叶兴乾、张良、刘鹏、李莉、陈士国、应铁进、吴丹、李阳</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w:t>
            </w:r>
          </w:p>
        </w:tc>
        <w:tc>
          <w:tcPr>
            <w:tcW w:w="352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厚植家国情怀的机械工程全员、全过程、 全方位育人体系探索与实践</w:t>
            </w:r>
          </w:p>
        </w:tc>
        <w:tc>
          <w:tcPr>
            <w:tcW w:w="4223"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杨华勇、梅德庆、项淑芳、刘振宇、王晓莹、闫小龙、王芳官、宋晓云、叶建芳、张瑜彬、金娟霞</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36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w:t>
            </w:r>
          </w:p>
        </w:tc>
        <w:tc>
          <w:tcPr>
            <w:tcW w:w="352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基于Wet Lab平台、以临床能力为导向的眼科专业学位研究生教学改革与实践</w:t>
            </w:r>
          </w:p>
        </w:tc>
        <w:tc>
          <w:tcPr>
            <w:tcW w:w="4223"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姚克、申屠形超、杨亚波、方肖云、叶娟、徐雯、汤霞靖、张丽、朱亚楠、鱼音慧</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卓越博士研究生学位质量保障与监督体系的构建与实践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叶恭银、蒋笑莉、衣龙涛、郑龑、陈良、汪海飞、王树正、张君、韩淑云、凌正鸯、朱丹薇、王岐琦、梁君英、王家平</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12</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直面产业复合交叉工程类专业学位硕士研究生培养模式系统性改革方案</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韦巍、严建华、吴健、陈丰秋、江全元、章献民、周文文、赵阳、赵张耀、陈智峰、刘翔、俞小莉、喻嘉乐、陈金飞、张聪、任洪波、林志红</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以人民为中心——高等艺术教育“同轴双向”的育人体系建构与实践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许江、高世名、封治国、何红舟、邬大勇、杨奇瑞、班陵生、黄骏、盛天晔、张春艳</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课程思政、专业思政、教师思政一体化建设的探索与实践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虞晓芬、蓝汉林、江颉、陈冲、方学礼、袁旦、孙建强、邢乐勤、许伟通、杨克勤</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地方工科院校以能力为导向的大学物理教学新范式</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施建青、徐志君、林强、魏高尧、李珍、童建平、王俊杰</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三维耦合•三链融合 培养生物产业工程科技创新人才</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郑裕国、郑仁朝、吴石金、王亚军、钟卫鸿、汤晓玲、章银军、余志良、王远山、应向贤</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17</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思创融汇  专创融合 师创融通——师范院校创新创业教育体系的探索与实践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郑孟状、王淑娉、温建明、魏梦璐、郑文哲、叶志雄、马莉、陈海峰、陈乃启、朱哲成</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18</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基于RICH理念的中学英语卓越教师培养模式15年探索与实践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胡美馨、骆传伟、俞明祥、竺金飞、胡伟杰、俞燕明、孔菊芳、张亚萍、郑志恋、罗晓杰</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19</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“三化•三教”培养面向纺织新经济的“三创”人才</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陈文兴、周赳、陈建勇、盛清、傅雅琴、祝成炎、邹奉元、陈敏之、于斌、胡毅</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浙江理工大学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面向工程创新能力培养，构建电子类专业实践育人新体系</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陈龙、程知群、李文钧、高明煜、黄继业、王光义、马学条、郑鹏</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经济统计人才一体多元“CAMP”能力培养模式的探索与实践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苏为华、陈钰芬、陈骥、张崇辉、陈宜治、徐蔼婷、浦国华、曾慧、向书坚、朱贺</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浙江工商大学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长效协同，多元融合，培养适宜行业发展需求的高层次创新人才的探索与实践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俞晓平、李海芬、张勇、李战国、孙坚、冯爱明、李运堂、梁晓瑜、王义康、陈春</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中国计量大学</w:t>
            </w:r>
          </w:p>
        </w:tc>
      </w:tr>
      <w:tr>
        <w:trPr>
          <w:trHeight w:val="7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c>
          <w:tcPr>
            <w:tcW w:w="352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以“创新药物研发链”为主线的生物制药人才培养模式的构建与实践</w:t>
            </w:r>
          </w:p>
        </w:tc>
        <w:tc>
          <w:tcPr>
            <w:tcW w:w="4223"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林丽、卫涛、蔡琳、田海山、王晓杰、黄志锋、王文秀、惠琦、叶发青、李校堃</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温州医科大学</w:t>
            </w:r>
          </w:p>
        </w:tc>
      </w:tr>
      <w:tr>
        <w:tblPrEx>
          <w:tblCellMar>
            <w:top w:w="0" w:type="dxa"/>
            <w:left w:w="108" w:type="dxa"/>
            <w:bottom w:w="0" w:type="dxa"/>
            <w:right w:w="108" w:type="dxa"/>
          </w:tblCellMar>
        </w:tblPrEx>
        <w:trPr>
          <w:trHeight w:val="7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c>
          <w:tcPr>
            <w:tcW w:w="352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专创融合 分层递进：以岗位创业为导向的创新创业育人体系20年探索与实践</w:t>
            </w:r>
          </w:p>
        </w:tc>
        <w:tc>
          <w:tcPr>
            <w:tcW w:w="4223"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黄兆信、黄扬杰、罗志敏、李雨蕙、翁灵丽、温怀德、章瑞智、丁放、钱波</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杭州师范大学、温州医科大学、华南师范大学</w:t>
            </w:r>
          </w:p>
        </w:tc>
      </w:tr>
      <w:tr>
        <w:tblPrEx>
          <w:tblCellMar>
            <w:top w:w="0" w:type="dxa"/>
            <w:left w:w="108" w:type="dxa"/>
            <w:bottom w:w="0" w:type="dxa"/>
            <w:right w:w="108" w:type="dxa"/>
          </w:tblCellMar>
        </w:tblPrEx>
        <w:trPr>
          <w:trHeight w:val="702" w:hRule="atLeast"/>
          <w:jc w:val="center"/>
        </w:trPr>
        <w:tc>
          <w:tcPr>
            <w:tcW w:w="776"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c>
          <w:tcPr>
            <w:tcW w:w="352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红船精神育人体系的构建与实践</w:t>
            </w:r>
          </w:p>
        </w:tc>
        <w:tc>
          <w:tcPr>
            <w:tcW w:w="4223"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卢新波、黄文秀、吕延勤、陈立力、彭冰冰、富华、李蕾、洪坚、徐永良、张琦</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嘉兴学院</w:t>
            </w:r>
          </w:p>
        </w:tc>
      </w:tr>
    </w:tbl>
    <w:p>
      <w:pPr>
        <w:ind w:firstLine="160" w:firstLineChars="50"/>
        <w:rPr>
          <w:rFonts w:hint="eastAsia" w:ascii="黑体" w:hAnsi="黑体" w:eastAsia="黑体" w:cs="宋体"/>
          <w:bCs/>
          <w:kern w:val="0"/>
          <w:sz w:val="32"/>
          <w:szCs w:val="32"/>
        </w:rPr>
      </w:pPr>
    </w:p>
    <w:p>
      <w:pPr>
        <w:ind w:firstLine="160" w:firstLineChars="50"/>
        <w:rPr>
          <w:rFonts w:hint="eastAsia" w:ascii="黑体" w:hAnsi="黑体" w:eastAsia="黑体" w:cs="宋体"/>
          <w:bCs/>
          <w:kern w:val="0"/>
          <w:sz w:val="32"/>
          <w:szCs w:val="32"/>
        </w:rPr>
      </w:pPr>
    </w:p>
    <w:p>
      <w:pPr>
        <w:ind w:firstLine="160" w:firstLineChars="50"/>
        <w:rPr>
          <w:rFonts w:hint="eastAsia" w:ascii="黑体" w:hAnsi="黑体" w:eastAsia="黑体" w:cs="宋体"/>
          <w:bCs/>
          <w:kern w:val="0"/>
          <w:sz w:val="32"/>
          <w:szCs w:val="32"/>
        </w:rPr>
      </w:pPr>
    </w:p>
    <w:p>
      <w:pPr>
        <w:ind w:firstLine="160" w:firstLineChars="50"/>
        <w:rPr>
          <w:rFonts w:ascii="黑体" w:hAnsi="黑体" w:eastAsia="黑体"/>
          <w:sz w:val="32"/>
          <w:szCs w:val="32"/>
        </w:rPr>
      </w:pPr>
      <w:bookmarkStart w:id="0" w:name="_GoBack"/>
      <w:bookmarkEnd w:id="0"/>
      <w:r>
        <w:rPr>
          <w:rFonts w:hint="eastAsia" w:ascii="黑体" w:hAnsi="黑体" w:eastAsia="黑体" w:cs="宋体"/>
          <w:bCs/>
          <w:kern w:val="0"/>
          <w:sz w:val="32"/>
          <w:szCs w:val="32"/>
        </w:rPr>
        <w:t>（二）一等奖（80项）</w:t>
      </w:r>
    </w:p>
    <w:tbl>
      <w:tblPr>
        <w:tblStyle w:val="4"/>
        <w:tblW w:w="9993" w:type="dxa"/>
        <w:jc w:val="center"/>
        <w:tblLayout w:type="fixed"/>
        <w:tblCellMar>
          <w:top w:w="0" w:type="dxa"/>
          <w:left w:w="108" w:type="dxa"/>
          <w:bottom w:w="0" w:type="dxa"/>
          <w:right w:w="108" w:type="dxa"/>
        </w:tblCellMar>
      </w:tblPr>
      <w:tblGrid>
        <w:gridCol w:w="780"/>
        <w:gridCol w:w="3297"/>
        <w:gridCol w:w="4011"/>
        <w:gridCol w:w="1905"/>
      </w:tblGrid>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329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成 果 名 称</w:t>
            </w:r>
          </w:p>
        </w:tc>
        <w:tc>
          <w:tcPr>
            <w:tcW w:w="401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主要完成人</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申报单位</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大学生结构设计竞赛20年与创新人才培养</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金伟良、罗尧治、陆国栋、吕朝锋、丁元新、毛一平、姜秀英、魏志渊、邹道勤、余世策</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浙江大学、全国大学生结构设计竞赛委员会秘书处</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荣誉学院拔尖创新人才跨学科交叉培养模式的探索与实践</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葛坚、张帆、章志英、侯迪波、刘振宇、盛为民、陈为、方红生、马忠华、俞自涛、陈俊、唐晓武、金一平、王越</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跨界整合、产教研深度融合的机械工程学生创新实践能力培养体系探索与实践</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刘振宇、顾大强、杨将新、傅建中、汪延成、朱新杰、裘辿、段桂芳、王庆九、高宇</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药学拔尖人才培养体系的十年探索与实践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范骁辉、杨波、朱卡林、高建青、吴昊姝、王芳、何俏军、张翔南、沈丽娟、徐潇</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“中国近现代史纲要”课程推进“五个一工程” 建设的创造性探索与实践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段治文 赵晖、尤云弟、张立程、董海樱、刘召峰、程早霞、庞毅</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数学拔尖创新人才“二制三化”培养模式的近三十年探索与实践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包刚、盛为民、苏德矿、卢兴江、黄正达、张挺、熊晶蕾、邵頔</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w:t>
            </w:r>
          </w:p>
          <w:p>
            <w:pPr>
              <w:jc w:val="center"/>
              <w:rPr>
                <w:rFonts w:asciiTheme="majorEastAsia" w:hAnsiTheme="majorEastAsia" w:eastAsiaTheme="majorEastAsia" w:cstheme="majorEastAsia"/>
                <w:kern w:val="0"/>
                <w:szCs w:val="21"/>
              </w:rPr>
            </w:pP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学科协同 五位一体 卓越导学—农业工程专业学生实践创新体系创建与实践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泮进明、叶尊忠、徐惠荣、岑海燕、韦真博、蒋焕煜、王俊、冯雷、应义斌、何勇、朱松明、郭亚芳、华向理</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kern w:val="0"/>
                <w:szCs w:val="21"/>
              </w:rPr>
            </w:pPr>
            <w:r>
              <w:rPr>
                <w:rFonts w:hint="eastAsia" w:asciiTheme="minorEastAsia" w:hAnsiTheme="minorEastAsia" w:cstheme="majorEastAsia"/>
                <w:kern w:val="0"/>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w:t>
            </w:r>
          </w:p>
          <w:p>
            <w:pPr>
              <w:jc w:val="center"/>
              <w:rPr>
                <w:rFonts w:asciiTheme="majorEastAsia" w:hAnsiTheme="majorEastAsia" w:eastAsiaTheme="majorEastAsia" w:cstheme="majorEastAsia"/>
                <w:kern w:val="0"/>
                <w:szCs w:val="21"/>
              </w:rPr>
            </w:pP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大学（非生物专业）生物学实践类通识课程的教学改革与探索</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吴敏、曹阳、郭卫华、黄爱军、杨志坚、徐程、霍颖异、孙益、杨帆、史影、张霞</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浙江大学、上海交通大学、山东大学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支持跨域全过程超大规模线上线下实质等效的教学创新体系构建</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陈文智、董榕、张紫徽、胡吉明、江全元、李艳、姚青、沈丽燕、杨玉辉、张宇燕、黄健、李萌、袁书宏、云霞、留岚兰、杨旸、刘多、翟雪松</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创设软硬件可重构“个人实验室”，促进电子信息类系统创新人才培养</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史治国、杨建义、李建龙、楼东武、陈积明、卓成、吴叶飞、杨冬晓、冯志强 宫先仪</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浙江大学、依元素电子科技（南京）有限公司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p>
            <w:pPr>
              <w:jc w:val="center"/>
              <w:rPr>
                <w:rFonts w:asciiTheme="majorEastAsia" w:hAnsiTheme="majorEastAsia" w:eastAsiaTheme="majorEastAsia" w:cstheme="majorEastAsia"/>
                <w:kern w:val="0"/>
                <w:sz w:val="24"/>
              </w:rPr>
            </w:pP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以强身塑心为靶向的普通高校“三全体育” 教育教学课程体系构建与实践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吴叶海 张光新、傅旭波、余保玲、潘雯雯、金娟琴、董育平、陈志强、潘德运、金鸥贤</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固本强基  达才成德 – “三全育人”助力新生转型的探索与实践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邱利民、郭文刚、谭芸、陈立明、徐晓峰、翁亮、黄任群、郑玲玲、郑尧丽、董业凯、陈翠苹、王海贵、孙大雁、刘玉娥、刘帅、蔡明远、潘临灵、钟翼</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“四课融通、四化同步”新农科实践实训教学体系的建构与实践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陈学新、马忠华、喻景权、张国平、赵建明、吴佳雨、金敏、祝水金、孙崇德、张颖、邱慧、叶庆富、马永芳、肖建富、蒋梦汝、王涛、许霁玉、陈云文</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复合创新型海洋拔尖人才培养模式探索——海洋学院“1+5+N</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王立忠、王晓萍、陈鹰、王瑞飞、马忠俊、黄豪彩、陈庆、冀大雄、张朝晖、吴锋、潘先平、陈家旺、胡小倩、张涛、郝帅、高楚清</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全国高校光电专业优质教育资源共享模式的创建及十年实践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刘向东、刘旭、郁道银、付跃刚、毕卫红、时尧成、林远芳、郑臻荣、郑晓东、吉玲</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新3H卓越医学人才临床培养体系的构建与实践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王建安、吴志英、谢小洁、范让、张琳、方驰、郑芬芳</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17</w:t>
            </w:r>
          </w:p>
          <w:p>
            <w:pPr>
              <w:jc w:val="center"/>
              <w:rPr>
                <w:rFonts w:asciiTheme="majorEastAsia" w:hAnsiTheme="majorEastAsia" w:eastAsiaTheme="majorEastAsia" w:cstheme="majorEastAsia"/>
                <w:kern w:val="0"/>
                <w:sz w:val="24"/>
              </w:rPr>
            </w:pP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多轨协同、多专融通的国际组织人才培养模式</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李媛、邬小撑、董世洪、徐雪英、李佳、郑瑞、朱晓宇、胡洁、高晓洁、陈立影</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以创新能力为导向的科技设计人才培养模式与生态建设</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孙凌云、张克俊、柴春雷、陈实、孙守迁、陈为、应放天、罗仕鉴</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基于“一本四化”的中华优秀传统文化涵育体系构建与实践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楼含松、冯国栋、楼艳、段园园、陶安娜、陈文丽、沈玉、胡可先、陶然、叶添阁、孙福轩</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扎根铸魂实践育人共同体的二十年探索与构建</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薄拯、刘艳辉、沈黎勇、卓亨逵、梁艳、吴维东、夏雷、叶盛珺、王巍贺、任立娣、卢思颖、任帅</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注重传承开拓、引领前沿交叉--控制学科博士生学术创新能力培养方法与实践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陈积明、孙优贤、张光新、宋执环、程鹏、徐贞、贺诗波、邓瑞龙、杨秦敏、赵春晖、侯迪波</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基于产教融合新模式的引领式软件工程技术人才培养体系构建</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卜佳俊、陈丽、黄启春、杨小虎、陈纯、蔡亮、柳栋桢、方红光、苏腾、余建挺</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基于质量全面提升的研究生学制改革</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周文文、叶恭银、林成华、王征、王凯、倪加旎、张雨迪、李华静、王美青、胡承亮、许湘琴、吴可、吕雅兰</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基于“双循环”驱动的农业资源与环境学科研究生培养模式创新与实践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徐建明、何艳、马斌、林咸永、史舟、陈丁江、刘杏梅、王珂、包永平</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基于政策企业家精神塑造的MPA教育模式创新</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郁建兴、谭荣、高翔、钱文荣、徐林、王诗宗、谭永忠、冯军</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联合培养塑栋梁、产教融合育英才-化工领域工程创新人才联合培养体系探索与构建</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王靖岱、黄正梁、任聪静、孙婧元、杨遥、廖祖维、庄毅、蒋斌波、历伟、王盎然、王丽军、陈志荣、阳永荣、李伯耿、范小强、陈毓明、吕德伟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浙江大学、中国石油化工股份有限公司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基于“平台+项目”全球嵌入型研究生培养体系：管理学院十五年探索</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魏江、汪蕾、周伟华、谢小云、吴晓波、莫申江、瞿文光、朱纪平、邬爱其、杨翼、黄晓雯、高晨</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面向国家重大战略需求的航空制造领域卓越工程人才培养模式创新与实践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柯映林、董辉跃、毕运波、曲巍崴、王国雄、王青、朱伟东、俞慈君、李江雄、宋小文、徐强、程亮、郭英杰、汪海晋、刘玉勇</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以乡土为学院——扎根中国大地的艺术实践教学</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高世名、曹晓阳、陈正达、邵健、姜珺、李梅、刘智海、佟飚、刘益红、王宁逸</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“中国美术学”高层次创新人才培养体系建设与实践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许江、余旭红、张捷、何红舟、封治国、班陵生、管怀宾、刘海勇、闵罕、韩亮</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“扎根—融通—铸魂”的创新创业教育体系探索与实践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李小年、王卫红、计伟荣、汤智、王建胜、陶鹏、许伟通、戴光麟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多层递进、多元协同、数字赋能——地方高校工程实践教育体系的探索与实践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计伟荣、顾容、张建勇、方学礼、江颉、金伟娅、袁旦、贾侃、陈小玲、章群山</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浙江工业大学、浙江校友邦科技有限公司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地方高校社科类研究生“顶天立地”学术志趣的培育机制创新与实践探索</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吴宝、池仁勇、吴向明、郭元源、贾侃、周亚越、李正卫、陈衍泰、张玉倩、王旭</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面向区域先进制造产业集群的机械类硕士协同创新培养探索与实践—十五年总结</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姚建华、朴钟宇、李研彪、潘柏松、彭旭东、章嫦华、林洁、金伟娅、谭大鹏、陈勇</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“三链融合、开放共享”的跨境电商人才培养体系构建与创新实践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李文博、邹益民、许德武、包中文、郑文哲、黄海斌、张俊岭</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标准化、协同化、智能化：高质量师范生培养的“浙江经验”</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周跃良、庄华洁、林一钢、张家华、舒志定、蒋永贵、陈伟鸿、黄晓、唐恒钧、徐展斌</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浙江师范大学、杭州师范大学、湖州师范学院、绍兴文理学院、浙江省卓越教师培养协同创新中心</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一流非洲区域国别人才培养的“三四五”体系构建与实践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刘鸿武、王珩、孙炳海、徐薇、郭建玲、郑文哲、吴卡、万秀兰、孙春颖、徐微洁</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blPrEx>
          <w:tblCellMar>
            <w:top w:w="0" w:type="dxa"/>
            <w:left w:w="108" w:type="dxa"/>
            <w:bottom w:w="0" w:type="dxa"/>
            <w:right w:w="108" w:type="dxa"/>
          </w:tblCellMar>
        </w:tblPrEx>
        <w:trPr>
          <w:trHeight w:val="42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聚焦信仰共同体建设的 “四位一体”本科生思政课教学改革</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李小兰、刘友女、孟献丽、李包庚、曲蓉、刘举、袁玲儿、王玉鹏、郑善庆、邓小冬</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地方综合性大学“一核四轴”美育教学体系的构建与实践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俞子正、王蕾、徐进、王自东、张晶晶、沈法、刘子彧、沈浩杰、廖松清、刘畅</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本土国际、工贸兼修、个性定制——机械专业分类化人才培养体系的建设与实践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方志梅、李国平、邓益民、叶飞帆、黄海波、于爱兵、马剑强、王英</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“企业出题、高校解题、政府助题”专业学位研究生培养新昌模式探索与实践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胡旭东、向忠、武传宇、钱淼、应志平、彭来湖、吴震宇、程晓颖、袁嫣红、汝欣</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浙江理工大学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地方特色高校“中国心、全球范”数字人才在地国际化培养模式的研究与实践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郑宁、徐红、伍超、苏强、吴薇、林国浒、洪宇翔、胡保亮</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专业复合、实践创新、产教融合——面向数字经济的人才培养模式改革与实践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徐江荣、戴绍港、吴颖、陈志平、范影乐、冯建文、贾勇、胡保亮、田穗、陈懿</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适应学科发展和产业需求的计算机类创新型人才培养体系的探索与实践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林菲、龚晓君、马虹、章复嘉、夏涛、樊谨、包健、韩建平、刘春英、张纪林</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“三位一体、智财融合、多元协同”——新时代管理型财会人才培养模式创新</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胡国柳、谢诗蕾、罗金明、许永斌、曾爱民、吴少波、马文超、王帆、姚瑶、万鹏</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浙江工商大学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基于多元融合的新时代知识产权人才培养模式的探索与实践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陈永强、朱一飞、冀瑜、陶丽琴、吕璐、刘文献、刘斌、范晓宇、刘义、温慧辉</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“三牵引、三协同、三推进”机电类本科创新人才培养模式探索与实践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孙坚、李运堂、吴霞、许素安、李孝禄、陈锡爱、富雅琼、高坚、李青、杨玉书</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行业院校通用工科专业特色建设与实践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孙卫红、梁喜凤、赵春鱼、宁顺兰、沈常宇、孙坚、金宁、刘辉、唐高、葛洪良</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专业催生行业，创业促成职业--开创中国听力学教育先河的二十年探索与实践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应航、肖永涛、李志敏、徐飞、苏俊、田成华、张国军、赵乌兰、张婷、王一鸣</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浙江中医药大学、杭州惠耳听力技术设备有限公司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基于“和合”思想的中药学专业人才培养模式的创新与实践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陈忠、阮叶萍、李范珠、黄真、陈建真、熊阳、廖广辉</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浙江中医药大学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蓝色领航•国防铸魂•协同育人：海大国防教育体系的构建与实践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严小军、卢海英、黄永良、吴中平、傅纪良、杨宁、王湖滨、王瑞、魏汝领、张同宽</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浙江海洋大学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“需求引领、一流导向”的海洋工程类人才培养体系的建设与实践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谢永和、余杨、龚希武、余建星、张吉萍、段庆昊、白兴兰、王瑞、王健鑫、王立军</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浙江海洋大学、天津大学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立足行业 跨界融合 地方高校食品科学与工程专业实践教学体系的改革与实践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邓尚贵、韩志、王斌、陈小娥、霍健聪、宋茹、张宾、应晓国、袁鹏翔、高元沛</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浙江海洋大学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地方高校“鱼-船-港”海洋人才培养体系创新实践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陈建孟、殷文伟、竺柏康、朱淑华、李凡、王利明、程继红、金武州、郭志平、陈东之</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浙江海洋大学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“两山”理念引领下的新农科人才培养改革与实践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沈月琴、郭建忠、蔡细平、代向阳、吴鹏、梅亚明、王正加、尹国俊、刘庆坡、董杜斌</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浙江农林大学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基于科技特派员的农林类专业学位硕士研究生 人才培养体系改革与实践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沈希、童再康、赵光武、魏玲玲、罗黎敏、黄坚钦、斯金平、唐慧丽、田海涛、郑荣泉</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浙江农林大学、浙江师范大学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健康中国背景下医学人文素质教育体系的构建与实践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吕一军、朱雪波、林文诗、阮积晨、刘燕楠、陈永霖、陈先建、郑节霞、陈勰</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温州医科大学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中国特色基层全科医学人才培养体系的二十年探索与实践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吕帆、曹建明、朱雪波、李章平、林瑾、黄陈平、王世泽、苏强</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温州医科大学、海南医学院、南京医科大学、赣南医学院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以“懂医精药”为导向的“三融合”药学研究生创新培养模式构建与实践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李校堃、林丽、黄志锋、蔡跃飘、肖健、张翼、周鑫、赵应征、田海山、张秀华</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温州医科大学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“一核二创三层四维”新型数据科学类人才培养模式创新与实践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李金昌、洪兴建、周银香、李时兴、段雪辉、刘波、郑彦、何露霞、李杰、陈玉娟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浙江财经大学</w:t>
            </w:r>
          </w:p>
        </w:tc>
      </w:tr>
      <w:tr>
        <w:tblPrEx>
          <w:tblCellMar>
            <w:top w:w="0" w:type="dxa"/>
            <w:left w:w="108" w:type="dxa"/>
            <w:bottom w:w="0" w:type="dxa"/>
            <w:right w:w="108" w:type="dxa"/>
          </w:tblCellMar>
        </w:tblPrEx>
        <w:trPr>
          <w:trHeight w:val="37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从复合到融合：新时代财经高校人才培养模式的创新与实践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钟晓敏、李永友、李政辉、林亚芳、沃健、邱风、曹桢</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浙江财经大学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基于中德深度合作的“三化”应用型工程人才培养模式的探索与实践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徐理勤、Frank Kemper、范佳静、文献民、杨志卫、张云莲、戴芹、单建奋、王兆义、陈军统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浙江科技学院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影视传媒类专业多场景融合教学体系的构建与创新</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姚争、胡一梁、陈永斌、陈佩芬、冯建超、李琳、余军</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浙江传媒学院、成都华栖云科技有限公司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“课证贯通、专创融合、数智增强”管理型会计人才培养模式探索与实践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孟祥霞、 唐丰收、徐玲、李成艾、赵彩虹、高巧依 、冯雪琰、吴瑞勤、程洋、李刚</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浙江万里学院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依托产业学院“四元协同、双向融通、交叉复合”的产教融合模式探索与实践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马建荣、李凤、林怡、杨亚萍、傅立新、朱仲杰、陈志强、盛钢、张琰慧、李晓鸣</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浙江万里学院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全科教学、研训一体、多维协同定向乡村小学教师培养的20年探索与实践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孙德芳、王利琳、方亮、曾文婧、肖正德、郑生勇、叶哲铭、潘巧明</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杭州师范大学、丽水学院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“博爱雅艺”涵养师范气质：地方综合性大学卓越教师培养体系创新与实践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何毅、孙芙蓉、林琛琛、彭小媚、郑信军、杨刚、叶新东、章园园、蒋金崇、陈楠</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基于“产业群-院所群-专业群”共同体的地方高校应用型人才培养探索与实践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赵敏、赵燕、夏春雨、姜锐、顾任飞、罗建利</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基于地方产业升级的“人工智能+”机械类新工科人才培养探索与实践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薛伟、陈亚绒、黄沈权、周宏明、付培红、张祥雷、綦法群、刘洋</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交叉强基•科教强新•产教强能—制笔行业复合型人才培养模式的创新与实践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王舜、王兆伦、陈锡安、夏远志、李鹏、熊琳、潘明初、周敬业、周永强</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温州大学、温州理工学院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71</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地方高校化工类新技术应用型人才“一构三创”培养模式的改革与实践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郑启富、赵俊华、苏国栋、雷宏、陈晓彬、任浩明、吕亮、胡静</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衢州学院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72</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以开放教育生态为抓手的地方师范院校新工科人才培养的改革与实践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蒋云良、李祖欣、胡文军、黄旭、唐培松</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湖州师范学院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73</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地方高校“多元协同、艺技融合”的 应用型青瓷人才培养模式改革与实践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季忠苑、杨吴伟、周莉、季雨林、李德胜、吴艳芳、竺娜亚、蓝岚、全敏瑛、王卉</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丽水学院</w:t>
            </w:r>
          </w:p>
        </w:tc>
      </w:tr>
      <w:tr>
        <w:tblPrEx>
          <w:tblCellMar>
            <w:top w:w="0" w:type="dxa"/>
            <w:left w:w="108" w:type="dxa"/>
            <w:bottom w:w="0" w:type="dxa"/>
            <w:right w:w="108" w:type="dxa"/>
          </w:tblCellMar>
        </w:tblPrEx>
        <w:trPr>
          <w:trHeight w:val="2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74</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基于“产教科创”融合的港口物流应用型人才培养研究与实践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王任祥、邵万清、傅海威、杜运潮、朱占峰、赵亚鹏、秦华容、贾春梅、郭春荣、蔡荣江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宁波工程学院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75</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面向社会数字化转型的“1+2+3”新公安人才培养模式的探索与实践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金诚、余湘青、俞秋明、薛姣、代东旭、叶涛、徐永胜</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浙江警察学院、杭州市公安局萧山区分局、浙江大华技术股份有限公司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76</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涉外警务专业国际化人才培养“内外协同三措并举”模式的探索与实践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许韬、陈晓济、林艺聪、薛姣、韦益毅、何毅、叶宁、王鑫、葛悦炜、傅海燕</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浙江警察学院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77</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以新文科为导向的西方音乐课程体系建设与创新</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杨九华、朱宁宁、瞿枫、李鹏程、董晨阳、郭一涟、李燕</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浙江音乐学院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78</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“学演贯通、舞台淬砺、产学相融”的表演类专业实践教学改革与探索</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张云良、申想真、王滔、陈声钢、王维平、安怡、董德君、王甫建、徐颃、蒋巍</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浙江音乐学院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79</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“行走的新闻”：行、访、叙、写实践教学改革与课程思政育人的创新探索</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刘建民、王军伟、胡晓梅、李炜、吴飞、李义杰、彭增军、陈雪军、朱小红、文娟</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浙大宁波理工学院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80</w:t>
            </w:r>
          </w:p>
        </w:tc>
        <w:tc>
          <w:tcPr>
            <w:tcW w:w="3297"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数字化背景下的《包装机械设计》国家一流课程十年建设范式与实践</w:t>
            </w:r>
          </w:p>
        </w:tc>
        <w:tc>
          <w:tcPr>
            <w:tcW w:w="4011"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高德、张炜、张学昌、陆俊杰、许少锋、裴磊、王炳涛、查支祥、陈根浪、孙智慧</w:t>
            </w:r>
          </w:p>
        </w:tc>
        <w:tc>
          <w:tcPr>
            <w:tcW w:w="1905" w:type="dxa"/>
            <w:tcBorders>
              <w:top w:val="single" w:color="auto" w:sz="4" w:space="0"/>
              <w:left w:val="single" w:color="auto" w:sz="4" w:space="0"/>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浙大宁波理工学院、哈尔滨商业大学</w:t>
            </w:r>
          </w:p>
        </w:tc>
      </w:tr>
      <w:tr>
        <w:tblPrEx>
          <w:tblCellMar>
            <w:top w:w="0" w:type="dxa"/>
            <w:left w:w="108" w:type="dxa"/>
            <w:bottom w:w="0" w:type="dxa"/>
            <w:right w:w="108" w:type="dxa"/>
          </w:tblCellMar>
        </w:tblPrEx>
        <w:trPr>
          <w:trHeight w:val="702" w:hRule="atLeast"/>
          <w:jc w:val="center"/>
        </w:trPr>
        <w:tc>
          <w:tcPr>
            <w:tcW w:w="9993" w:type="dxa"/>
            <w:gridSpan w:val="4"/>
            <w:tcBorders>
              <w:top w:val="nil"/>
              <w:left w:val="nil"/>
              <w:bottom w:val="single" w:color="auto" w:sz="4" w:space="0"/>
              <w:right w:val="nil"/>
            </w:tcBorders>
            <w:shd w:val="clear" w:color="auto" w:fill="auto"/>
            <w:vAlign w:val="center"/>
          </w:tcPr>
          <w:p>
            <w:pPr>
              <w:ind w:firstLine="640" w:firstLineChars="200"/>
              <w:rPr>
                <w:rFonts w:asciiTheme="majorEastAsia" w:hAnsiTheme="majorEastAsia" w:eastAsiaTheme="majorEastAsia" w:cstheme="majorEastAsia"/>
                <w:bCs/>
                <w:kern w:val="0"/>
                <w:sz w:val="32"/>
                <w:szCs w:val="32"/>
              </w:rPr>
            </w:pPr>
            <w:r>
              <w:rPr>
                <w:rFonts w:hint="eastAsia" w:ascii="黑体" w:hAnsi="黑体" w:eastAsia="黑体" w:cs="黑体"/>
                <w:bCs/>
                <w:kern w:val="0"/>
                <w:sz w:val="32"/>
                <w:szCs w:val="32"/>
              </w:rPr>
              <w:t>（三）二等奖（100项）</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序号</w:t>
            </w:r>
          </w:p>
        </w:tc>
        <w:tc>
          <w:tcPr>
            <w:tcW w:w="3297"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成 果 名 称</w:t>
            </w:r>
          </w:p>
        </w:tc>
        <w:tc>
          <w:tcPr>
            <w:tcW w:w="4011"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主要完成人</w:t>
            </w:r>
          </w:p>
        </w:tc>
        <w:tc>
          <w:tcPr>
            <w:tcW w:w="1905" w:type="dxa"/>
            <w:tcBorders>
              <w:top w:val="nil"/>
              <w:left w:val="nil"/>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申报单位</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一横两竖，纵横协同： 综合型大学管理类本科生培养体系改革与实践</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汪蕾、魏江、潘健、陈熹、陈俊、马弘、邢以群、王小毅、张世琪、朱纪平、周伟华、吴为进、高晨、陈璞</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生物医学创新人才国际联合培养模式</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欧阳宏伟、鲁林荣、王青青、陈晔、王玉芬、周金其、周婕、薛倩</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环境类本科生多维创新能力培养模式的探索与实践</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胡宝兰、陈宝梁、沈超峰、杨坤、郑平、张建英</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w:t>
            </w:r>
          </w:p>
        </w:tc>
        <w:tc>
          <w:tcPr>
            <w:tcW w:w="3297"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走进“一带一路”沿线国家的中国高等化工教育实践</w:t>
            </w:r>
          </w:p>
        </w:tc>
        <w:tc>
          <w:tcPr>
            <w:tcW w:w="4011"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潘鹏举、徐国华、李伯耿、王盎然、任其龙、胡远华、孙方娇、蔡祖森、沈黎勇、余凯琳、陈丰秋、张红、何奕、沈律明、沈文华、邢华斌</w:t>
            </w:r>
          </w:p>
        </w:tc>
        <w:tc>
          <w:tcPr>
            <w:tcW w:w="1905" w:type="dxa"/>
            <w:tcBorders>
              <w:top w:val="nil"/>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浙江大学、浙江恒逸集团有限公司、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“一体两翼、创新驱动”的新工科自动化专业人才培养模式探索与实践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侯迪波、梁军、熊蓉、冯毅萍、邵之江、叶松、戴连奎、谢依玲、王酉、周春琳、刘勇、黄平捷、杨亮、赵豫红、谢颖峰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3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基于TBL的医学教育课程体系探索与实践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柳华、沈静、宓旭峰、张园园、肖希斌、余沛霖、王伟斌、白晓霞、徐骁、韩魏、吕寒冰、王迪、夏强、孙熠、沈炜亮、杨海萍</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食品专业研究生国际竞争力提升培养模式创新与实践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刘东红、程焕、卢黄娉、王晓燕、程萌、丁甜、陈士国、陈启和、冯水娟、章宇</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全球化背景下土建类研究生培养国际化提升</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吕朝锋、罗尧治、吴越、陈喜群、王卡、胡安峰、路琳琳、陈辰星、张莹砾</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儿科专业人才创新培养模式的探索与实践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舒强、杜立中、陈志敏、洪云霞、张园园、毛建华、傅君芬、赵正言、邹朝春、陈青江、谈林华、徐玮泽、朱智瑞</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“查研展赛”——艺术院校教学质量保障机制的构建和实践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曹晓阳、陈正达、王一飞、沈乐平、段卫斌、余晨星、于朕、宣学君、胡敏、韦乐</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以卓越设计人才培养为目标的视觉传达多维教学体系的构建与实践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陈正达、毕学锋、方舒弘、王弋、胡珂、吴炜晨、郭锦涌、石建航、郑朝、周峰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"东方设计语境下的"中国独立设计师培养模式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吴海燕、陶音、郎青、姜图图、徐燚、凌雅丽、黄思文、安郁汐、王小丁、王书莹</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中国当代本土建筑设计本科教学体系</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王澍、陆文宇、陈立超、宋曙华、蒋伟华、阮昊、刘畅、王欣、任天</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面向中国制造战略转型的设计智造协同创新人才培养体系</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王昀、刘征、杭间、王菁菁、严增新、谷丛、章俊杰、熊娜、朱发运、陈赟佳</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中国美术学院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面向数字经济的计算机类创新人才培养模式探索与实践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范菁、江颉、王万良、朱李楠、戴光麟、陈朋、毛诗焙、雷艳静、王卫红、陈蓉蓉</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企业创新需求导向的工业设计人才培养体系改革与实践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卢纯福、朱意灏、傅晓云、吴剑锋、唐智川、王建胜、张露芳、朱昱宁、华尔天、朱上上</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“四融合四转变”机械类创新人才培养模式探索与实践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潘柏松、金伟娅、姚建华、章嫦华、林洁、梁利华、谭大鹏、朴钟宇、鲁建厦、王秋成</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工程化多态化立体化多元协同，培养自动化专业创新人才</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俞立、南余荣、杨东勇、戴光麟、贾立新、仇翔、吴根忠、屠佳、张有兵、杨马英</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课程链</w:t>
            </w:r>
            <w:r>
              <w:rPr>
                <w:rFonts w:hint="eastAsia" w:ascii="MS Mincho" w:hAnsi="MS Mincho" w:eastAsia="MS Mincho" w:cs="MS Mincho"/>
                <w:szCs w:val="21"/>
              </w:rPr>
              <w:t>∙</w:t>
            </w:r>
            <w:r>
              <w:rPr>
                <w:rFonts w:hint="eastAsia" w:ascii="宋体" w:hAnsi="宋体" w:eastAsia="宋体" w:cs="宋体"/>
                <w:szCs w:val="21"/>
              </w:rPr>
              <w:t>实践链</w:t>
            </w:r>
            <w:r>
              <w:rPr>
                <w:rFonts w:hint="eastAsia" w:ascii="MS Mincho" w:hAnsi="MS Mincho" w:eastAsia="MS Mincho" w:cs="MS Mincho"/>
                <w:szCs w:val="21"/>
              </w:rPr>
              <w:t>∙</w:t>
            </w:r>
            <w:r>
              <w:rPr>
                <w:rFonts w:hint="eastAsia" w:ascii="宋体" w:hAnsi="宋体" w:eastAsia="宋体" w:cs="宋体"/>
                <w:szCs w:val="21"/>
              </w:rPr>
              <w:t>研究链</w:t>
            </w:r>
            <w:r>
              <w:rPr>
                <w:rFonts w:hint="eastAsia" w:ascii="MS Mincho" w:hAnsi="MS Mincho" w:eastAsia="MS Mincho" w:cs="MS Mincho"/>
                <w:szCs w:val="21"/>
              </w:rPr>
              <w:t>∙</w:t>
            </w:r>
            <w:r>
              <w:rPr>
                <w:rFonts w:hint="eastAsia" w:ascii="宋体" w:hAnsi="宋体" w:eastAsia="宋体" w:cs="宋体"/>
                <w:szCs w:val="21"/>
              </w:rPr>
              <w:t>竞赛链</w:t>
            </w:r>
            <w:r>
              <w:rPr>
                <w:rFonts w:hint="eastAsia" w:asciiTheme="minorEastAsia" w:hAnsiTheme="minorEastAsia" w:cstheme="majorEastAsia"/>
                <w:szCs w:val="21"/>
              </w:rPr>
              <w:t xml:space="preserve"> 四链协同培养材料类学生创新能力探索实践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胡晓君、侯广亚、王旭、陈耀、车声雷、张林、李涓、郑国渠、唐谊平、周成双</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地方高校土木类专业工程能力“浸润式”培养探索与实践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蔡袁强、许四法、刘宏远、卢成原、付传清、彭国军、夏才安、张豪、王建东</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“创新引领、协同育人”—地方高校博士研究生培养机制改革与实践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郑华均、俞立、王哲、艾宁、方喆、何晓英、仇翔、李研彪、陶新永、郑仁朝</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浙江工业大学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“大文学教育”：汉语言文学专业人才培养模式新探索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吴翔宇、汤汤、邱江宁、葛永海、吴述桥、李蓉</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全域融通•和合共生：卓越幼儿园教师人才培养模式探索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李伟健、朱宗顺、赵一仑、秦金亮、刘宝根、董文明、王丽燕</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本土国际化、国际本土化：商科国际人才培养模式的宁大探索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邱妘、钱树静、盛沛锋、周新苗、汪娓娓、朱一鸿、陆智强、施颖燕、彭新敏、陈涛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高校与中小学“双轮驱动”的卓越教师培养体系研究与实践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贺国庆、冯铁山、张宝歌、张林、邵光华、吴小鸥、周勇、刘希伟</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“一核两翼三协同”文化育人模式的十五年探索与实践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张真柱、屠春飞、梁卿、李包庚、孙欢欢、张乐、汪盛科、孙善根、张义廉、胡斌</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“渔业发展”专硕研究生“三三三”复合型人才培养的研究与实践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王春琳、蔡真亮、母昌考、屠春飞、戚家超、陈炯、李成华、李政、包红燕、史西志</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对接国家发展战略、服务港城经济需求：多元化MBA人才“四新”培养模式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周新苗、盛沛锋、陈涛、邱妘、彭新敏、杨丽华、张向群、张聪群、应志芳、何跃军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宁波大学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学科引领、平台构建、社会服务——红色文化协同育人探索与实践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渠长根、陶伟华、肖香龙、贺俊杰、王艳娟、范冰川、仰滢、胡坚、何凡</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浙江理工大学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五为引领，课程融贯，平台联动：行业特色高校国际化人才培养改革与实践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吴锋民、郜正荣、季晓芬、陈敏之、任宁、傅翔、胡文斌、楼盛华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浙江理工大学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全产业链、集产研院、跨学科链“一体两翼”纺织研究生培养的探索和实践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于斌、祝成炎、郭玉海、陈建勇、王晓蓬、徐阿进、朱斐超、刘国金、于张颖、王成龙</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浙江理工大学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“科学评估、精准监控、持续改进”地方高校教学质量保障体系的构建与实践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陈建华、胡海滨、刘建、黄鹤、赵晓东、夏涛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地方高校创新型计算机系统能力培养体系的改革与实践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冯建文、包健、赵伟华、赵建勇、严义、周旭、邬惠峰、谌志群、刘鹏、贾刚勇</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基于新文科理念的“四链联动”金融科技创新人才培养模式探索与实践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都红雯、田穗、郑海味、张辽、李淑锦、高蓉、申琳、李甫伟、薛文忠、胡文彬</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需求引领，协同育人，具有创新能力和国际视野的研究生培养模式构建与实践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程知群、刘国华、王光义、程瑜华、游彬、关阳阳、陈科明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szCs w:val="21"/>
              </w:rPr>
            </w:pPr>
            <w:r>
              <w:rPr>
                <w:rFonts w:hint="eastAsia" w:asciiTheme="minorEastAsia" w:hAnsiTheme="minorEastAsia" w:cstheme="majorEastAsia"/>
                <w:szCs w:val="21"/>
              </w:rPr>
              <w:t>杭州电子科技大学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培养“智工商”型创造者：数智时代工商管理人才培养新模式的探索与实践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俞荣建、岑杰、项丽瑶、叶庆燕、向荣、郝云宏、江辛、楼天阳、王永跃、肖迪</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浙江工商大学、浙江财经大学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基于产教深度融合的“三化”新金融人才培养模式改革与实践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柯孔林、方霞、施建祥、邓弋威、古昕、韦宏耀、傅利福、吕凯波、钱水土、马丹</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w:t>
            </w:r>
          </w:p>
        </w:tc>
      </w:tr>
      <w:tr>
        <w:tblPrEx>
          <w:tblCellMar>
            <w:top w:w="0" w:type="dxa"/>
            <w:left w:w="108" w:type="dxa"/>
            <w:bottom w:w="0" w:type="dxa"/>
            <w:right w:w="108" w:type="dxa"/>
          </w:tblCellMar>
        </w:tblPrEx>
        <w:trPr>
          <w:trHeight w:val="3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艺商融合、双轨三阶：设计类复合型人才培养模式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高颖、许晓峰、赵侃、陈岫、王怡、陶伦、蓝辉、贺程飞、李磊、邹宁</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浙江工商大学、浙江省文化产业创新发展研究院、浙江大学现代工业设计研究所、天目传媒有限公司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“五育并举、多元融合、数字驱动” ——新时代商科院校人才培养体系构建与实践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赵英军、厉小军、江辛、裴蓓、伍蓓、马丹、郑晓春、谢满德、陈宜治</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通识四法：地方高校通识教育十年的探索与实践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陈寿灿、厉小军、施建祥、裴蓓、郑晓东、王歆玫、李蓉、于希勇、赵霞</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基于BSP理念的统计学研究生应用能力培养模式探索与实践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陈振龙、苏为华、程开明、郭宝才、向书坚、徐蔼婷、陈钰芬、王伟刚、陈庭贵、王江峰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浙江工商大学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深耕特色，平台支撑，内外协同：标准化教育的国际化创新与实践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szCs w:val="21"/>
              </w:rPr>
              <w:t>宋明顺、余晓、周立军、黄乐富、王鉴棋、胡静、郑素丽、乐为、吴宏宽</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竞赛赋能数模育人：构建大学生创新能力培养体系的研究与实践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王义康、刘学艺、李有梅、蒋伟峰、柴中林、赵承业、王成、陈玲玲、杨静华、张艳</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产教融合、多元协同---生物检验检测类本科创新人才培养的探索与实践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叶子弘、张拥军、郝培应、李红亮、徐鎏、方结红、申屠旭萍、管峰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新工科视角下个性化人才培养模式的改革与实践——以中国计量大学工试班为例</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毛成、赵春鱼、李一星、孙卫红、蔡晋辉、王晓娜、于兹瀛、吴昕、杨娜、沈忠伟</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中国计量大学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读经典 跟名师 强临床 善创新——中医优秀人才培养“浙江模式”的探索与实践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范永升、吴承亮、吴建浓、张翼宙、陈健、包素珍、夏永良、卢建华、来平凡、丁曦</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浙江中医药大学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“双通双融”针灸推拿学专业人才培养模式的探索与实践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方剑乔、马睿杰、林咸明、王樱、张全爱、吕立江、许丽、孙晶、陈晓军、梁冬艳</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浙江中医药大学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基于“六位一体”卓越护理人才培养模式的创新与实践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孙秋华、沈翠珍、何桂娟、汪国建、林觐民、方年根、裘秀月、马小琴、沈勤、王俊杰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浙江中医药大学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创新村医培养、服务乡村振兴 ——新时代“赤脚医生”培养的浙江模式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szCs w:val="21"/>
              </w:rPr>
              <w:t>阮叶萍、陈忠、来平凡、刘英超、黄建波、季旭明、张芯、邬元曦、李贵洪、薛峰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浙江中医药大学</w:t>
            </w:r>
          </w:p>
        </w:tc>
      </w:tr>
      <w:tr>
        <w:tblPrEx>
          <w:tblCellMar>
            <w:top w:w="0" w:type="dxa"/>
            <w:left w:w="108" w:type="dxa"/>
            <w:bottom w:w="0" w:type="dxa"/>
            <w:right w:w="108" w:type="dxa"/>
          </w:tblCellMar>
        </w:tblPrEx>
        <w:trPr>
          <w:trHeight w:val="35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尚德重能、传承创新、交叉融合——大健康理念下的中医药院校研究生培养体系</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温成平、张翼宙、夏道宗、杨伟吉、张文恺、葛琳仪、袁强、陈健、曹岗、许正浩</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浙江中医药大学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浪尖上的体育：基于海洋地域的特色体育课程创新与实践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傅纪良、王裕桂、刘伯煜、刘小虎、卢海英、魏汝领、黄永良、张同宽、黄玲、黄晓东</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浙江海洋大学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下海问道、科教融合——海洋科学类专业校际联合实习模式的探索与实践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王健鑫、郑爱榕、吴克俭、李培良、范美华、刘丽华、李铁、魏永亮、王龙樟、黄永良</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浙江海洋大学、厦门大学、中国海洋大学、上海海洋大学、浙江大学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以“规划引领，资源集约，评价驱动”筑牢人才培养中心地位的探索与实践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梅亚明、陈方、李燕、钱光辉、杜春华、梅雨晴、董杜斌、郭建忠、孙伟圣</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浙江农林大学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“产研教赛”深度融合的农林院校电子信息类人才培养改革与实践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徐爱俊、冯海林、戴丹、吴达胜、方陆明、任俊俊、曾松伟、周素茵、徐达宇</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浙江农林大学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“卓越引领、素养为本”的林业新工科人才培养模式探索与实践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金春德、李光耀、姚立健、张晓春、俞友明、何振波、余肖红、李松、苏小菱、吴水根</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浙江农林大学、江山欧派门业股份有限公司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基于卓越农林计划的“124”复合应用型农科人才培养体系的创新与实践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刘庆坡、甘毅、饶琼、戎均康、刘兴泉、董杜斌、庞林江、赵光武、张传清、吕尊富</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浙江农林大学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经济转型背景下非诉法律人才培养模式改革</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李占荣、李政辉、童志锋、李海龙、康莉莹、曾章伟、孟涛、王俊、冯姣、严城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浙江财经大学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一核多能 层级递进的融通式新商科人才培养模式创新与实践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董进才、王建明、沈渊、陈颖、叶舟 、倪文斌、赵昶、吴丽民</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浙江财经大学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卓越新闻传播人才“三结合、两保障”培养模式探索与实践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李文冰、崔波、李欣、黄寒冰、张博、郭璇、焦俊波、周玉兰、李灵革、李新祥</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浙江传媒学院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传媒“三创”育人生态系统构建与实践探索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徐小洲、张雷、梅伟惠、傅梅烂、黄寒冰、俞定国、卢炜、戴运财、黄巧玲、刘召鑫</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浙江传媒学院、浙江大学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基于校台校企深度合作的播音主持卓越人才培养的改革与实践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杜晓红、石艳华、倪琦珺、刘力军、周甄陶、王一婷、鲍芳、邱蔚、郎君、任彬彬</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浙江传媒学院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理念•课程•实践：高校生命教育体系的十五年探索与实践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何仁富、汪丽华、张方圆、马九福、王国雨、李琼瑶、袁蕾</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浙江传媒学院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数智化情境牵引下“业财融合”型会计人才培养路径的探索与实践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潘煜双、李郁明、崔晓钟、王筱萍、杨行翀 、毕华书、蒋定福、童建华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嘉兴学院、中国会计学会会计教育专业委员会</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一专多能•交叉融合•共建共赢—地方高校应用型跨界人才培养模式创新与实践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杨培强、王敏、张辉、徐利平、邢博、喻锋平、李郁明、孙德发、黄立新、彭文利</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嘉兴学院</w:t>
            </w:r>
          </w:p>
        </w:tc>
      </w:tr>
      <w:tr>
        <w:tblPrEx>
          <w:tblCellMar>
            <w:top w:w="0" w:type="dxa"/>
            <w:left w:w="108" w:type="dxa"/>
            <w:bottom w:w="0" w:type="dxa"/>
            <w:right w:w="108" w:type="dxa"/>
          </w:tblCellMar>
        </w:tblPrEx>
        <w:trPr>
          <w:trHeight w:val="36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基于化工与制药大类人才培养的“突破•构建•融合”实验教学体系探索与实践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李蕾、刘海清、曹红、宗乾收、李以名、刘丹、朱连文、曾延波、李加友、朱长俊</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嘉兴学院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“青年学子学青年习近平”学习教育“三进四融”大思政育人体系的探索与实践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宣勇、徐勇、傅尧力、方 浩、毛振华、周明宝、田俊杰、陈锋、尹铁、屠立达</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浙江外国语学院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基于“生活思政”互嵌融合的高校思政课教学改革与创新</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蒋建军、王伟忠、林德操、孙叶飞、朱美燕、向娴华、周娟、丁守年、林怡、汪源</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浙江万里学院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应用型高校创业人才“双循环、全链条”培养模式的探索与实践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应敏、蒋建军、王伟忠、林德操、吴章健、向娴华、芦群、陈清升、陈金龙、黄文军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浙江万里学院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“三链对接、双向嵌入、六阶推进”的应用型人才培养改革与实践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李鲁、姜文杰、金建昌、陈慰浙、陈丹维、朱红缨、楼五艳、傅利泉、王洪林、徐小卫</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浙江树人学院、浙江大华技术股份有限公司、物产中大金石集团有限公司、七彩文化科技集团有限公司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以艺育德•以美润教：以“新六艺”提升师范生综合素质的教育改革与实践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戴丽敏、许建美、严从根、蒋璐敏、陈继旭、杨茜、赵立、丁星、叶剑波、刘勇</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杭州师范大学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“五位一体、四个整合”——构建创新型复合型应用型药学人才培养新模式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谢恬、张丽慧、隋新兵、曾昭武、殷晓浦、周建良、陈功星、唐婷、王丽薇、李成檀</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杭州师范大学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“一站六环”：名师引领下小学教育硕士培养模式探索与实践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严从根、童富勇、王晨、肖正德、周佳、徐洁、程建坤</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杭州师范大学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“三轮递进”的网络工程人才培养共同体探索与实践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施晓秋、刘军、徐嬴颖、金可仲、黄辉、徐玉、唐震洲、厉旭杰、励龙昌、王咏</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温州大学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“一体两翼”下土木工程专业实践教学改革与探索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王军、蔡袁强、吴冬雁、孙林柱、刘谨、谷川、郭林、赵俊亮</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温州大学</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适应乡村学校小规模化趋势的全科教师培养十年探索与实践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余小红、章味珍、周兴平、翁琴雅、陈川、汪伟俊、徐国群、卢晓文、王工一、许玲俊</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衢州学院、柯城区大成小学、开化县教育局、衢州求是科技联合会</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新建本科高校“四融三通两化”新技术应用人才培养体系的构建与实践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周兆忠、周建强、谢志远、林峰、吴以莉、方兴、叶虹、邓小雷、杨娥、兰章宣</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衢州学院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“三表•四阶•五协同”：专业课实施课程思政路径的研究与实践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沈赤、张宏、陈均土、陈伟鸿、张颖、谷江稳、章越松、梁瑜、李黎、冯晟</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绍兴文理学院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“三维一体”地方高校集成电路人才实践创新能力培养的探索与实践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szCs w:val="21"/>
              </w:rPr>
              <w:t>方泽波、李志彬、朱敏杰、吴海飞、盛锡红、姚博、于梅、余庆、方小利、赵伟强</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绍兴文理学院、绍兴市职业教育中心、中芯集成电路制造 （绍兴）有限公司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79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竞赛牵引、产教融合、一二课堂联动——纺织服装创意设计人才培养12年探索</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段亚峰、陈伟鸿、钱红飞、纪晓峰、朱昊、李旭明、邹专勇、洪剑寒、孟旭、占海华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绍兴文理学院、中国纺织服装教育学会</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三阶嵌合、三维耦合、三方协同—综合性高校医学人文教育路径的探索与实践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柳国庆、孙一勤、陈三妹、黄丹文、陈小萍</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绍兴文理学院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固本强基•校地融合：“一体双核三阶”中学数学师范教育体系的探索与实践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唐笑敏、刘太顺、唐恒钧、赵建平、吴利敏、褚水林、刘东、唐矛宁、吕小芬、黄韬</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湖州师范学院、浙江师范大学、吴兴区教育局教学研究与培训中心、南浔区教育教学研究和培训中心</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“三协三融”：大陈岛垦荒精神融入当代大学生思政育人体系的探索与实践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崔凤军、周良奎、金松、盛跃明、林杰、张梅芬、潘垚、周瑶、李仲斐、沈星虎</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台州学院、中共台州市委宣传部、大陈镇党委</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校地共生三对接•产教协同六融合——应用型人才培养体系创新与实践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陈光亭、李银丹、王小岗、张永炬、李钧敏、金燕仙、苏岐芳、杜才平、褚孔志、范剑</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台州学院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地方高校医药化工类应用型人才“三院协同”培养模式的探索与实践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金燕仙、韩得满、陈基根、武承林、余彬彬、吴建波、李银丹、黄国波、李嵘嵘、张杰</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台州学院、台州生物医化产业研究院、头门港产业学院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音乐学专业“民族+”创新型人才培养模式改革与实践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罗俊毅、夏伟涛、程远、吴士祥、谢华丽、黄丽群、王茜、刘志强</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丽水学院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地方高校“三色嵌入、四维联动”培养山区特色人才探索与实践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李俊杰、刘克勤、张龙、胡锋吉、高树昱、朱银法、陈一艳</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丽水学院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“三园融合”应用型汽车人才培养模式 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徐可明、程晓民、陈晓平、李发宗、尚伟燕、张爱群、郑书华、韩玉、严子期</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宁波工程学院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《思想政治理论综合实训》课程“两融三全”教学模式改革与实践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龚正荣、朱建一、魏长青、王雅君、谢林淙、武鹏、傅雅婷、江涛、朱潇婷、吴心怡</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浙江警察学院、浙江省长兴县公安局、海宁市公安局、萧山区公安分局</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89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“一带一路”视域下汉语国际教育专业“汉语+”双栖人才培养模式探索与实践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朱文斌、刘家思、杨锋、孙永红、姜兴鲁、王海红、刘召明、李巧兰、余群、曹笑玮</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浙江越秀外国语学院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标准引领•能力主线：大宗商品流通领域人才培养的宁波实践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王瑞、魏麒、周巧萍、王芬、叶素文、范春风、王叶峰、张福健、韩庆军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宁波财经学院、中基宁波集团股份有限公司、宁波港东南物流集团有限公司、新湖期货股份有限公司宁波营业部、绍兴市新宇资产管理有限公司</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91</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全要素融入、全流程重塑、全过程监测：构建课堂教学新形态的探索和实践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李羽、叶伟剑、李晓文、章秋红、叶静、葛云锋、吴用、施晓珍、王琦、陈文颖</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宁波财经学院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92</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创意点亮乡村：艺术设计类专业人才“三真合一”实践能力培养路径探索与实践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漆小平、樊燚琴、刘岚、梁伟、漆菁夫、王楠、吕焕琴、陈欢、余毅</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宁波财经学院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93</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面向中小企业发展需求“创产教一体化”人才培养模式的探索与实践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王云儿、李羽、李继芳、 宣葵葵、朱凤梅、王媛、董超、赵迎军、李晓蕾、李书进</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宁波财经学院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94</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室内乐（Ⅰ-Ⅵ）系列课程“四维联动”的教学改革与实践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董德君、刘瓅元、李艺花、李佳胤、杨光、付珍珍、王丹迪、吉祥、王佳琪、翟星星</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浙江音乐学院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95</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跨学科交融的“中国音乐理论课程体系”建构之探索实践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林林、南鸿雁、杨成秀、吴凡、温和、洪艳、孙焱</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浙江音乐学院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96</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“双链融合、三方协同”的新药研发技术服务型药学人才培养的改革与实践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梁广、施菁、杜文婷、陈婷、王欣、李军、吕海峰、张信岳、黄文海、倪晓莉</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杭州医学院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97</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地方高校思政课“微”教学改革与实践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伍醒、聂迎娉、冯建波、顾琼莹、吴新林、代玉启、陈伟、刘炳辉</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浙大宁波理工学院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98</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公益创业驱动的创新创业人才培养模式</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鞠芳辉、余志伟、袁彦鹏、刘艳彬、疏礼兵、苗青、李萍萍、周国红、张雪晶、姜卫韬</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浙大宁波理工学院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99</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“三创融合 四轮驱动 五链协同”：创新创业人才培养模式的二十年探索实践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王大将、吴飞霞、毛传雨、温长秋、苏忠根、薛玉香、连新泽、孙小红</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温州理工学院</w:t>
            </w:r>
          </w:p>
        </w:tc>
      </w:tr>
      <w:tr>
        <w:tblPrEx>
          <w:tblCellMar>
            <w:top w:w="0" w:type="dxa"/>
            <w:left w:w="108" w:type="dxa"/>
            <w:bottom w:w="0" w:type="dxa"/>
            <w:right w:w="108" w:type="dxa"/>
          </w:tblCellMar>
        </w:tblPrEx>
        <w:trPr>
          <w:trHeight w:val="702"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100</w:t>
            </w:r>
          </w:p>
        </w:tc>
        <w:tc>
          <w:tcPr>
            <w:tcW w:w="3297"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基于产教协同的时尚智造类“二三四六”人才培养模式的探索与实践</w:t>
            </w:r>
          </w:p>
        </w:tc>
        <w:tc>
          <w:tcPr>
            <w:tcW w:w="4011"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徐光辉、李叔君、钟炳伟、李文莉、王钟、王丽、姚文斌、吴延熊、晨晓、汪永奇</w:t>
            </w:r>
          </w:p>
        </w:tc>
        <w:tc>
          <w:tcPr>
            <w:tcW w:w="1905" w:type="dxa"/>
            <w:tcBorders>
              <w:top w:val="single" w:color="auto" w:sz="4" w:space="0"/>
              <w:left w:val="nil"/>
              <w:bottom w:val="single" w:color="auto" w:sz="4" w:space="0"/>
              <w:right w:val="single" w:color="auto" w:sz="4" w:space="0"/>
            </w:tcBorders>
            <w:shd w:val="clear" w:color="auto" w:fill="auto"/>
          </w:tcPr>
          <w:p>
            <w:pPr>
              <w:rPr>
                <w:rFonts w:asciiTheme="minorEastAsia" w:hAnsiTheme="minorEastAsia" w:cstheme="majorEastAsia"/>
                <w:color w:val="000000"/>
                <w:szCs w:val="21"/>
              </w:rPr>
            </w:pPr>
            <w:r>
              <w:rPr>
                <w:rFonts w:hint="eastAsia" w:asciiTheme="minorEastAsia" w:hAnsiTheme="minorEastAsia" w:cstheme="majorEastAsia"/>
                <w:color w:val="000000"/>
                <w:szCs w:val="21"/>
              </w:rPr>
              <w:t>浙江农林大学暨阳学院</w:t>
            </w:r>
          </w:p>
        </w:tc>
      </w:tr>
    </w:tbl>
    <w:p>
      <w:pPr>
        <w:ind w:firstLine="160" w:firstLineChars="50"/>
        <w:jc w:val="center"/>
        <w:rPr>
          <w:rFonts w:ascii="黑体" w:hAnsi="黑体" w:eastAsia="黑体" w:cs="宋体"/>
          <w:bCs/>
          <w:kern w:val="0"/>
          <w:sz w:val="32"/>
          <w:szCs w:val="32"/>
        </w:rPr>
      </w:pPr>
    </w:p>
    <w:p>
      <w:pPr>
        <w:ind w:right="320" w:firstLine="3520" w:firstLineChars="1100"/>
        <w:jc w:val="both"/>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32"/>
    <w:rsid w:val="00006871"/>
    <w:rsid w:val="000B2408"/>
    <w:rsid w:val="000D44E9"/>
    <w:rsid w:val="000E3135"/>
    <w:rsid w:val="000F1EF4"/>
    <w:rsid w:val="000F2913"/>
    <w:rsid w:val="001221F8"/>
    <w:rsid w:val="00193F47"/>
    <w:rsid w:val="001A0B65"/>
    <w:rsid w:val="001A2EDF"/>
    <w:rsid w:val="001F1D79"/>
    <w:rsid w:val="00220399"/>
    <w:rsid w:val="00253703"/>
    <w:rsid w:val="00273708"/>
    <w:rsid w:val="00294BE1"/>
    <w:rsid w:val="002F7706"/>
    <w:rsid w:val="0030398C"/>
    <w:rsid w:val="00322043"/>
    <w:rsid w:val="003424B8"/>
    <w:rsid w:val="003432B5"/>
    <w:rsid w:val="00362AA6"/>
    <w:rsid w:val="00365C58"/>
    <w:rsid w:val="003F5906"/>
    <w:rsid w:val="00444DEA"/>
    <w:rsid w:val="00445FA0"/>
    <w:rsid w:val="00451845"/>
    <w:rsid w:val="004564FE"/>
    <w:rsid w:val="00466345"/>
    <w:rsid w:val="00496505"/>
    <w:rsid w:val="00501C2A"/>
    <w:rsid w:val="00537E0E"/>
    <w:rsid w:val="00553C49"/>
    <w:rsid w:val="00595500"/>
    <w:rsid w:val="005968B6"/>
    <w:rsid w:val="005B1123"/>
    <w:rsid w:val="005B5666"/>
    <w:rsid w:val="006934BA"/>
    <w:rsid w:val="006A3573"/>
    <w:rsid w:val="006A74C2"/>
    <w:rsid w:val="006E429B"/>
    <w:rsid w:val="006F295D"/>
    <w:rsid w:val="0072039F"/>
    <w:rsid w:val="007A2860"/>
    <w:rsid w:val="007D5D6F"/>
    <w:rsid w:val="007E3670"/>
    <w:rsid w:val="0082031E"/>
    <w:rsid w:val="0083039A"/>
    <w:rsid w:val="0089344E"/>
    <w:rsid w:val="008B3B81"/>
    <w:rsid w:val="008E7F39"/>
    <w:rsid w:val="008F31B4"/>
    <w:rsid w:val="008F7EA0"/>
    <w:rsid w:val="00906659"/>
    <w:rsid w:val="00931454"/>
    <w:rsid w:val="00934058"/>
    <w:rsid w:val="009B760B"/>
    <w:rsid w:val="009C7C45"/>
    <w:rsid w:val="009D2016"/>
    <w:rsid w:val="009F669E"/>
    <w:rsid w:val="00A21533"/>
    <w:rsid w:val="00A242BF"/>
    <w:rsid w:val="00A42294"/>
    <w:rsid w:val="00A64E9D"/>
    <w:rsid w:val="00A91996"/>
    <w:rsid w:val="00AB3958"/>
    <w:rsid w:val="00AC0051"/>
    <w:rsid w:val="00AF4AEA"/>
    <w:rsid w:val="00B173B0"/>
    <w:rsid w:val="00B25C86"/>
    <w:rsid w:val="00B2618D"/>
    <w:rsid w:val="00B42855"/>
    <w:rsid w:val="00B52B64"/>
    <w:rsid w:val="00B52BE2"/>
    <w:rsid w:val="00BE3F05"/>
    <w:rsid w:val="00C07991"/>
    <w:rsid w:val="00C31052"/>
    <w:rsid w:val="00C31086"/>
    <w:rsid w:val="00C33E4C"/>
    <w:rsid w:val="00C72C11"/>
    <w:rsid w:val="00CA385F"/>
    <w:rsid w:val="00CB2B2A"/>
    <w:rsid w:val="00CB64F6"/>
    <w:rsid w:val="00CC27A8"/>
    <w:rsid w:val="00CD2E89"/>
    <w:rsid w:val="00CE3365"/>
    <w:rsid w:val="00CE7ACC"/>
    <w:rsid w:val="00D12C61"/>
    <w:rsid w:val="00D40EEC"/>
    <w:rsid w:val="00D613DF"/>
    <w:rsid w:val="00D77FBF"/>
    <w:rsid w:val="00DB0F68"/>
    <w:rsid w:val="00DC6932"/>
    <w:rsid w:val="00E65063"/>
    <w:rsid w:val="00E86A16"/>
    <w:rsid w:val="00EA1420"/>
    <w:rsid w:val="00EC3440"/>
    <w:rsid w:val="00EF4DC6"/>
    <w:rsid w:val="00F052D7"/>
    <w:rsid w:val="00F16144"/>
    <w:rsid w:val="00F404CD"/>
    <w:rsid w:val="00F45195"/>
    <w:rsid w:val="00F50200"/>
    <w:rsid w:val="00F52CBC"/>
    <w:rsid w:val="00F62E93"/>
    <w:rsid w:val="00FD6CB2"/>
    <w:rsid w:val="00FD70EF"/>
    <w:rsid w:val="00FE158E"/>
    <w:rsid w:val="01DE3D78"/>
    <w:rsid w:val="03B5772C"/>
    <w:rsid w:val="057529E2"/>
    <w:rsid w:val="058D20BF"/>
    <w:rsid w:val="061A1D01"/>
    <w:rsid w:val="081C0B9A"/>
    <w:rsid w:val="09A207B7"/>
    <w:rsid w:val="0A3B2A63"/>
    <w:rsid w:val="0DDD3451"/>
    <w:rsid w:val="0F163C64"/>
    <w:rsid w:val="13DE278B"/>
    <w:rsid w:val="14FE42E2"/>
    <w:rsid w:val="16E76EEF"/>
    <w:rsid w:val="19326A3E"/>
    <w:rsid w:val="1E4872BE"/>
    <w:rsid w:val="1E496E82"/>
    <w:rsid w:val="1F1A4965"/>
    <w:rsid w:val="1FCFE17C"/>
    <w:rsid w:val="2158763E"/>
    <w:rsid w:val="25372F55"/>
    <w:rsid w:val="270348D2"/>
    <w:rsid w:val="27606EF2"/>
    <w:rsid w:val="28E02D64"/>
    <w:rsid w:val="29774E57"/>
    <w:rsid w:val="2AB6579D"/>
    <w:rsid w:val="2B8A6106"/>
    <w:rsid w:val="2CB34F37"/>
    <w:rsid w:val="2D3F735B"/>
    <w:rsid w:val="2F7A5649"/>
    <w:rsid w:val="2FF82BF6"/>
    <w:rsid w:val="30FD7225"/>
    <w:rsid w:val="32AE3282"/>
    <w:rsid w:val="35925E56"/>
    <w:rsid w:val="369C52F1"/>
    <w:rsid w:val="36DB3633"/>
    <w:rsid w:val="36FE5562"/>
    <w:rsid w:val="39BD73E5"/>
    <w:rsid w:val="39BE98F1"/>
    <w:rsid w:val="3A9D0551"/>
    <w:rsid w:val="3BE262AA"/>
    <w:rsid w:val="3CA13741"/>
    <w:rsid w:val="3DDB4E1A"/>
    <w:rsid w:val="3E2C5A18"/>
    <w:rsid w:val="41090B39"/>
    <w:rsid w:val="414F5D54"/>
    <w:rsid w:val="41D773D6"/>
    <w:rsid w:val="4230183A"/>
    <w:rsid w:val="424C1303"/>
    <w:rsid w:val="42BB62B4"/>
    <w:rsid w:val="4303426B"/>
    <w:rsid w:val="4451442E"/>
    <w:rsid w:val="44BF5171"/>
    <w:rsid w:val="46DC0B2D"/>
    <w:rsid w:val="46FBBA71"/>
    <w:rsid w:val="47474566"/>
    <w:rsid w:val="476C22FF"/>
    <w:rsid w:val="47E47360"/>
    <w:rsid w:val="49C06EFB"/>
    <w:rsid w:val="4B6D77D8"/>
    <w:rsid w:val="4F2A671C"/>
    <w:rsid w:val="50780055"/>
    <w:rsid w:val="53D0260F"/>
    <w:rsid w:val="559C7416"/>
    <w:rsid w:val="5B3F2B3B"/>
    <w:rsid w:val="5BDA033F"/>
    <w:rsid w:val="5D065E75"/>
    <w:rsid w:val="5D5A4220"/>
    <w:rsid w:val="5D6E12C2"/>
    <w:rsid w:val="5F034E2E"/>
    <w:rsid w:val="5FD82722"/>
    <w:rsid w:val="60076CD1"/>
    <w:rsid w:val="61E429E1"/>
    <w:rsid w:val="64AB67E2"/>
    <w:rsid w:val="64E47765"/>
    <w:rsid w:val="68843EE1"/>
    <w:rsid w:val="69F76330"/>
    <w:rsid w:val="6D6576C1"/>
    <w:rsid w:val="6FC46DDC"/>
    <w:rsid w:val="70281194"/>
    <w:rsid w:val="738D192F"/>
    <w:rsid w:val="739F4FB4"/>
    <w:rsid w:val="77DB7963"/>
    <w:rsid w:val="7A8732D7"/>
    <w:rsid w:val="7C5C677C"/>
    <w:rsid w:val="7D7FD038"/>
    <w:rsid w:val="7DD371B4"/>
    <w:rsid w:val="7E7B929E"/>
    <w:rsid w:val="7F2300C3"/>
    <w:rsid w:val="7F417D12"/>
    <w:rsid w:val="B777CD88"/>
    <w:rsid w:val="BFDFBBBC"/>
    <w:rsid w:val="C27AFA67"/>
    <w:rsid w:val="DAC72510"/>
    <w:rsid w:val="EFFBEE54"/>
    <w:rsid w:val="F36F363A"/>
    <w:rsid w:val="F36F48C4"/>
    <w:rsid w:val="F7EEDC6E"/>
    <w:rsid w:val="FAFF1AD2"/>
    <w:rsid w:val="FDFD8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table" w:customStyle="1" w:styleId="9">
    <w:name w:val="Grid Table 1 Light Accent 1"/>
    <w:basedOn w:val="4"/>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paragraph" w:customStyle="1" w:styleId="10">
    <w:name w:val="列出段落1"/>
    <w:basedOn w:val="1"/>
    <w:qFormat/>
    <w:uiPriority w:val="34"/>
    <w:pPr>
      <w:ind w:firstLine="420" w:firstLineChars="200"/>
    </w:pPr>
  </w:style>
  <w:style w:type="table" w:customStyle="1" w:styleId="11">
    <w:name w:val="Grid Table Light"/>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2465</Words>
  <Characters>14054</Characters>
  <Lines>117</Lines>
  <Paragraphs>32</Paragraphs>
  <TotalTime>7</TotalTime>
  <ScaleCrop>false</ScaleCrop>
  <LinksUpToDate>false</LinksUpToDate>
  <CharactersWithSpaces>16487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2021-12-22T17:05:00Z</dcterms:created>
  <dc:creator>DELL</dc:creator>
  <cp:lastModifiedBy>jyt</cp:lastModifiedBy>
  <cp:lastPrinted>2021-12-23T00:28:00Z</cp:lastPrinted>
  <dcterms:modified xsi:type="dcterms:W3CDTF">2021-12-23T16:59:15Z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