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附件1</w:t>
      </w:r>
    </w:p>
    <w:p w:rsidR="00C761E5" w:rsidRDefault="00C761E5" w:rsidP="00C761E5">
      <w:pPr>
        <w:adjustRightInd w:val="0"/>
        <w:snapToGrid w:val="0"/>
        <w:spacing w:line="360" w:lineRule="auto"/>
        <w:rPr>
          <w:rFonts w:eastAsia="仿宋_GB2312"/>
          <w:sz w:val="32"/>
          <w:szCs w:val="32"/>
        </w:rPr>
      </w:pPr>
    </w:p>
    <w:p w:rsidR="00C761E5" w:rsidRDefault="00C761E5" w:rsidP="00C761E5">
      <w:pPr>
        <w:adjustRightInd w:val="0"/>
        <w:snapToGrid w:val="0"/>
        <w:spacing w:line="312" w:lineRule="auto"/>
        <w:jc w:val="center"/>
        <w:rPr>
          <w:rFonts w:ascii="小标宋" w:eastAsia="小标宋" w:hAnsi="小标宋" w:cs="小标宋" w:hint="eastAsia"/>
          <w:sz w:val="44"/>
          <w:szCs w:val="44"/>
        </w:rPr>
      </w:pPr>
      <w:r>
        <w:rPr>
          <w:rFonts w:ascii="小标宋" w:eastAsia="小标宋" w:hAnsi="小标宋" w:cs="小标宋" w:hint="eastAsia"/>
          <w:sz w:val="44"/>
          <w:szCs w:val="44"/>
        </w:rPr>
        <w:t>2022年杭州市中小学（中等职业学校）</w:t>
      </w:r>
    </w:p>
    <w:p w:rsidR="00C761E5" w:rsidRDefault="00C761E5" w:rsidP="00C761E5">
      <w:pPr>
        <w:adjustRightInd w:val="0"/>
        <w:snapToGrid w:val="0"/>
        <w:spacing w:line="312" w:lineRule="auto"/>
        <w:jc w:val="center"/>
        <w:rPr>
          <w:rFonts w:ascii="小标宋" w:eastAsia="小标宋" w:hAnsi="小标宋" w:cs="小标宋" w:hint="eastAsia"/>
          <w:sz w:val="44"/>
          <w:szCs w:val="44"/>
        </w:rPr>
      </w:pPr>
      <w:r>
        <w:rPr>
          <w:rFonts w:ascii="小标宋" w:eastAsia="小标宋" w:hAnsi="小标宋" w:cs="小标宋" w:hint="eastAsia"/>
          <w:sz w:val="44"/>
          <w:szCs w:val="44"/>
        </w:rPr>
        <w:t>教师职称评审申报推荐要求</w:t>
      </w:r>
    </w:p>
    <w:p w:rsidR="00C761E5" w:rsidRDefault="00C761E5" w:rsidP="00C761E5">
      <w:pPr>
        <w:adjustRightInd w:val="0"/>
        <w:snapToGrid w:val="0"/>
        <w:spacing w:line="360" w:lineRule="auto"/>
        <w:rPr>
          <w:rFonts w:eastAsia="仿宋_GB2312"/>
          <w:sz w:val="32"/>
          <w:szCs w:val="32"/>
        </w:rPr>
      </w:pP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一、教师资格要求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凡申报教师系列（包括中小幼教师系列、中职教师系列）职称者须具备相应的教师资格证书。</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二、政治素质和职业道德要求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拥护中国共产党的领导，坚持以习近平新时代中国特色社会主义思想为指导，自觉践行社会主义核心价值观，落实立德树人根本任务，遵守《中小学教师职业道德规范》《新时代中小学教师职业行为十项准则》《新时代幼儿园教师职业行为十项准则》，爱岗敬业，为人师表，关爱学生，依法执教。近</w:t>
      </w:r>
      <w:r>
        <w:rPr>
          <w:rFonts w:eastAsia="仿宋_GB2312"/>
          <w:sz w:val="32"/>
          <w:szCs w:val="32"/>
        </w:rPr>
        <w:t>5</w:t>
      </w:r>
      <w:r>
        <w:rPr>
          <w:rFonts w:eastAsia="仿宋_GB2312"/>
          <w:sz w:val="32"/>
          <w:szCs w:val="32"/>
        </w:rPr>
        <w:t>年内未出现过《中小学教师违反职业道德行为处理办法（</w:t>
      </w:r>
      <w:r>
        <w:rPr>
          <w:rFonts w:eastAsia="仿宋_GB2312"/>
          <w:sz w:val="32"/>
          <w:szCs w:val="32"/>
        </w:rPr>
        <w:t>2018</w:t>
      </w:r>
      <w:r>
        <w:rPr>
          <w:rFonts w:eastAsia="仿宋_GB2312"/>
          <w:sz w:val="32"/>
          <w:szCs w:val="32"/>
        </w:rPr>
        <w:t>年修订）》第四条所列负面行为。</w:t>
      </w:r>
    </w:p>
    <w:p w:rsidR="00C761E5" w:rsidRDefault="00C761E5" w:rsidP="00C761E5">
      <w:pPr>
        <w:tabs>
          <w:tab w:val="left" w:pos="0"/>
        </w:tabs>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三、学历、资历要求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（一）教师系列</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申报高级职称者，须符合下列条件之一：</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1</w:t>
      </w:r>
      <w:r>
        <w:rPr>
          <w:rFonts w:eastAsia="仿宋_GB2312"/>
          <w:sz w:val="32"/>
          <w:szCs w:val="32"/>
        </w:rPr>
        <w:t>）具备博士学位，并在中级职称岗位任教</w:t>
      </w:r>
      <w:r>
        <w:rPr>
          <w:rFonts w:eastAsia="仿宋_GB2312"/>
          <w:sz w:val="32"/>
          <w:szCs w:val="32"/>
        </w:rPr>
        <w:t>2</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lastRenderedPageBreak/>
        <w:t xml:space="preserve">    </w:t>
      </w:r>
      <w:r>
        <w:rPr>
          <w:rFonts w:eastAsia="仿宋_GB2312"/>
          <w:sz w:val="32"/>
          <w:szCs w:val="32"/>
        </w:rPr>
        <w:t>（</w:t>
      </w:r>
      <w:r>
        <w:rPr>
          <w:rFonts w:eastAsia="仿宋_GB2312"/>
          <w:sz w:val="32"/>
          <w:szCs w:val="32"/>
        </w:rPr>
        <w:t>2</w:t>
      </w:r>
      <w:r>
        <w:rPr>
          <w:rFonts w:eastAsia="仿宋_GB2312"/>
          <w:sz w:val="32"/>
          <w:szCs w:val="32"/>
        </w:rPr>
        <w:t>）具备大学本科毕业及以上学历，并在中级职称岗位任教</w:t>
      </w:r>
      <w:r>
        <w:rPr>
          <w:rFonts w:eastAsia="仿宋_GB2312"/>
          <w:sz w:val="32"/>
          <w:szCs w:val="32"/>
        </w:rPr>
        <w:t>5</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3</w:t>
      </w:r>
      <w:r>
        <w:rPr>
          <w:rFonts w:eastAsia="仿宋_GB2312"/>
          <w:sz w:val="32"/>
          <w:szCs w:val="32"/>
        </w:rPr>
        <w:t>）具备大学专科毕业学历，并在初中、小学、幼儿园中级职称岗位任教</w:t>
      </w:r>
      <w:r>
        <w:rPr>
          <w:rFonts w:eastAsia="仿宋_GB2312"/>
          <w:sz w:val="32"/>
          <w:szCs w:val="32"/>
        </w:rPr>
        <w:t>5</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45</w:t>
      </w:r>
      <w:r>
        <w:rPr>
          <w:rFonts w:eastAsia="仿宋_GB2312"/>
          <w:sz w:val="32"/>
          <w:szCs w:val="32"/>
        </w:rPr>
        <w:t>周岁以下（</w:t>
      </w:r>
      <w:r>
        <w:rPr>
          <w:rFonts w:eastAsia="仿宋_GB2312"/>
          <w:sz w:val="32"/>
          <w:szCs w:val="32"/>
        </w:rPr>
        <w:t>1977</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日以后出生）初中、小学、幼儿园教师，申报高级职称应具备大学本科毕业及以上学历。任职时间计算到</w:t>
      </w:r>
      <w:r>
        <w:rPr>
          <w:rFonts w:eastAsia="仿宋_GB2312"/>
          <w:sz w:val="32"/>
          <w:szCs w:val="32"/>
        </w:rPr>
        <w:t>2022</w:t>
      </w:r>
      <w:r>
        <w:rPr>
          <w:rFonts w:eastAsia="仿宋_GB2312"/>
          <w:sz w:val="32"/>
          <w:szCs w:val="32"/>
        </w:rPr>
        <w:t>年底（下同）。</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申报中级职称者，须符合下列条件之一：</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1</w:t>
      </w:r>
      <w:r>
        <w:rPr>
          <w:rFonts w:eastAsia="仿宋_GB2312"/>
          <w:sz w:val="32"/>
          <w:szCs w:val="32"/>
        </w:rPr>
        <w:t>）具备博士学位；</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2</w:t>
      </w:r>
      <w:r>
        <w:rPr>
          <w:rFonts w:eastAsia="仿宋_GB2312"/>
          <w:sz w:val="32"/>
          <w:szCs w:val="32"/>
        </w:rPr>
        <w:t>）具备硕士研究生学历学位（全日制），并在初级职称岗位任教</w:t>
      </w:r>
      <w:r>
        <w:rPr>
          <w:rFonts w:eastAsia="仿宋_GB2312"/>
          <w:sz w:val="32"/>
          <w:szCs w:val="32"/>
        </w:rPr>
        <w:t>2</w:t>
      </w:r>
      <w:r>
        <w:rPr>
          <w:rFonts w:eastAsia="仿宋_GB2312"/>
          <w:sz w:val="32"/>
          <w:szCs w:val="32"/>
        </w:rPr>
        <w:t>年及以上或</w:t>
      </w:r>
      <w:r>
        <w:rPr>
          <w:rFonts w:eastAsia="仿宋_GB2312"/>
          <w:sz w:val="32"/>
          <w:szCs w:val="32"/>
        </w:rPr>
        <w:t>2016</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日以前参加工作的，任教</w:t>
      </w:r>
      <w:r>
        <w:rPr>
          <w:rFonts w:eastAsia="仿宋_GB2312"/>
          <w:sz w:val="32"/>
          <w:szCs w:val="32"/>
        </w:rPr>
        <w:t>3</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3</w:t>
      </w:r>
      <w:r>
        <w:rPr>
          <w:rFonts w:eastAsia="仿宋_GB2312"/>
          <w:sz w:val="32"/>
          <w:szCs w:val="32"/>
        </w:rPr>
        <w:t>）具备学士学位或者大学本科毕业学历，并在初级职称岗位任教</w:t>
      </w:r>
      <w:r>
        <w:rPr>
          <w:rFonts w:eastAsia="仿宋_GB2312"/>
          <w:sz w:val="32"/>
          <w:szCs w:val="32"/>
        </w:rPr>
        <w:t>4</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4</w:t>
      </w:r>
      <w:r>
        <w:rPr>
          <w:rFonts w:eastAsia="仿宋_GB2312"/>
          <w:sz w:val="32"/>
          <w:szCs w:val="32"/>
        </w:rPr>
        <w:t>）具备大学专科毕业学历，并在初中、小学、幼儿园初级职称岗位任教</w:t>
      </w:r>
      <w:r>
        <w:rPr>
          <w:rFonts w:eastAsia="仿宋_GB2312"/>
          <w:sz w:val="32"/>
          <w:szCs w:val="32"/>
        </w:rPr>
        <w:t>4</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w:t>
      </w:r>
      <w:r>
        <w:rPr>
          <w:rFonts w:eastAsia="仿宋_GB2312"/>
          <w:sz w:val="32"/>
          <w:szCs w:val="32"/>
        </w:rPr>
        <w:t>5</w:t>
      </w:r>
      <w:r>
        <w:rPr>
          <w:rFonts w:eastAsia="仿宋_GB2312"/>
          <w:sz w:val="32"/>
          <w:szCs w:val="32"/>
        </w:rPr>
        <w:t>）具备中等师范学校毕业学历，并在小学、幼儿园初级职称岗位任教</w:t>
      </w:r>
      <w:r>
        <w:rPr>
          <w:rFonts w:eastAsia="仿宋_GB2312"/>
          <w:sz w:val="32"/>
          <w:szCs w:val="32"/>
        </w:rPr>
        <w:t>5</w:t>
      </w:r>
      <w:r>
        <w:rPr>
          <w:rFonts w:eastAsia="仿宋_GB2312"/>
          <w:sz w:val="32"/>
          <w:szCs w:val="32"/>
        </w:rPr>
        <w:t>年及以上。</w:t>
      </w:r>
    </w:p>
    <w:p w:rsidR="00C761E5" w:rsidRDefault="00C761E5" w:rsidP="00C761E5">
      <w:pPr>
        <w:adjustRightInd w:val="0"/>
        <w:snapToGrid w:val="0"/>
        <w:spacing w:line="360" w:lineRule="auto"/>
        <w:rPr>
          <w:rFonts w:eastAsia="仿宋_GB2312"/>
          <w:kern w:val="0"/>
          <w:sz w:val="32"/>
          <w:szCs w:val="32"/>
        </w:rPr>
      </w:pPr>
      <w:r>
        <w:rPr>
          <w:rFonts w:eastAsia="仿宋_GB2312" w:hint="eastAsia"/>
          <w:sz w:val="32"/>
          <w:szCs w:val="32"/>
        </w:rPr>
        <w:t xml:space="preserve">    </w:t>
      </w:r>
      <w:r>
        <w:rPr>
          <w:rFonts w:eastAsia="仿宋_GB2312"/>
          <w:sz w:val="32"/>
          <w:szCs w:val="32"/>
        </w:rPr>
        <w:t>教科研人员申报高级职称者，须实际从事学校教学工作</w:t>
      </w:r>
      <w:r>
        <w:rPr>
          <w:rFonts w:eastAsia="仿宋_GB2312"/>
          <w:sz w:val="32"/>
          <w:szCs w:val="32"/>
        </w:rPr>
        <w:t>2</w:t>
      </w:r>
      <w:r>
        <w:rPr>
          <w:rFonts w:eastAsia="仿宋_GB2312"/>
          <w:sz w:val="32"/>
          <w:szCs w:val="32"/>
        </w:rPr>
        <w:t>年及以上（具有博士学位者</w:t>
      </w:r>
      <w:r>
        <w:rPr>
          <w:rFonts w:eastAsia="仿宋_GB2312"/>
          <w:sz w:val="32"/>
          <w:szCs w:val="32"/>
        </w:rPr>
        <w:t>1</w:t>
      </w:r>
      <w:r>
        <w:rPr>
          <w:rFonts w:eastAsia="仿宋_GB2312"/>
          <w:sz w:val="32"/>
          <w:szCs w:val="32"/>
        </w:rPr>
        <w:t>年及以上）；申报中级职称者，须实际从事学校教学工作</w:t>
      </w:r>
      <w:r>
        <w:rPr>
          <w:rFonts w:eastAsia="仿宋_GB2312"/>
          <w:sz w:val="32"/>
          <w:szCs w:val="32"/>
        </w:rPr>
        <w:t>1</w:t>
      </w:r>
      <w:r>
        <w:rPr>
          <w:rFonts w:eastAsia="仿宋_GB2312"/>
          <w:sz w:val="32"/>
          <w:szCs w:val="32"/>
        </w:rPr>
        <w:t>年及以上（具有博士学位者除外）。</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lastRenderedPageBreak/>
        <w:t xml:space="preserve">    </w:t>
      </w:r>
      <w:r>
        <w:rPr>
          <w:rFonts w:eastAsia="仿宋_GB2312"/>
          <w:sz w:val="32"/>
          <w:szCs w:val="32"/>
        </w:rPr>
        <w:t>（二）教辅系列</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sz w:val="32"/>
          <w:szCs w:val="32"/>
        </w:rPr>
        <w:t>．教育管理系列</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申报者须具备大学本科毕业及以上学历。申报副研究员者须在助理研究员岗位上任职</w:t>
      </w:r>
      <w:r>
        <w:rPr>
          <w:rFonts w:eastAsia="仿宋_GB2312"/>
          <w:sz w:val="32"/>
          <w:szCs w:val="32"/>
        </w:rPr>
        <w:t>5</w:t>
      </w:r>
      <w:r>
        <w:rPr>
          <w:rFonts w:eastAsia="仿宋_GB2312"/>
          <w:sz w:val="32"/>
          <w:szCs w:val="32"/>
        </w:rPr>
        <w:t>年及以上；申报助理研究员者须在研究实习员岗位上任职</w:t>
      </w:r>
      <w:r>
        <w:rPr>
          <w:rFonts w:eastAsia="仿宋_GB2312"/>
          <w:sz w:val="32"/>
          <w:szCs w:val="32"/>
        </w:rPr>
        <w:t>4</w:t>
      </w:r>
      <w:r>
        <w:rPr>
          <w:rFonts w:eastAsia="仿宋_GB2312"/>
          <w:sz w:val="32"/>
          <w:szCs w:val="32"/>
        </w:rPr>
        <w:t>年及以上。转评中小学校教育管理系列职称者，在学历上暂不作要求。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sz w:val="32"/>
          <w:szCs w:val="32"/>
        </w:rPr>
        <w:t>．实验系列</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申报者须具备大学专科毕业及以上学历。申报高级实验师者须在实验师岗位上任职</w:t>
      </w:r>
      <w:r>
        <w:rPr>
          <w:rFonts w:eastAsia="仿宋_GB2312"/>
          <w:sz w:val="32"/>
          <w:szCs w:val="32"/>
        </w:rPr>
        <w:t>5</w:t>
      </w:r>
      <w:r>
        <w:rPr>
          <w:rFonts w:eastAsia="仿宋_GB2312"/>
          <w:sz w:val="32"/>
          <w:szCs w:val="32"/>
        </w:rPr>
        <w:t>年及以上；申报实验师者须在助理实验师岗位上任职</w:t>
      </w:r>
      <w:r>
        <w:rPr>
          <w:rFonts w:eastAsia="仿宋_GB2312"/>
          <w:sz w:val="32"/>
          <w:szCs w:val="32"/>
        </w:rPr>
        <w:t>4</w:t>
      </w:r>
      <w:r>
        <w:rPr>
          <w:rFonts w:eastAsia="仿宋_GB2312"/>
          <w:sz w:val="32"/>
          <w:szCs w:val="32"/>
        </w:rPr>
        <w:t>年及以上。转评中小学实验系列职称者，在学历上暂不作要求。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2002</w:t>
      </w:r>
      <w:r>
        <w:rPr>
          <w:rFonts w:eastAsia="仿宋_GB2312"/>
          <w:sz w:val="32"/>
          <w:szCs w:val="32"/>
        </w:rPr>
        <w:t>年及以后取得的国内大学专科及以上学历者，须提供《教育部学历证书电子注册备案表》或《教育部学籍在线验证报告》（无法提供备案表或验证报告者，须提供《中国高等教育学历认证报告》）；</w:t>
      </w:r>
      <w:r>
        <w:rPr>
          <w:rFonts w:eastAsia="仿宋_GB2312"/>
          <w:sz w:val="32"/>
          <w:szCs w:val="32"/>
        </w:rPr>
        <w:t>2002</w:t>
      </w:r>
      <w:r>
        <w:rPr>
          <w:rFonts w:eastAsia="仿宋_GB2312"/>
          <w:sz w:val="32"/>
          <w:szCs w:val="32"/>
        </w:rPr>
        <w:t>年以前取得的国内大学专科及以上学历（含取得第二学士学位和研究生班毕业）者，须提供相应《中国高等教育学历认证报告》；取得国外和港、澳、台地区学历、学位者，须提供教育部留学服务中心认证的《国外学历学位认证书》或《港澳台学历学位认证书》。</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不同系列转任现岗位者，须在现岗位工作</w:t>
      </w:r>
      <w:r>
        <w:rPr>
          <w:rFonts w:eastAsia="仿宋_GB2312"/>
          <w:sz w:val="32"/>
          <w:szCs w:val="32"/>
        </w:rPr>
        <w:t>1</w:t>
      </w:r>
      <w:r>
        <w:rPr>
          <w:rFonts w:eastAsia="仿宋_GB2312"/>
          <w:sz w:val="32"/>
          <w:szCs w:val="32"/>
        </w:rPr>
        <w:t>年及以上，经考核合格，原任职务年限与现任职务年限可合并计算。</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lastRenderedPageBreak/>
        <w:t xml:space="preserve">    四、教育教学能力要求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教育教学能力考核分为教育教学专业理论考核（以下简称笔试）、课堂教学能力测评或教育教学管理能力测评（以下简称面试）两项，按照要求，由市教育局统一组织实施。</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申报高级职称者，须参加笔试、面试；申报中级职称者，只需参加笔试。笔试、面试成绩需取得</w:t>
      </w:r>
      <w:r>
        <w:rPr>
          <w:rFonts w:eastAsia="仿宋_GB2312"/>
          <w:sz w:val="32"/>
          <w:szCs w:val="32"/>
        </w:rPr>
        <w:t>C</w:t>
      </w:r>
      <w:r>
        <w:rPr>
          <w:rFonts w:eastAsia="仿宋_GB2312"/>
          <w:sz w:val="32"/>
          <w:szCs w:val="32"/>
        </w:rPr>
        <w:t>等及以上，三年内有效（例：</w:t>
      </w:r>
      <w:r>
        <w:rPr>
          <w:rFonts w:eastAsia="仿宋_GB2312"/>
          <w:sz w:val="32"/>
          <w:szCs w:val="32"/>
        </w:rPr>
        <w:t>2022</w:t>
      </w:r>
      <w:r>
        <w:rPr>
          <w:rFonts w:eastAsia="仿宋_GB2312"/>
          <w:sz w:val="32"/>
          <w:szCs w:val="32"/>
        </w:rPr>
        <w:t>年取得的</w:t>
      </w:r>
      <w:r>
        <w:rPr>
          <w:rFonts w:eastAsia="仿宋_GB2312"/>
          <w:sz w:val="32"/>
          <w:szCs w:val="32"/>
        </w:rPr>
        <w:t>C</w:t>
      </w:r>
      <w:r>
        <w:rPr>
          <w:rFonts w:eastAsia="仿宋_GB2312"/>
          <w:sz w:val="32"/>
          <w:szCs w:val="32"/>
        </w:rPr>
        <w:t>等及以上成绩有效期至</w:t>
      </w:r>
      <w:r>
        <w:rPr>
          <w:rFonts w:eastAsia="仿宋_GB2312"/>
          <w:sz w:val="32"/>
          <w:szCs w:val="32"/>
        </w:rPr>
        <w:t>2024</w:t>
      </w:r>
      <w:r>
        <w:rPr>
          <w:rFonts w:eastAsia="仿宋_GB2312"/>
          <w:sz w:val="32"/>
          <w:szCs w:val="32"/>
        </w:rPr>
        <w:t>年）。</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教育管理系列人员中，长期从事教育管理工作并在学校发展、办学引领、教育改革等方面取得卓越成效，社会影响大，且获省级及以上科研成果（课题）一等奖及以上或公开出版教育管理研究书籍的（独著或主编），笔试、面试成绩不作要求。</w:t>
      </w:r>
    </w:p>
    <w:p w:rsidR="00C761E5" w:rsidRDefault="00C761E5" w:rsidP="00C761E5">
      <w:pPr>
        <w:adjustRightInd w:val="0"/>
        <w:snapToGrid w:val="0"/>
        <w:spacing w:line="360" w:lineRule="auto"/>
        <w:rPr>
          <w:rFonts w:eastAsia="仿宋_GB2312"/>
          <w:sz w:val="32"/>
          <w:szCs w:val="32"/>
        </w:rPr>
      </w:pPr>
      <w:r>
        <w:rPr>
          <w:rFonts w:eastAsia="仿宋_GB2312"/>
          <w:sz w:val="32"/>
          <w:szCs w:val="32"/>
        </w:rPr>
        <w:t>高级教师转评教育管理系列，且在教育管理岗位上任职连续</w:t>
      </w:r>
      <w:r>
        <w:rPr>
          <w:rFonts w:eastAsia="仿宋_GB2312"/>
          <w:sz w:val="32"/>
          <w:szCs w:val="32"/>
        </w:rPr>
        <w:t>5</w:t>
      </w:r>
      <w:r>
        <w:rPr>
          <w:rFonts w:eastAsia="仿宋_GB2312"/>
          <w:sz w:val="32"/>
          <w:szCs w:val="32"/>
        </w:rPr>
        <w:t>年及以上的，笔试、面试成绩和研究成果鉴定结果可不作要求；其他同级资格转评须参加相应的笔试、面试。</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经认定的优质数字资源可以申报免面试。同一项优质数字资源在免面试与研究成果认定两种申报中可以任选一种进行申报，且仅能使用一次，不能一项两用。</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五、教育教学研究成果要求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教育教学研究成果包括论文（优秀教案、教育教学案例分析、课题研究报告、教育教学反思等教科研实践与改革成果）、数字资源（课堂教学实录、在线课堂及微课程资源、信息化教学资源等</w:t>
      </w:r>
      <w:r>
        <w:rPr>
          <w:rFonts w:eastAsia="仿宋_GB2312"/>
          <w:sz w:val="32"/>
          <w:szCs w:val="32"/>
        </w:rPr>
        <w:lastRenderedPageBreak/>
        <w:t>成果展示、职业技能比赛和活动等）两种。成果鉴定由市教育局统一组织实施。成果鉴定结论</w:t>
      </w:r>
      <w:r>
        <w:rPr>
          <w:rFonts w:eastAsia="仿宋_GB2312"/>
          <w:sz w:val="32"/>
          <w:szCs w:val="32"/>
        </w:rPr>
        <w:t>5</w:t>
      </w:r>
      <w:r>
        <w:rPr>
          <w:rFonts w:eastAsia="仿宋_GB2312"/>
          <w:sz w:val="32"/>
          <w:szCs w:val="32"/>
        </w:rPr>
        <w:t>年内且任现职期内有效（例：</w:t>
      </w:r>
      <w:r>
        <w:rPr>
          <w:rFonts w:eastAsia="仿宋_GB2312"/>
          <w:sz w:val="32"/>
          <w:szCs w:val="32"/>
        </w:rPr>
        <w:t>2022</w:t>
      </w:r>
      <w:r>
        <w:rPr>
          <w:rFonts w:eastAsia="仿宋_GB2312"/>
          <w:sz w:val="32"/>
          <w:szCs w:val="32"/>
        </w:rPr>
        <w:t>年成果鉴定结论有效期至</w:t>
      </w:r>
      <w:r>
        <w:rPr>
          <w:rFonts w:eastAsia="仿宋_GB2312"/>
          <w:sz w:val="32"/>
          <w:szCs w:val="32"/>
        </w:rPr>
        <w:t>2026</w:t>
      </w:r>
      <w:r>
        <w:rPr>
          <w:rFonts w:eastAsia="仿宋_GB2312"/>
          <w:sz w:val="32"/>
          <w:szCs w:val="32"/>
        </w:rPr>
        <w:t>年）。</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申报高级职称者，须提交</w:t>
      </w:r>
      <w:r>
        <w:rPr>
          <w:rFonts w:eastAsia="仿宋_GB2312"/>
          <w:sz w:val="32"/>
          <w:szCs w:val="32"/>
        </w:rPr>
        <w:t>2</w:t>
      </w:r>
      <w:r>
        <w:rPr>
          <w:rFonts w:eastAsia="仿宋_GB2312"/>
          <w:sz w:val="32"/>
          <w:szCs w:val="32"/>
        </w:rPr>
        <w:t>篇（项）任现职以来的与所教学科（专业）对口的代表性教育教学研究成果，其中论文至少</w:t>
      </w:r>
      <w:r>
        <w:rPr>
          <w:rFonts w:eastAsia="仿宋_GB2312"/>
          <w:sz w:val="32"/>
          <w:szCs w:val="32"/>
        </w:rPr>
        <w:t>1</w:t>
      </w:r>
      <w:r>
        <w:rPr>
          <w:rFonts w:eastAsia="仿宋_GB2312"/>
          <w:sz w:val="32"/>
          <w:szCs w:val="32"/>
        </w:rPr>
        <w:t>篇，数字资源最多</w:t>
      </w:r>
      <w:r>
        <w:rPr>
          <w:rFonts w:eastAsia="仿宋_GB2312"/>
          <w:sz w:val="32"/>
          <w:szCs w:val="32"/>
        </w:rPr>
        <w:t>1</w:t>
      </w:r>
      <w:r>
        <w:rPr>
          <w:rFonts w:eastAsia="仿宋_GB2312"/>
          <w:sz w:val="32"/>
          <w:szCs w:val="32"/>
        </w:rPr>
        <w:t>项。申报中级职称者，须提交</w:t>
      </w:r>
      <w:r>
        <w:rPr>
          <w:rFonts w:eastAsia="仿宋_GB2312"/>
          <w:sz w:val="32"/>
          <w:szCs w:val="32"/>
        </w:rPr>
        <w:t>1</w:t>
      </w:r>
      <w:r>
        <w:rPr>
          <w:rFonts w:eastAsia="仿宋_GB2312"/>
          <w:sz w:val="32"/>
          <w:szCs w:val="32"/>
        </w:rPr>
        <w:t>篇（项）任现职以来的与所教学科（专业）对口的代表性教育教学研究成果，论文或数字资源任选，是否公开发表或获奖不作刚性要求（除教育管理系列外）。</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提交的教育教学成果必须经行政主管部门或教科研部门评审获奖。申报高级职称者，所提交的获奖论文须在本县级一等奖、本市级二等奖、本省级三等奖及以上，数字资源须在本市级一等奖、本省级二等奖及以上。申报教育管理系列中级职称者所提交获奖论文须获本县级二等奖、本市级三等奖及以上或公开发表。</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现担任行政领导、中层干部、班主任以及特殊教育（专指盲、聋、培智教育）工作者，申报高级职称，所提交的</w:t>
      </w:r>
      <w:r>
        <w:rPr>
          <w:rFonts w:eastAsia="仿宋_GB2312"/>
          <w:sz w:val="32"/>
          <w:szCs w:val="32"/>
        </w:rPr>
        <w:t>2</w:t>
      </w:r>
      <w:r>
        <w:rPr>
          <w:rFonts w:eastAsia="仿宋_GB2312"/>
          <w:sz w:val="32"/>
          <w:szCs w:val="32"/>
        </w:rPr>
        <w:t>篇（项）研究成果中，至少须有</w:t>
      </w:r>
      <w:r>
        <w:rPr>
          <w:rFonts w:eastAsia="仿宋_GB2312"/>
          <w:sz w:val="32"/>
          <w:szCs w:val="32"/>
        </w:rPr>
        <w:t>1</w:t>
      </w:r>
      <w:r>
        <w:rPr>
          <w:rFonts w:eastAsia="仿宋_GB2312"/>
          <w:sz w:val="32"/>
          <w:szCs w:val="32"/>
        </w:rPr>
        <w:t>篇（项）内容与所教学科（专业）对口，另一篇（项）可以与其从事的学校管理、德育教育或班主任工作等对口。</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在农村任教满</w:t>
      </w:r>
      <w:r>
        <w:rPr>
          <w:rFonts w:eastAsia="仿宋_GB2312"/>
          <w:sz w:val="32"/>
          <w:szCs w:val="32"/>
        </w:rPr>
        <w:t>20</w:t>
      </w:r>
      <w:r>
        <w:rPr>
          <w:rFonts w:eastAsia="仿宋_GB2312"/>
          <w:sz w:val="32"/>
          <w:szCs w:val="32"/>
        </w:rPr>
        <w:t>年并现仍在农村任教的农村教师（享受农村教师任教津贴的教师，且非县城或中心镇的教师），申报高级职称，</w:t>
      </w:r>
      <w:r>
        <w:rPr>
          <w:rFonts w:eastAsia="仿宋_GB2312"/>
          <w:sz w:val="32"/>
          <w:szCs w:val="32"/>
        </w:rPr>
        <w:lastRenderedPageBreak/>
        <w:t>提交任现职以来与所教学科（专业）对口的教育教学研究成果</w:t>
      </w:r>
      <w:r>
        <w:rPr>
          <w:rFonts w:eastAsia="仿宋_GB2312"/>
          <w:sz w:val="32"/>
          <w:szCs w:val="32"/>
        </w:rPr>
        <w:t>1</w:t>
      </w:r>
      <w:r>
        <w:rPr>
          <w:rFonts w:eastAsia="仿宋_GB2312"/>
          <w:sz w:val="32"/>
          <w:szCs w:val="32"/>
        </w:rPr>
        <w:t>篇（项）即可。</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对任现职以来在乡村学校工作满</w:t>
      </w:r>
      <w:r>
        <w:rPr>
          <w:rFonts w:eastAsia="仿宋_GB2312"/>
          <w:sz w:val="32"/>
          <w:szCs w:val="32"/>
        </w:rPr>
        <w:t>3</w:t>
      </w:r>
      <w:r>
        <w:rPr>
          <w:rFonts w:eastAsia="仿宋_GB2312"/>
          <w:sz w:val="32"/>
          <w:szCs w:val="32"/>
        </w:rPr>
        <w:t>年且现仍在乡村学校任教的教师（全市乡中心区、村庄学校教师以及条件比较艰苦或地理位置偏远的享受当地农村特岗教师津贴的非镇中心区学校教师），教育教学研究成果不作刚性要求。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同级转评者，原为教师系列的研究成果不作要求；不同系列间转评的，研究成果要求参照晋升相应专业技术职称要求。</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六、教师专业发展培训要求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申报高一级职称者均须具备相应资格并取得在有效期内的培训结业证书。学时（学分）要求为</w:t>
      </w:r>
      <w:r>
        <w:rPr>
          <w:rFonts w:eastAsia="仿宋_GB2312"/>
          <w:sz w:val="32"/>
          <w:szCs w:val="32"/>
        </w:rPr>
        <w:t>5</w:t>
      </w:r>
      <w:r>
        <w:rPr>
          <w:rFonts w:eastAsia="仿宋_GB2312"/>
          <w:sz w:val="32"/>
          <w:szCs w:val="32"/>
        </w:rPr>
        <w:t>年周期内教师专业发展培训累计不少于</w:t>
      </w:r>
      <w:r>
        <w:rPr>
          <w:rFonts w:eastAsia="仿宋_GB2312"/>
          <w:sz w:val="32"/>
          <w:szCs w:val="32"/>
        </w:rPr>
        <w:t>360</w:t>
      </w:r>
      <w:r>
        <w:rPr>
          <w:rFonts w:eastAsia="仿宋_GB2312"/>
          <w:sz w:val="32"/>
          <w:szCs w:val="32"/>
        </w:rPr>
        <w:t>学时（学分），其中周期内至少参加一次不少于</w:t>
      </w:r>
      <w:r>
        <w:rPr>
          <w:rFonts w:eastAsia="仿宋_GB2312"/>
          <w:sz w:val="32"/>
          <w:szCs w:val="32"/>
        </w:rPr>
        <w:t>90</w:t>
      </w:r>
      <w:r>
        <w:rPr>
          <w:rFonts w:eastAsia="仿宋_GB2312"/>
          <w:sz w:val="32"/>
          <w:szCs w:val="32"/>
        </w:rPr>
        <w:t>学时（学分）的集中培训。任现职年限不足</w:t>
      </w:r>
      <w:r>
        <w:rPr>
          <w:rFonts w:eastAsia="仿宋_GB2312"/>
          <w:sz w:val="32"/>
          <w:szCs w:val="32"/>
        </w:rPr>
        <w:t>5</w:t>
      </w:r>
      <w:r>
        <w:rPr>
          <w:rFonts w:eastAsia="仿宋_GB2312"/>
          <w:sz w:val="32"/>
          <w:szCs w:val="32"/>
        </w:rPr>
        <w:t>年的，需参加教师专业发展培训年平均不少于</w:t>
      </w:r>
      <w:r>
        <w:rPr>
          <w:rFonts w:eastAsia="仿宋_GB2312"/>
          <w:sz w:val="32"/>
          <w:szCs w:val="32"/>
        </w:rPr>
        <w:t>72</w:t>
      </w:r>
      <w:r>
        <w:rPr>
          <w:rFonts w:eastAsia="仿宋_GB2312"/>
          <w:sz w:val="32"/>
          <w:szCs w:val="32"/>
        </w:rPr>
        <w:t>学时（学分）。同级转评到中小幼教师系列的，在现岗位需参加教师专业发展培训不少于</w:t>
      </w:r>
      <w:r>
        <w:rPr>
          <w:rFonts w:eastAsia="仿宋_GB2312"/>
          <w:sz w:val="32"/>
          <w:szCs w:val="32"/>
        </w:rPr>
        <w:t>72</w:t>
      </w:r>
      <w:r>
        <w:rPr>
          <w:rFonts w:eastAsia="仿宋_GB2312"/>
          <w:sz w:val="32"/>
          <w:szCs w:val="32"/>
        </w:rPr>
        <w:t>学时（学分）。</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从</w:t>
      </w:r>
      <w:r>
        <w:rPr>
          <w:rFonts w:eastAsia="仿宋_GB2312"/>
          <w:sz w:val="32"/>
          <w:szCs w:val="32"/>
        </w:rPr>
        <w:t>2022</w:t>
      </w:r>
      <w:r>
        <w:rPr>
          <w:rFonts w:eastAsia="仿宋_GB2312"/>
          <w:sz w:val="32"/>
          <w:szCs w:val="32"/>
        </w:rPr>
        <w:t>年起，教育管理系列和实验系列申报相应职称人员，需在浙江省教师培训管理平台累计不少于</w:t>
      </w:r>
      <w:r>
        <w:rPr>
          <w:rFonts w:eastAsia="仿宋_GB2312"/>
          <w:sz w:val="32"/>
          <w:szCs w:val="32"/>
        </w:rPr>
        <w:t>24</w:t>
      </w:r>
      <w:r>
        <w:rPr>
          <w:rFonts w:eastAsia="仿宋_GB2312"/>
          <w:sz w:val="32"/>
          <w:szCs w:val="32"/>
        </w:rPr>
        <w:t>学时（学分）。</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七、普通话要求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按原浙江省教委、省语委《关于在教师中开展普通话水平测试工作的通知》（浙语〔</w:t>
      </w:r>
      <w:r>
        <w:rPr>
          <w:rFonts w:eastAsia="仿宋_GB2312"/>
          <w:sz w:val="32"/>
          <w:szCs w:val="32"/>
        </w:rPr>
        <w:t>1999</w:t>
      </w:r>
      <w:r>
        <w:rPr>
          <w:rFonts w:eastAsia="仿宋_GB2312"/>
          <w:sz w:val="32"/>
          <w:szCs w:val="32"/>
        </w:rPr>
        <w:t>〕</w:t>
      </w:r>
      <w:r>
        <w:rPr>
          <w:rFonts w:eastAsia="仿宋_GB2312"/>
          <w:sz w:val="32"/>
          <w:szCs w:val="32"/>
        </w:rPr>
        <w:t>5</w:t>
      </w:r>
      <w:r>
        <w:rPr>
          <w:rFonts w:eastAsia="仿宋_GB2312"/>
          <w:sz w:val="32"/>
          <w:szCs w:val="32"/>
        </w:rPr>
        <w:t>号）的有关规定执行。中小幼和</w:t>
      </w:r>
      <w:r>
        <w:rPr>
          <w:rFonts w:eastAsia="仿宋_GB2312"/>
          <w:sz w:val="32"/>
          <w:szCs w:val="32"/>
        </w:rPr>
        <w:lastRenderedPageBreak/>
        <w:t>中等职业学校教师职称评审，普通话水平要达到二级乙等及以上。在农村任教满</w:t>
      </w:r>
      <w:r>
        <w:rPr>
          <w:rFonts w:eastAsia="仿宋_GB2312"/>
          <w:sz w:val="32"/>
          <w:szCs w:val="32"/>
        </w:rPr>
        <w:t>20</w:t>
      </w:r>
      <w:r>
        <w:rPr>
          <w:rFonts w:eastAsia="仿宋_GB2312"/>
          <w:sz w:val="32"/>
          <w:szCs w:val="32"/>
        </w:rPr>
        <w:t>年并现仍在农村任教的农村教师可放宽到三级甲等。</w:t>
      </w:r>
      <w:r>
        <w:rPr>
          <w:rFonts w:eastAsia="仿宋_GB2312"/>
          <w:sz w:val="32"/>
          <w:szCs w:val="32"/>
        </w:rPr>
        <w:t>1965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日以后出生的语文教师要达到二级甲等及以上。教育管理、实验系列人员普通话要达到三级甲等及以上。</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八、班主任工作年限要求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申报高级职称者担任班主任工作年限要求：中学（含中职学校）教师须</w:t>
      </w:r>
      <w:r>
        <w:rPr>
          <w:rFonts w:eastAsia="仿宋_GB2312"/>
          <w:sz w:val="32"/>
          <w:szCs w:val="32"/>
        </w:rPr>
        <w:t>6</w:t>
      </w:r>
      <w:r>
        <w:rPr>
          <w:rFonts w:eastAsia="仿宋_GB2312"/>
          <w:sz w:val="32"/>
          <w:szCs w:val="32"/>
        </w:rPr>
        <w:t>年及以上；小学、幼儿园教师须</w:t>
      </w:r>
      <w:r>
        <w:rPr>
          <w:rFonts w:eastAsia="仿宋_GB2312"/>
          <w:sz w:val="32"/>
          <w:szCs w:val="32"/>
        </w:rPr>
        <w:t>8</w:t>
      </w:r>
      <w:r>
        <w:rPr>
          <w:rFonts w:eastAsia="仿宋_GB2312"/>
          <w:sz w:val="32"/>
          <w:szCs w:val="32"/>
        </w:rPr>
        <w:t>年及以上；中小学体、音、美、技术（通用、劳技、信息）教师须</w:t>
      </w:r>
      <w:r>
        <w:rPr>
          <w:rFonts w:eastAsia="仿宋_GB2312"/>
          <w:sz w:val="32"/>
          <w:szCs w:val="32"/>
        </w:rPr>
        <w:t>2.5</w:t>
      </w:r>
      <w:r>
        <w:rPr>
          <w:rFonts w:eastAsia="仿宋_GB2312"/>
          <w:sz w:val="32"/>
          <w:szCs w:val="32"/>
        </w:rPr>
        <w:t>年及以上，另需常年组织、辅导学生体、音、美、技术等课外活动，并达到比照班主任工作的相应年限。除体、音、美、技术教师外，其他教师申报高级职称时，须有任现职以来</w:t>
      </w:r>
      <w:r>
        <w:rPr>
          <w:rFonts w:eastAsia="仿宋_GB2312"/>
          <w:sz w:val="32"/>
          <w:szCs w:val="32"/>
        </w:rPr>
        <w:t>2</w:t>
      </w:r>
      <w:r>
        <w:rPr>
          <w:rFonts w:eastAsia="仿宋_GB2312"/>
          <w:sz w:val="32"/>
          <w:szCs w:val="32"/>
        </w:rPr>
        <w:t>年及以上班主任工作经历。原中级职称系初定的教师中，具有研究生学历或硕士学位获得者，须担任班主任工作</w:t>
      </w:r>
      <w:r>
        <w:rPr>
          <w:rFonts w:eastAsia="仿宋_GB2312"/>
          <w:sz w:val="32"/>
          <w:szCs w:val="32"/>
        </w:rPr>
        <w:t>5</w:t>
      </w:r>
      <w:r>
        <w:rPr>
          <w:rFonts w:eastAsia="仿宋_GB2312"/>
          <w:sz w:val="32"/>
          <w:szCs w:val="32"/>
        </w:rPr>
        <w:t>年及以上；博士学位获得者，须担任班主任工作</w:t>
      </w:r>
      <w:r>
        <w:rPr>
          <w:rFonts w:eastAsia="仿宋_GB2312"/>
          <w:sz w:val="32"/>
          <w:szCs w:val="32"/>
        </w:rPr>
        <w:t>2</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中学（含中职学校）教师实际从事一线班主任工作（不含其他岗位</w:t>
      </w:r>
      <w:r>
        <w:rPr>
          <w:rFonts w:eastAsia="仿宋_GB2312" w:hint="eastAsia"/>
          <w:sz w:val="32"/>
          <w:szCs w:val="32"/>
        </w:rPr>
        <w:t>“</w:t>
      </w:r>
      <w:r>
        <w:rPr>
          <w:rFonts w:eastAsia="仿宋_GB2312"/>
          <w:sz w:val="32"/>
          <w:szCs w:val="32"/>
        </w:rPr>
        <w:t>视作</w:t>
      </w:r>
      <w:r>
        <w:rPr>
          <w:rFonts w:eastAsia="仿宋_GB2312" w:hint="eastAsia"/>
          <w:sz w:val="32"/>
          <w:szCs w:val="32"/>
        </w:rPr>
        <w:t>”</w:t>
      </w:r>
      <w:r>
        <w:rPr>
          <w:rFonts w:eastAsia="仿宋_GB2312"/>
          <w:sz w:val="32"/>
          <w:szCs w:val="32"/>
        </w:rPr>
        <w:t>或</w:t>
      </w:r>
      <w:r>
        <w:rPr>
          <w:rFonts w:eastAsia="仿宋_GB2312" w:hint="eastAsia"/>
          <w:sz w:val="32"/>
          <w:szCs w:val="32"/>
        </w:rPr>
        <w:t>“</w:t>
      </w:r>
      <w:r>
        <w:rPr>
          <w:rFonts w:eastAsia="仿宋_GB2312"/>
          <w:sz w:val="32"/>
          <w:szCs w:val="32"/>
        </w:rPr>
        <w:t>折算</w:t>
      </w:r>
      <w:r>
        <w:rPr>
          <w:rFonts w:eastAsia="仿宋_GB2312" w:hint="eastAsia"/>
          <w:sz w:val="32"/>
          <w:szCs w:val="32"/>
        </w:rPr>
        <w:t>”</w:t>
      </w:r>
      <w:r>
        <w:rPr>
          <w:rFonts w:eastAsia="仿宋_GB2312"/>
          <w:sz w:val="32"/>
          <w:szCs w:val="32"/>
        </w:rPr>
        <w:t>）满</w:t>
      </w:r>
      <w:r>
        <w:rPr>
          <w:rFonts w:eastAsia="仿宋_GB2312"/>
          <w:sz w:val="32"/>
          <w:szCs w:val="32"/>
        </w:rPr>
        <w:t>15</w:t>
      </w:r>
      <w:r>
        <w:rPr>
          <w:rFonts w:eastAsia="仿宋_GB2312"/>
          <w:sz w:val="32"/>
          <w:szCs w:val="32"/>
        </w:rPr>
        <w:t>年、小学和幼儿园教师实际从事一线班主任工作（不含其他岗位</w:t>
      </w:r>
      <w:r>
        <w:rPr>
          <w:rFonts w:eastAsia="仿宋_GB2312" w:hint="eastAsia"/>
          <w:sz w:val="32"/>
          <w:szCs w:val="32"/>
        </w:rPr>
        <w:t>“</w:t>
      </w:r>
      <w:r>
        <w:rPr>
          <w:rFonts w:eastAsia="仿宋_GB2312"/>
          <w:sz w:val="32"/>
          <w:szCs w:val="32"/>
        </w:rPr>
        <w:t>视作</w:t>
      </w:r>
      <w:r>
        <w:rPr>
          <w:rFonts w:eastAsia="仿宋_GB2312" w:hint="eastAsia"/>
          <w:sz w:val="32"/>
          <w:szCs w:val="32"/>
        </w:rPr>
        <w:t>”</w:t>
      </w:r>
      <w:r>
        <w:rPr>
          <w:rFonts w:eastAsia="仿宋_GB2312"/>
          <w:sz w:val="32"/>
          <w:szCs w:val="32"/>
        </w:rPr>
        <w:t>或</w:t>
      </w:r>
      <w:r>
        <w:rPr>
          <w:rFonts w:eastAsia="仿宋_GB2312" w:hint="eastAsia"/>
          <w:sz w:val="32"/>
          <w:szCs w:val="32"/>
        </w:rPr>
        <w:t>“</w:t>
      </w:r>
      <w:r>
        <w:rPr>
          <w:rFonts w:eastAsia="仿宋_GB2312"/>
          <w:sz w:val="32"/>
          <w:szCs w:val="32"/>
        </w:rPr>
        <w:t>折算</w:t>
      </w:r>
      <w:r>
        <w:rPr>
          <w:rFonts w:eastAsia="仿宋_GB2312" w:hint="eastAsia"/>
          <w:sz w:val="32"/>
          <w:szCs w:val="32"/>
        </w:rPr>
        <w:t>”</w:t>
      </w:r>
      <w:r>
        <w:rPr>
          <w:rFonts w:eastAsia="仿宋_GB2312"/>
          <w:sz w:val="32"/>
          <w:szCs w:val="32"/>
        </w:rPr>
        <w:t>）满</w:t>
      </w:r>
      <w:r>
        <w:rPr>
          <w:rFonts w:eastAsia="仿宋_GB2312"/>
          <w:sz w:val="32"/>
          <w:szCs w:val="32"/>
        </w:rPr>
        <w:t>20</w:t>
      </w:r>
      <w:r>
        <w:rPr>
          <w:rFonts w:eastAsia="仿宋_GB2312"/>
          <w:sz w:val="32"/>
          <w:szCs w:val="32"/>
        </w:rPr>
        <w:t>年，且从未受过违规违纪处分的，在参加高级职称评审时视作获得一次市级综合荣誉（此</w:t>
      </w:r>
      <w:r>
        <w:rPr>
          <w:rFonts w:eastAsia="仿宋_GB2312" w:hint="eastAsia"/>
          <w:sz w:val="32"/>
          <w:szCs w:val="32"/>
        </w:rPr>
        <w:t>“</w:t>
      </w:r>
      <w:r>
        <w:rPr>
          <w:rFonts w:eastAsia="仿宋_GB2312"/>
          <w:sz w:val="32"/>
          <w:szCs w:val="32"/>
        </w:rPr>
        <w:t>视作</w:t>
      </w:r>
      <w:r>
        <w:rPr>
          <w:rFonts w:eastAsia="仿宋_GB2312" w:hint="eastAsia"/>
          <w:sz w:val="32"/>
          <w:szCs w:val="32"/>
        </w:rPr>
        <w:t>”</w:t>
      </w:r>
      <w:r>
        <w:rPr>
          <w:rFonts w:eastAsia="仿宋_GB2312"/>
          <w:sz w:val="32"/>
          <w:szCs w:val="32"/>
        </w:rPr>
        <w:t>仅限于职称评审范畴）。</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申报中级职称者担任班主任工作年限要求：中小幼（含中职学校）教师须</w:t>
      </w:r>
      <w:r>
        <w:rPr>
          <w:rFonts w:eastAsia="仿宋_GB2312"/>
          <w:sz w:val="32"/>
          <w:szCs w:val="32"/>
        </w:rPr>
        <w:t>2.5</w:t>
      </w:r>
      <w:r>
        <w:rPr>
          <w:rFonts w:eastAsia="仿宋_GB2312"/>
          <w:sz w:val="32"/>
          <w:szCs w:val="32"/>
        </w:rPr>
        <w:t>年及以上；中小学体、音、美、技术（通用、</w:t>
      </w:r>
      <w:r>
        <w:rPr>
          <w:rFonts w:eastAsia="仿宋_GB2312"/>
          <w:sz w:val="32"/>
          <w:szCs w:val="32"/>
        </w:rPr>
        <w:lastRenderedPageBreak/>
        <w:t>劳技、信息）等教师须</w:t>
      </w:r>
      <w:r>
        <w:rPr>
          <w:rFonts w:eastAsia="仿宋_GB2312"/>
          <w:sz w:val="32"/>
          <w:szCs w:val="32"/>
        </w:rPr>
        <w:t>1</w:t>
      </w:r>
      <w:r>
        <w:rPr>
          <w:rFonts w:eastAsia="仿宋_GB2312"/>
          <w:sz w:val="32"/>
          <w:szCs w:val="32"/>
        </w:rPr>
        <w:t>年及以上。具有研究生学历或硕士学位获得者，须担任班主任工作</w:t>
      </w:r>
      <w:r>
        <w:rPr>
          <w:rFonts w:eastAsia="仿宋_GB2312"/>
          <w:sz w:val="32"/>
          <w:szCs w:val="32"/>
        </w:rPr>
        <w:t>1</w:t>
      </w:r>
      <w:r>
        <w:rPr>
          <w:rFonts w:eastAsia="仿宋_GB2312"/>
          <w:sz w:val="32"/>
          <w:szCs w:val="32"/>
        </w:rPr>
        <w:t>年及以上；其中，体、音、美、技术（通用、劳技、信息）教师须担任班主任工作</w:t>
      </w:r>
      <w:r>
        <w:rPr>
          <w:rFonts w:eastAsia="仿宋_GB2312"/>
          <w:sz w:val="32"/>
          <w:szCs w:val="32"/>
        </w:rPr>
        <w:t>0.5</w:t>
      </w:r>
      <w:r>
        <w:rPr>
          <w:rFonts w:eastAsia="仿宋_GB2312"/>
          <w:sz w:val="32"/>
          <w:szCs w:val="32"/>
        </w:rPr>
        <w:t>年及以上。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担任中层及以上干部的工作年限可视作班主任工作年限。担任</w:t>
      </w:r>
      <w:r>
        <w:rPr>
          <w:rFonts w:eastAsia="仿宋_GB2312"/>
          <w:sz w:val="32"/>
          <w:szCs w:val="32"/>
        </w:rPr>
        <w:t>4</w:t>
      </w:r>
      <w:r>
        <w:rPr>
          <w:rFonts w:eastAsia="仿宋_GB2312"/>
          <w:sz w:val="32"/>
          <w:szCs w:val="32"/>
        </w:rPr>
        <w:t>个班及以上的年级组长、</w:t>
      </w:r>
      <w:r>
        <w:rPr>
          <w:rFonts w:eastAsia="仿宋_GB2312"/>
          <w:sz w:val="32"/>
          <w:szCs w:val="32"/>
        </w:rPr>
        <w:t>8</w:t>
      </w:r>
      <w:r>
        <w:rPr>
          <w:rFonts w:eastAsia="仿宋_GB2312"/>
          <w:sz w:val="32"/>
          <w:szCs w:val="32"/>
        </w:rPr>
        <w:t>个班及以上的学校少先队大队辅导员、专职团干部，担任全校专职心理辅导教师和全校住校生生活指导教师的年限，可视作班主任工作年限。担任教研组长、副班主任的三年可折算一年班主任工作年限。同级专业技术资格转评，班主任工作年限原则上不作要求。班主任龄计算到</w:t>
      </w:r>
      <w:r>
        <w:rPr>
          <w:rFonts w:eastAsia="仿宋_GB2312"/>
          <w:sz w:val="32"/>
          <w:szCs w:val="32"/>
        </w:rPr>
        <w:t>2022</w:t>
      </w:r>
      <w:r>
        <w:rPr>
          <w:rFonts w:eastAsia="仿宋_GB2312"/>
          <w:sz w:val="32"/>
          <w:szCs w:val="32"/>
        </w:rPr>
        <w:t>年</w:t>
      </w:r>
      <w:r>
        <w:rPr>
          <w:rFonts w:eastAsia="仿宋_GB2312"/>
          <w:sz w:val="32"/>
          <w:szCs w:val="32"/>
        </w:rPr>
        <w:t>7</w:t>
      </w:r>
      <w:r>
        <w:rPr>
          <w:rFonts w:eastAsia="仿宋_GB2312"/>
          <w:sz w:val="32"/>
          <w:szCs w:val="32"/>
        </w:rPr>
        <w:t>月底。上述</w:t>
      </w:r>
      <w:r>
        <w:rPr>
          <w:rFonts w:eastAsia="仿宋_GB2312" w:hint="eastAsia"/>
          <w:sz w:val="32"/>
          <w:szCs w:val="32"/>
        </w:rPr>
        <w:t>“</w:t>
      </w:r>
      <w:r>
        <w:rPr>
          <w:rFonts w:eastAsia="仿宋_GB2312"/>
          <w:sz w:val="32"/>
          <w:szCs w:val="32"/>
        </w:rPr>
        <w:t>视作</w:t>
      </w:r>
      <w:r>
        <w:rPr>
          <w:rFonts w:eastAsia="仿宋_GB2312" w:hint="eastAsia"/>
          <w:sz w:val="32"/>
          <w:szCs w:val="32"/>
        </w:rPr>
        <w:t>”</w:t>
      </w:r>
      <w:r>
        <w:rPr>
          <w:rFonts w:eastAsia="仿宋_GB2312"/>
          <w:sz w:val="32"/>
          <w:szCs w:val="32"/>
        </w:rPr>
        <w:t>或</w:t>
      </w:r>
      <w:r>
        <w:rPr>
          <w:rFonts w:eastAsia="仿宋_GB2312" w:hint="eastAsia"/>
          <w:sz w:val="32"/>
          <w:szCs w:val="32"/>
        </w:rPr>
        <w:t>“</w:t>
      </w:r>
      <w:r>
        <w:rPr>
          <w:rFonts w:eastAsia="仿宋_GB2312"/>
          <w:sz w:val="32"/>
          <w:szCs w:val="32"/>
        </w:rPr>
        <w:t>折算</w:t>
      </w:r>
      <w:r>
        <w:rPr>
          <w:rFonts w:eastAsia="仿宋_GB2312" w:hint="eastAsia"/>
          <w:sz w:val="32"/>
          <w:szCs w:val="32"/>
        </w:rPr>
        <w:t>”</w:t>
      </w:r>
      <w:r>
        <w:rPr>
          <w:rFonts w:eastAsia="仿宋_GB2312"/>
          <w:sz w:val="32"/>
          <w:szCs w:val="32"/>
        </w:rPr>
        <w:t>仅限于职称评审范畴。</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九、工作量要求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申报教师系列高一级职称者，须在任现职以来一直从事课堂教学且满工作量，教育教学效果好。申报教师系列高级职称者，须有指导和培养新教师的能力，并取得较好效果。中层以上干部须兼课，承担的教学工作量原则上是：中层干部不少于正常工作量的二分之一，校领导不少于正常工作量的三分之一，且近</w:t>
      </w:r>
      <w:r>
        <w:rPr>
          <w:rFonts w:eastAsia="仿宋_GB2312"/>
          <w:sz w:val="32"/>
          <w:szCs w:val="32"/>
        </w:rPr>
        <w:t>3</w:t>
      </w:r>
      <w:r>
        <w:rPr>
          <w:rFonts w:eastAsia="仿宋_GB2312"/>
          <w:sz w:val="32"/>
          <w:szCs w:val="32"/>
        </w:rPr>
        <w:t>年累计兼课已满</w:t>
      </w:r>
      <w:r>
        <w:rPr>
          <w:rFonts w:eastAsia="仿宋_GB2312"/>
          <w:sz w:val="32"/>
          <w:szCs w:val="32"/>
        </w:rPr>
        <w:t>5</w:t>
      </w:r>
      <w:r>
        <w:rPr>
          <w:rFonts w:eastAsia="仿宋_GB2312"/>
          <w:sz w:val="32"/>
          <w:szCs w:val="32"/>
        </w:rPr>
        <w:t>个学期，截至申报时仍在兼课。兼任其他工作的教师，工作量不得少于正常工作量的二分之一。</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思政课教师、德育教师承担学校安排的时事教育和组织社会实践活动等工作计入教师工作量。心理健康教师承担学校安排的心理健康教育课、心理咨询、心理辅导等工作计入教师工作量。</w:t>
      </w:r>
      <w:r>
        <w:rPr>
          <w:rFonts w:eastAsia="仿宋_GB2312"/>
          <w:sz w:val="32"/>
          <w:szCs w:val="32"/>
        </w:rPr>
        <w:lastRenderedPageBreak/>
        <w:t>体育教师承担学校安排的课后训练、课外活动、指导参赛等工作计入教师工作量。美育教师承担学校安排的艺术社团指导、第二课堂指导等工作计入教师工作量。</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十、支教要求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sz w:val="32"/>
          <w:szCs w:val="32"/>
        </w:rPr>
        <w:t>．</w:t>
      </w:r>
      <w:r>
        <w:rPr>
          <w:rFonts w:eastAsia="仿宋_GB2312"/>
          <w:sz w:val="32"/>
          <w:szCs w:val="32"/>
        </w:rPr>
        <w:t>1970</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日以后出生的城镇义务教育学校教师，申报高级职称，须有在农村或薄弱学校对应学段任教</w:t>
      </w:r>
      <w:r>
        <w:rPr>
          <w:rFonts w:eastAsia="仿宋_GB2312"/>
          <w:sz w:val="32"/>
          <w:szCs w:val="32"/>
        </w:rPr>
        <w:t>3</w:t>
      </w:r>
      <w:r>
        <w:rPr>
          <w:rFonts w:eastAsia="仿宋_GB2312"/>
          <w:sz w:val="32"/>
          <w:szCs w:val="32"/>
        </w:rPr>
        <w:t>年的经历</w:t>
      </w:r>
      <w:r>
        <w:rPr>
          <w:rFonts w:eastAsia="仿宋_GB2312"/>
          <w:sz w:val="32"/>
          <w:szCs w:val="32"/>
        </w:rPr>
        <w:t>,</w:t>
      </w:r>
      <w:r>
        <w:rPr>
          <w:rFonts w:eastAsia="仿宋_GB2312"/>
          <w:sz w:val="32"/>
          <w:szCs w:val="32"/>
        </w:rPr>
        <w:t>全职任教</w:t>
      </w:r>
      <w:r>
        <w:rPr>
          <w:rFonts w:eastAsia="仿宋_GB2312"/>
          <w:sz w:val="32"/>
          <w:szCs w:val="32"/>
        </w:rPr>
        <w:t>1</w:t>
      </w:r>
      <w:r>
        <w:rPr>
          <w:rFonts w:eastAsia="仿宋_GB2312"/>
          <w:sz w:val="32"/>
          <w:szCs w:val="32"/>
        </w:rPr>
        <w:t>年及以上的可累计计算。</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参加跨省、省内市外援建项目教师，全职支教</w:t>
      </w:r>
      <w:r>
        <w:rPr>
          <w:rFonts w:eastAsia="仿宋_GB2312"/>
          <w:sz w:val="32"/>
          <w:szCs w:val="32"/>
        </w:rPr>
        <w:t>1</w:t>
      </w:r>
      <w:r>
        <w:rPr>
          <w:rFonts w:eastAsia="仿宋_GB2312"/>
          <w:sz w:val="32"/>
          <w:szCs w:val="32"/>
        </w:rPr>
        <w:t>年视作</w:t>
      </w:r>
      <w:r>
        <w:rPr>
          <w:rFonts w:eastAsia="仿宋_GB2312"/>
          <w:sz w:val="32"/>
          <w:szCs w:val="32"/>
        </w:rPr>
        <w:t>2</w:t>
      </w:r>
      <w:r>
        <w:rPr>
          <w:rFonts w:eastAsia="仿宋_GB2312"/>
          <w:sz w:val="32"/>
          <w:szCs w:val="32"/>
        </w:rPr>
        <w:t>年支教经历。</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参加杭州西部山区</w:t>
      </w:r>
      <w:r>
        <w:rPr>
          <w:rFonts w:eastAsia="仿宋_GB2312"/>
          <w:sz w:val="32"/>
          <w:szCs w:val="32"/>
        </w:rPr>
        <w:t>4</w:t>
      </w:r>
      <w:r>
        <w:rPr>
          <w:rFonts w:eastAsia="仿宋_GB2312"/>
          <w:sz w:val="32"/>
          <w:szCs w:val="32"/>
        </w:rPr>
        <w:t>县（临安、桐庐、淳安、建德）教育对口服务任教连续满</w:t>
      </w:r>
      <w:r>
        <w:rPr>
          <w:rFonts w:eastAsia="仿宋_GB2312"/>
          <w:sz w:val="32"/>
          <w:szCs w:val="32"/>
        </w:rPr>
        <w:t>2</w:t>
      </w:r>
      <w:r>
        <w:rPr>
          <w:rFonts w:eastAsia="仿宋_GB2312"/>
          <w:sz w:val="32"/>
          <w:szCs w:val="32"/>
        </w:rPr>
        <w:t>年视作</w:t>
      </w:r>
      <w:r>
        <w:rPr>
          <w:rFonts w:eastAsia="仿宋_GB2312"/>
          <w:sz w:val="32"/>
          <w:szCs w:val="32"/>
        </w:rPr>
        <w:t>3</w:t>
      </w:r>
      <w:r>
        <w:rPr>
          <w:rFonts w:eastAsia="仿宋_GB2312"/>
          <w:sz w:val="32"/>
          <w:szCs w:val="32"/>
        </w:rPr>
        <w:t>年农村或薄弱学校任教经历。</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民办学校非事业编制教师申报高级职称，对支教时间不作要求。在民办学校任教的事业编制教师需纳入支教范围，与城镇义务教育学校教师同要求。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城镇义务教育学校教师在申报中级职称时，应具有在农村或薄弱学校任教至少</w:t>
      </w:r>
      <w:r>
        <w:rPr>
          <w:rFonts w:eastAsia="仿宋_GB2312"/>
          <w:sz w:val="32"/>
          <w:szCs w:val="32"/>
        </w:rPr>
        <w:t>1</w:t>
      </w:r>
      <w:r>
        <w:rPr>
          <w:rFonts w:eastAsia="仿宋_GB2312"/>
          <w:sz w:val="32"/>
          <w:szCs w:val="32"/>
        </w:rPr>
        <w:t>年的经历，支教方式由各区、县（市）教育行政部门根据实际情况确定。</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sz w:val="32"/>
          <w:szCs w:val="32"/>
        </w:rPr>
        <w:t>．参加跨省援建项目教师，全职支教</w:t>
      </w:r>
      <w:r>
        <w:rPr>
          <w:rFonts w:eastAsia="仿宋_GB2312"/>
          <w:sz w:val="32"/>
          <w:szCs w:val="32"/>
        </w:rPr>
        <w:t>1</w:t>
      </w:r>
      <w:r>
        <w:rPr>
          <w:rFonts w:eastAsia="仿宋_GB2312"/>
          <w:sz w:val="32"/>
          <w:szCs w:val="32"/>
        </w:rPr>
        <w:t>年视作完成</w:t>
      </w:r>
      <w:r>
        <w:rPr>
          <w:rFonts w:eastAsia="仿宋_GB2312"/>
          <w:sz w:val="32"/>
          <w:szCs w:val="32"/>
        </w:rPr>
        <w:t>120</w:t>
      </w:r>
      <w:r>
        <w:rPr>
          <w:rFonts w:eastAsia="仿宋_GB2312"/>
          <w:sz w:val="32"/>
          <w:szCs w:val="32"/>
        </w:rPr>
        <w:t>学分培训；经考核圆满完成援建任务人员，支教当年同时视作获得一次市级综合荣誉。</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3</w:t>
      </w:r>
      <w:r>
        <w:rPr>
          <w:rFonts w:eastAsia="仿宋_GB2312"/>
          <w:sz w:val="32"/>
          <w:szCs w:val="32"/>
        </w:rPr>
        <w:t>．上述</w:t>
      </w:r>
      <w:r>
        <w:rPr>
          <w:rFonts w:eastAsia="仿宋_GB2312" w:hint="eastAsia"/>
          <w:sz w:val="32"/>
          <w:szCs w:val="32"/>
        </w:rPr>
        <w:t>“</w:t>
      </w:r>
      <w:r>
        <w:rPr>
          <w:rFonts w:eastAsia="仿宋_GB2312"/>
          <w:sz w:val="32"/>
          <w:szCs w:val="32"/>
        </w:rPr>
        <w:t>视作</w:t>
      </w:r>
      <w:r>
        <w:rPr>
          <w:rFonts w:eastAsia="仿宋_GB2312" w:hint="eastAsia"/>
          <w:sz w:val="32"/>
          <w:szCs w:val="32"/>
        </w:rPr>
        <w:t>”</w:t>
      </w:r>
      <w:r>
        <w:rPr>
          <w:rFonts w:eastAsia="仿宋_GB2312"/>
          <w:sz w:val="32"/>
          <w:szCs w:val="32"/>
        </w:rPr>
        <w:t>仅限于职称评审范畴。</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lastRenderedPageBreak/>
        <w:t xml:space="preserve">    十一、课程开发和社会培训的要求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普通高中教师参与开发开设选修课程（包括为普通高中开设职业技能培训课程）情况列入高中教师教学工作量考核范围；普通高中教师参与选修课程开发成果列入高中教师科研工作考核范围。申报高级教师职称者，每学年须承担一定工作量的选修课程开发开设。</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十二、中等职业学校教师职称申报要求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中等职业学校教师职称申报政策仍按《浙江省教育厅</w:t>
      </w:r>
      <w:r>
        <w:rPr>
          <w:rFonts w:eastAsia="仿宋_GB2312"/>
          <w:sz w:val="32"/>
          <w:szCs w:val="32"/>
        </w:rPr>
        <w:t xml:space="preserve"> </w:t>
      </w:r>
      <w:r>
        <w:rPr>
          <w:rFonts w:eastAsia="仿宋_GB2312"/>
          <w:sz w:val="32"/>
          <w:szCs w:val="32"/>
        </w:rPr>
        <w:t>浙江省人力资源与社会保障厅关于深化浙江省中等职业学校教师职称制度改革工作的通知》（浙教师〔</w:t>
      </w:r>
      <w:r>
        <w:rPr>
          <w:rFonts w:eastAsia="仿宋_GB2312"/>
          <w:sz w:val="32"/>
          <w:szCs w:val="32"/>
        </w:rPr>
        <w:t>2020</w:t>
      </w:r>
      <w:r>
        <w:rPr>
          <w:rFonts w:eastAsia="仿宋_GB2312"/>
          <w:sz w:val="32"/>
          <w:szCs w:val="32"/>
        </w:rPr>
        <w:t>〕</w:t>
      </w:r>
      <w:r>
        <w:rPr>
          <w:rFonts w:eastAsia="仿宋_GB2312"/>
          <w:sz w:val="32"/>
          <w:szCs w:val="32"/>
        </w:rPr>
        <w:t>43</w:t>
      </w:r>
      <w:r>
        <w:rPr>
          <w:rFonts w:eastAsia="仿宋_GB2312"/>
          <w:sz w:val="32"/>
          <w:szCs w:val="32"/>
        </w:rPr>
        <w:t>号）执行，具体要求按《浙江省中等职业学校教师职称评价指导标准（试行）》相关规定执行。专业课教师（含实习指导教师）须根据专业特点到企业或生产服务一线实践，每</w:t>
      </w:r>
      <w:r>
        <w:rPr>
          <w:rFonts w:eastAsia="仿宋_GB2312"/>
          <w:sz w:val="32"/>
          <w:szCs w:val="32"/>
        </w:rPr>
        <w:t>5</w:t>
      </w:r>
      <w:r>
        <w:rPr>
          <w:rFonts w:eastAsia="仿宋_GB2312"/>
          <w:sz w:val="32"/>
          <w:szCs w:val="32"/>
        </w:rPr>
        <w:t>年累计不少于</w:t>
      </w:r>
      <w:r>
        <w:rPr>
          <w:rFonts w:eastAsia="仿宋_GB2312"/>
          <w:sz w:val="32"/>
          <w:szCs w:val="32"/>
        </w:rPr>
        <w:t>6</w:t>
      </w:r>
      <w:r>
        <w:rPr>
          <w:rFonts w:eastAsia="仿宋_GB2312"/>
          <w:sz w:val="32"/>
          <w:szCs w:val="32"/>
        </w:rPr>
        <w:t>个月，没有企业工作经历的新任教师应先实践再上岗。</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十三、特殊教育教师职称申报要求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任现职以来从事特殊教育（专指盲、聋、培智教育）工作满</w:t>
      </w:r>
      <w:r>
        <w:rPr>
          <w:rFonts w:eastAsia="仿宋_GB2312"/>
          <w:sz w:val="32"/>
          <w:szCs w:val="32"/>
        </w:rPr>
        <w:t>3</w:t>
      </w:r>
      <w:r>
        <w:rPr>
          <w:rFonts w:eastAsia="仿宋_GB2312"/>
          <w:sz w:val="32"/>
          <w:szCs w:val="32"/>
        </w:rPr>
        <w:t>年且现仍在特殊教育岗位的特殊教育学校教师、特殊教育巡回指导教师、特殊教育教研员和普通中小学（幼儿园）资源教师，申报高一级职称，可按照</w:t>
      </w:r>
      <w:r>
        <w:rPr>
          <w:rFonts w:eastAsia="仿宋_GB2312" w:hint="eastAsia"/>
          <w:sz w:val="32"/>
          <w:szCs w:val="32"/>
        </w:rPr>
        <w:t>“</w:t>
      </w:r>
      <w:r>
        <w:rPr>
          <w:rFonts w:eastAsia="仿宋_GB2312"/>
          <w:sz w:val="32"/>
          <w:szCs w:val="32"/>
        </w:rPr>
        <w:t>特殊教育</w:t>
      </w:r>
      <w:r>
        <w:rPr>
          <w:rFonts w:eastAsia="仿宋_GB2312" w:hint="eastAsia"/>
          <w:sz w:val="32"/>
          <w:szCs w:val="32"/>
        </w:rPr>
        <w:t>”</w:t>
      </w:r>
      <w:r>
        <w:rPr>
          <w:rFonts w:eastAsia="仿宋_GB2312"/>
          <w:sz w:val="32"/>
          <w:szCs w:val="32"/>
        </w:rPr>
        <w:t>学科或选择所任教的对应学科（专业）申报。其中，具备硕士学位、申报一级教师者，须任现职以来从事特殊教育工作满</w:t>
      </w:r>
      <w:r>
        <w:rPr>
          <w:rFonts w:eastAsia="仿宋_GB2312"/>
          <w:sz w:val="32"/>
          <w:szCs w:val="32"/>
        </w:rPr>
        <w:t>2</w:t>
      </w:r>
      <w:r>
        <w:rPr>
          <w:rFonts w:eastAsia="仿宋_GB2312"/>
          <w:sz w:val="32"/>
          <w:szCs w:val="32"/>
        </w:rPr>
        <w:t>年；普通中小学（幼儿园）资</w:t>
      </w:r>
      <w:r>
        <w:rPr>
          <w:rFonts w:eastAsia="仿宋_GB2312"/>
          <w:sz w:val="32"/>
          <w:szCs w:val="32"/>
        </w:rPr>
        <w:lastRenderedPageBreak/>
        <w:t>源教师从事特殊教育的工作量须占正常工作量的一半及以上。</w:t>
      </w:r>
    </w:p>
    <w:p w:rsidR="00C761E5" w:rsidRDefault="00C761E5" w:rsidP="00C761E5">
      <w:pPr>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十四、校外教育机构教师职称申报要求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根据《浙江省深化中小学教师职称制度改革工作实施方案》（浙人社发〔</w:t>
      </w:r>
      <w:r>
        <w:rPr>
          <w:rFonts w:eastAsia="仿宋_GB2312"/>
          <w:sz w:val="32"/>
          <w:szCs w:val="32"/>
        </w:rPr>
        <w:t>2016</w:t>
      </w:r>
      <w:r>
        <w:rPr>
          <w:rFonts w:eastAsia="仿宋_GB2312"/>
          <w:sz w:val="32"/>
          <w:szCs w:val="32"/>
        </w:rPr>
        <w:t>〕</w:t>
      </w:r>
      <w:r>
        <w:rPr>
          <w:rFonts w:eastAsia="仿宋_GB2312"/>
          <w:sz w:val="32"/>
          <w:szCs w:val="32"/>
        </w:rPr>
        <w:t>53</w:t>
      </w:r>
      <w:r>
        <w:rPr>
          <w:rFonts w:eastAsia="仿宋_GB2312"/>
          <w:sz w:val="32"/>
          <w:szCs w:val="32"/>
        </w:rPr>
        <w:t>号）规定，校外教育机构的在职在岗教师职称纳入中小幼教师系列评审；从事校外教育研究、师资培训、活动组织等工作的专业技术人员，可纳入中小学校教育管理系列评审。由青少年宫组织的各类青少年校外活动可折算教学工作量，担任社团负责人和专职辅导员年限可视作班主任工作年限，由主管部门确认的宫际援助和流动少年宫活动可视作支教经历。</w:t>
      </w:r>
    </w:p>
    <w:p w:rsidR="00C761E5" w:rsidRDefault="00C761E5" w:rsidP="00C761E5">
      <w:pPr>
        <w:tabs>
          <w:tab w:val="left" w:pos="1286"/>
        </w:tabs>
        <w:adjustRightInd w:val="0"/>
        <w:snapToGrid w:val="0"/>
        <w:spacing w:line="360" w:lineRule="auto"/>
        <w:rPr>
          <w:rFonts w:ascii="黑体" w:eastAsia="黑体" w:hAnsi="黑体" w:cs="黑体" w:hint="eastAsia"/>
          <w:sz w:val="32"/>
          <w:szCs w:val="32"/>
        </w:rPr>
      </w:pPr>
      <w:r>
        <w:rPr>
          <w:rFonts w:ascii="黑体" w:eastAsia="黑体" w:hAnsi="黑体" w:cs="黑体" w:hint="eastAsia"/>
          <w:sz w:val="32"/>
          <w:szCs w:val="32"/>
        </w:rPr>
        <w:t xml:space="preserve">    十五、破格申报要求</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不具备规定的学历、但担任一级教师职务</w:t>
      </w:r>
      <w:r>
        <w:rPr>
          <w:rFonts w:eastAsia="仿宋_GB2312"/>
          <w:sz w:val="32"/>
          <w:szCs w:val="32"/>
        </w:rPr>
        <w:t>5</w:t>
      </w:r>
      <w:r>
        <w:rPr>
          <w:rFonts w:eastAsia="仿宋_GB2312"/>
          <w:sz w:val="32"/>
          <w:szCs w:val="32"/>
        </w:rPr>
        <w:t>年及以上者，或担任一级教师职务不满</w:t>
      </w:r>
      <w:r>
        <w:rPr>
          <w:rFonts w:eastAsia="仿宋_GB2312"/>
          <w:sz w:val="32"/>
          <w:szCs w:val="32"/>
        </w:rPr>
        <w:t>5</w:t>
      </w:r>
      <w:r>
        <w:rPr>
          <w:rFonts w:eastAsia="仿宋_GB2312"/>
          <w:sz w:val="32"/>
          <w:szCs w:val="32"/>
        </w:rPr>
        <w:t>年、但具备规定学历者，并同时具备下列条件中的</w:t>
      </w:r>
      <w:r>
        <w:rPr>
          <w:rFonts w:eastAsia="仿宋_GB2312"/>
          <w:sz w:val="32"/>
          <w:szCs w:val="32"/>
        </w:rPr>
        <w:t>2</w:t>
      </w:r>
      <w:r>
        <w:rPr>
          <w:rFonts w:eastAsia="仿宋_GB2312"/>
          <w:sz w:val="32"/>
          <w:szCs w:val="32"/>
        </w:rPr>
        <w:t>项及以上者，可破格申报高级教师。</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（一）学校教育、教学主要业务骨干，在教育、教学或学生思想政治工作方面有较强的专长和丰富的经验，成绩显著，在同行中具有较高知名度。</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（二）任现职以来，获国家、省（部）或地市级劳动模范，省特级教师，全国或省优秀教师、优秀教育工作者、优秀班主任，省春蚕奖、省教坛新秀、省中小学师德楷模等荣誉称号。</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（三）教育、教学科研成果获国家三等奖，部、省级二等奖以上的主要完成者。</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lastRenderedPageBreak/>
        <w:t xml:space="preserve">    </w:t>
      </w:r>
      <w:r>
        <w:rPr>
          <w:rFonts w:eastAsia="仿宋_GB2312"/>
          <w:sz w:val="32"/>
          <w:szCs w:val="32"/>
        </w:rPr>
        <w:t>（四）有</w:t>
      </w:r>
      <w:r>
        <w:rPr>
          <w:rFonts w:eastAsia="仿宋_GB2312"/>
          <w:sz w:val="32"/>
          <w:szCs w:val="32"/>
        </w:rPr>
        <w:t>2</w:t>
      </w:r>
      <w:r>
        <w:rPr>
          <w:rFonts w:eastAsia="仿宋_GB2312"/>
          <w:sz w:val="32"/>
          <w:szCs w:val="32"/>
        </w:rPr>
        <w:t>篇论文在国家专业性学术会议或全国性报刊上发表，或获得优秀论文评选国家三等奖、省级二等奖以上。</w:t>
      </w:r>
    </w:p>
    <w:p w:rsidR="00C761E5" w:rsidRDefault="00C761E5" w:rsidP="00C761E5">
      <w:pPr>
        <w:adjustRightInd w:val="0"/>
        <w:snapToGrid w:val="0"/>
        <w:spacing w:line="360" w:lineRule="auto"/>
        <w:rPr>
          <w:rFonts w:eastAsia="仿宋_GB2312"/>
          <w:sz w:val="32"/>
          <w:szCs w:val="32"/>
        </w:rPr>
      </w:pPr>
      <w:r>
        <w:rPr>
          <w:rFonts w:eastAsia="仿宋_GB2312" w:hint="eastAsia"/>
          <w:sz w:val="32"/>
          <w:szCs w:val="32"/>
        </w:rPr>
        <w:t xml:space="preserve">    </w:t>
      </w:r>
      <w:r>
        <w:rPr>
          <w:rFonts w:eastAsia="仿宋_GB2312"/>
          <w:sz w:val="32"/>
          <w:szCs w:val="32"/>
        </w:rPr>
        <w:t>（五）任现职以来，正式出版过有较高价值的本学科教材、专著、译著。</w:t>
      </w:r>
    </w:p>
    <w:p w:rsidR="00C761E5" w:rsidRDefault="00C761E5" w:rsidP="00C761E5">
      <w:pPr>
        <w:adjustRightInd w:val="0"/>
        <w:snapToGrid w:val="0"/>
        <w:spacing w:line="360" w:lineRule="auto"/>
        <w:rPr>
          <w:rFonts w:ascii="黑体" w:eastAsia="黑体" w:hAnsi="宋体" w:cs="黑体" w:hint="eastAsia"/>
          <w:sz w:val="32"/>
          <w:szCs w:val="32"/>
        </w:rPr>
      </w:pPr>
      <w:r>
        <w:rPr>
          <w:rFonts w:eastAsia="仿宋_GB2312" w:hint="eastAsia"/>
          <w:sz w:val="32"/>
          <w:szCs w:val="32"/>
        </w:rPr>
        <w:t xml:space="preserve">    </w:t>
      </w:r>
      <w:r>
        <w:rPr>
          <w:rFonts w:eastAsia="仿宋_GB2312"/>
          <w:sz w:val="32"/>
          <w:szCs w:val="32"/>
        </w:rPr>
        <w:t>（六）</w:t>
      </w:r>
      <w:r>
        <w:rPr>
          <w:rFonts w:eastAsia="仿宋_GB2312"/>
          <w:kern w:val="0"/>
          <w:sz w:val="32"/>
          <w:szCs w:val="32"/>
        </w:rPr>
        <w:t>中等职业学校教师职称破格申报要求按《浙江省中等职业学校教师职称评价指导标准（试行）》相关规定执行。</w:t>
      </w:r>
      <w:r>
        <w:rPr>
          <w:rFonts w:eastAsia="仿宋_GB2312"/>
          <w:sz w:val="32"/>
          <w:szCs w:val="32"/>
        </w:rPr>
        <w:br w:type="page"/>
      </w:r>
      <w:r>
        <w:rPr>
          <w:rFonts w:ascii="黑体" w:eastAsia="黑体" w:hAnsi="宋体" w:cs="黑体" w:hint="eastAsia"/>
          <w:sz w:val="32"/>
          <w:szCs w:val="32"/>
        </w:rPr>
        <w:lastRenderedPageBreak/>
        <w:t>附件2</w:t>
      </w:r>
    </w:p>
    <w:p w:rsidR="00C761E5" w:rsidRDefault="00C761E5" w:rsidP="00C761E5">
      <w:pPr>
        <w:adjustRightInd w:val="0"/>
        <w:snapToGrid w:val="0"/>
        <w:spacing w:line="312" w:lineRule="auto"/>
        <w:jc w:val="center"/>
        <w:rPr>
          <w:rFonts w:ascii="小标宋" w:eastAsia="小标宋" w:hAnsi="小标宋" w:cs="小标宋" w:hint="eastAsia"/>
          <w:sz w:val="44"/>
          <w:szCs w:val="44"/>
        </w:rPr>
      </w:pPr>
      <w:r>
        <w:rPr>
          <w:rFonts w:ascii="小标宋" w:eastAsia="小标宋" w:hAnsi="小标宋" w:cs="小标宋" w:hint="eastAsia"/>
          <w:sz w:val="44"/>
          <w:szCs w:val="44"/>
        </w:rPr>
        <w:t>2022年中小学教师职称评审工作日程安排</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3"/>
        <w:gridCol w:w="1659"/>
        <w:gridCol w:w="6622"/>
      </w:tblGrid>
      <w:tr w:rsidR="00C761E5" w:rsidTr="00481EB6">
        <w:trPr>
          <w:trHeight w:val="704"/>
          <w:jc w:val="center"/>
        </w:trPr>
        <w:tc>
          <w:tcPr>
            <w:tcW w:w="683" w:type="dxa"/>
            <w:tcBorders>
              <w:top w:val="single" w:sz="12" w:space="0" w:color="auto"/>
              <w:left w:val="single" w:sz="12" w:space="0" w:color="auto"/>
              <w:bottom w:val="double" w:sz="2" w:space="0" w:color="auto"/>
              <w:right w:val="single" w:sz="4" w:space="0" w:color="auto"/>
            </w:tcBorders>
            <w:vAlign w:val="center"/>
          </w:tcPr>
          <w:p w:rsidR="00C761E5" w:rsidRDefault="00C761E5" w:rsidP="00481EB6">
            <w:pPr>
              <w:jc w:val="center"/>
              <w:rPr>
                <w:rFonts w:ascii="黑体" w:eastAsia="黑体" w:hAnsi="宋体" w:cs="黑体" w:hint="eastAsia"/>
                <w:sz w:val="28"/>
                <w:szCs w:val="28"/>
              </w:rPr>
            </w:pPr>
            <w:r>
              <w:rPr>
                <w:rFonts w:ascii="黑体" w:eastAsia="黑体" w:hAnsi="宋体" w:cs="黑体" w:hint="eastAsia"/>
                <w:sz w:val="28"/>
                <w:szCs w:val="28"/>
              </w:rPr>
              <w:t>序号</w:t>
            </w:r>
          </w:p>
        </w:tc>
        <w:tc>
          <w:tcPr>
            <w:tcW w:w="1659" w:type="dxa"/>
            <w:tcBorders>
              <w:top w:val="single" w:sz="12" w:space="0" w:color="auto"/>
              <w:left w:val="single" w:sz="4" w:space="0" w:color="auto"/>
              <w:bottom w:val="double" w:sz="2" w:space="0" w:color="auto"/>
              <w:right w:val="single" w:sz="4" w:space="0" w:color="auto"/>
            </w:tcBorders>
            <w:vAlign w:val="center"/>
          </w:tcPr>
          <w:p w:rsidR="00C761E5" w:rsidRDefault="00C761E5" w:rsidP="00481EB6">
            <w:pPr>
              <w:jc w:val="center"/>
              <w:rPr>
                <w:rFonts w:ascii="黑体" w:eastAsia="黑体" w:hAnsi="宋体" w:cs="黑体" w:hint="eastAsia"/>
                <w:sz w:val="28"/>
                <w:szCs w:val="28"/>
              </w:rPr>
            </w:pPr>
            <w:r>
              <w:rPr>
                <w:rFonts w:ascii="黑体" w:eastAsia="黑体" w:hAnsi="宋体" w:cs="黑体" w:hint="eastAsia"/>
                <w:sz w:val="28"/>
                <w:szCs w:val="28"/>
              </w:rPr>
              <w:t>时  间</w:t>
            </w:r>
          </w:p>
        </w:tc>
        <w:tc>
          <w:tcPr>
            <w:tcW w:w="6622" w:type="dxa"/>
            <w:tcBorders>
              <w:top w:val="single" w:sz="12" w:space="0" w:color="auto"/>
              <w:left w:val="single" w:sz="4" w:space="0" w:color="auto"/>
              <w:bottom w:val="double" w:sz="2" w:space="0" w:color="auto"/>
              <w:right w:val="single" w:sz="12" w:space="0" w:color="auto"/>
            </w:tcBorders>
            <w:vAlign w:val="center"/>
          </w:tcPr>
          <w:p w:rsidR="00C761E5" w:rsidRDefault="00C761E5" w:rsidP="00481EB6">
            <w:pPr>
              <w:jc w:val="center"/>
              <w:rPr>
                <w:rFonts w:ascii="黑体" w:eastAsia="黑体" w:hAnsi="宋体" w:cs="黑体" w:hint="eastAsia"/>
                <w:sz w:val="28"/>
                <w:szCs w:val="28"/>
              </w:rPr>
            </w:pPr>
            <w:r>
              <w:rPr>
                <w:rFonts w:ascii="黑体" w:eastAsia="黑体" w:hAnsi="宋体" w:cs="黑体" w:hint="eastAsia"/>
                <w:sz w:val="28"/>
                <w:szCs w:val="28"/>
              </w:rPr>
              <w:t>工           作</w:t>
            </w:r>
          </w:p>
        </w:tc>
      </w:tr>
      <w:tr w:rsidR="00C761E5" w:rsidTr="00481EB6">
        <w:trPr>
          <w:trHeight w:val="850"/>
          <w:jc w:val="center"/>
        </w:trPr>
        <w:tc>
          <w:tcPr>
            <w:tcW w:w="683" w:type="dxa"/>
            <w:tcBorders>
              <w:top w:val="double" w:sz="2"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w:t>
            </w:r>
          </w:p>
        </w:tc>
        <w:tc>
          <w:tcPr>
            <w:tcW w:w="1659" w:type="dxa"/>
            <w:tcBorders>
              <w:top w:val="double" w:sz="2"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color w:val="FF0000"/>
                <w:sz w:val="28"/>
                <w:szCs w:val="28"/>
              </w:rPr>
            </w:pPr>
            <w:r>
              <w:rPr>
                <w:rFonts w:eastAsia="仿宋_GB2312"/>
                <w:sz w:val="28"/>
                <w:szCs w:val="28"/>
              </w:rPr>
              <w:t>5</w:t>
            </w:r>
            <w:r>
              <w:rPr>
                <w:rFonts w:eastAsia="仿宋_GB2312"/>
                <w:sz w:val="28"/>
                <w:szCs w:val="28"/>
              </w:rPr>
              <w:t>月上旬</w:t>
            </w:r>
          </w:p>
        </w:tc>
        <w:tc>
          <w:tcPr>
            <w:tcW w:w="6622" w:type="dxa"/>
            <w:tcBorders>
              <w:top w:val="double" w:sz="2"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教育教学研究成果鉴定申报</w:t>
            </w:r>
          </w:p>
        </w:tc>
      </w:tr>
      <w:tr w:rsidR="00C761E5" w:rsidTr="00481EB6">
        <w:trPr>
          <w:trHeight w:val="850"/>
          <w:jc w:val="center"/>
        </w:trPr>
        <w:tc>
          <w:tcPr>
            <w:tcW w:w="683" w:type="dxa"/>
            <w:tcBorders>
              <w:top w:val="double" w:sz="2"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2</w:t>
            </w:r>
          </w:p>
        </w:tc>
        <w:tc>
          <w:tcPr>
            <w:tcW w:w="1659" w:type="dxa"/>
            <w:tcBorders>
              <w:top w:val="double" w:sz="2"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color w:val="FF0000"/>
                <w:sz w:val="28"/>
                <w:szCs w:val="28"/>
              </w:rPr>
            </w:pPr>
            <w:r>
              <w:rPr>
                <w:rFonts w:eastAsia="仿宋_GB2312"/>
                <w:sz w:val="28"/>
                <w:szCs w:val="28"/>
              </w:rPr>
              <w:t>7</w:t>
            </w:r>
            <w:r>
              <w:rPr>
                <w:rFonts w:eastAsia="仿宋_GB2312"/>
                <w:sz w:val="28"/>
                <w:szCs w:val="28"/>
              </w:rPr>
              <w:t>月中上旬</w:t>
            </w:r>
          </w:p>
        </w:tc>
        <w:tc>
          <w:tcPr>
            <w:tcW w:w="6622" w:type="dxa"/>
            <w:tcBorders>
              <w:top w:val="double" w:sz="2"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教育教学专业理论考核</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3</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color w:val="FF0000"/>
                <w:sz w:val="28"/>
                <w:szCs w:val="28"/>
              </w:rPr>
            </w:pPr>
            <w:r>
              <w:rPr>
                <w:rFonts w:eastAsia="仿宋_GB2312"/>
                <w:sz w:val="28"/>
                <w:szCs w:val="28"/>
              </w:rPr>
              <w:t>8</w:t>
            </w:r>
            <w:r>
              <w:rPr>
                <w:rFonts w:eastAsia="仿宋_GB2312"/>
                <w:sz w:val="28"/>
                <w:szCs w:val="28"/>
              </w:rPr>
              <w:t>月下旬</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课堂教学能力测评和教育教学管理能力测评</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4</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9</w:t>
            </w:r>
            <w:r>
              <w:rPr>
                <w:rFonts w:eastAsia="仿宋_GB2312"/>
                <w:sz w:val="28"/>
                <w:szCs w:val="28"/>
              </w:rPr>
              <w:t>月</w:t>
            </w:r>
            <w:r>
              <w:rPr>
                <w:rFonts w:eastAsia="仿宋_GB2312"/>
                <w:sz w:val="28"/>
                <w:szCs w:val="28"/>
              </w:rPr>
              <w:t>29</w:t>
            </w:r>
            <w:r>
              <w:rPr>
                <w:rFonts w:eastAsia="仿宋_GB2312"/>
                <w:sz w:val="28"/>
                <w:szCs w:val="28"/>
              </w:rPr>
              <w:t>日前</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各区、县（市），直属学校（单位）上报申报正高级教师材料及破格表</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5</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10</w:t>
            </w:r>
            <w:r>
              <w:rPr>
                <w:rFonts w:eastAsia="仿宋_GB2312"/>
                <w:sz w:val="28"/>
                <w:szCs w:val="28"/>
              </w:rPr>
              <w:t>月下旬</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召开市高评委会议，审定推荐正高级教师</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6</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10</w:t>
            </w:r>
            <w:r>
              <w:rPr>
                <w:rFonts w:eastAsia="仿宋_GB2312"/>
                <w:sz w:val="28"/>
                <w:szCs w:val="28"/>
              </w:rPr>
              <w:t>月</w:t>
            </w:r>
            <w:r>
              <w:rPr>
                <w:rFonts w:eastAsia="仿宋_GB2312"/>
                <w:sz w:val="28"/>
                <w:szCs w:val="28"/>
              </w:rPr>
              <w:t>30</w:t>
            </w:r>
            <w:r>
              <w:rPr>
                <w:rFonts w:eastAsia="仿宋_GB2312"/>
                <w:sz w:val="28"/>
                <w:szCs w:val="28"/>
              </w:rPr>
              <w:t>日</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直属学校（单位）、委托单位上报晋升教育管理研究系列、中小学实验系列中、高级评审表</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7</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color w:val="FF0000"/>
                <w:sz w:val="28"/>
                <w:szCs w:val="28"/>
              </w:rPr>
            </w:pPr>
            <w:r>
              <w:rPr>
                <w:rFonts w:eastAsia="仿宋_GB2312"/>
                <w:sz w:val="28"/>
                <w:szCs w:val="28"/>
              </w:rPr>
              <w:t>11</w:t>
            </w:r>
            <w:r>
              <w:rPr>
                <w:rFonts w:eastAsia="仿宋_GB2312"/>
                <w:sz w:val="28"/>
                <w:szCs w:val="28"/>
              </w:rPr>
              <w:t>月</w:t>
            </w:r>
            <w:r>
              <w:rPr>
                <w:rFonts w:eastAsia="仿宋_GB2312"/>
                <w:sz w:val="28"/>
                <w:szCs w:val="28"/>
              </w:rPr>
              <w:t>6</w:t>
            </w:r>
            <w:r>
              <w:rPr>
                <w:rFonts w:eastAsia="仿宋_GB2312"/>
                <w:sz w:val="28"/>
                <w:szCs w:val="28"/>
              </w:rPr>
              <w:t>日前</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各区、县（市）上报晋升教育管理研究系列、中小学实验系列中、高级评审表</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8</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color w:val="FF0000"/>
                <w:sz w:val="28"/>
                <w:szCs w:val="28"/>
              </w:rPr>
            </w:pPr>
            <w:r>
              <w:rPr>
                <w:rFonts w:eastAsia="仿宋_GB2312"/>
                <w:sz w:val="28"/>
                <w:szCs w:val="28"/>
              </w:rPr>
              <w:t>11</w:t>
            </w:r>
            <w:r>
              <w:rPr>
                <w:rFonts w:eastAsia="仿宋_GB2312"/>
                <w:sz w:val="28"/>
                <w:szCs w:val="28"/>
              </w:rPr>
              <w:t>月底</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召开高级教师（含高级实验师、副研究员）高级职称评审会议，审定高级教师（高级实验师、副研究员）</w:t>
            </w:r>
          </w:p>
        </w:tc>
      </w:tr>
      <w:tr w:rsidR="00C761E5" w:rsidTr="00481EB6">
        <w:trPr>
          <w:trHeight w:val="850"/>
          <w:jc w:val="center"/>
        </w:trPr>
        <w:tc>
          <w:tcPr>
            <w:tcW w:w="683" w:type="dxa"/>
            <w:tcBorders>
              <w:top w:val="single" w:sz="4" w:space="0" w:color="auto"/>
              <w:left w:val="single" w:sz="12"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9</w:t>
            </w:r>
          </w:p>
        </w:tc>
        <w:tc>
          <w:tcPr>
            <w:tcW w:w="1659" w:type="dxa"/>
            <w:tcBorders>
              <w:top w:val="single" w:sz="4" w:space="0" w:color="auto"/>
              <w:left w:val="single" w:sz="4" w:space="0" w:color="auto"/>
              <w:bottom w:val="single" w:sz="4"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11</w:t>
            </w:r>
            <w:r>
              <w:rPr>
                <w:rFonts w:eastAsia="仿宋_GB2312"/>
                <w:sz w:val="28"/>
                <w:szCs w:val="28"/>
              </w:rPr>
              <w:t>月底</w:t>
            </w:r>
          </w:p>
        </w:tc>
        <w:tc>
          <w:tcPr>
            <w:tcW w:w="6622" w:type="dxa"/>
            <w:tcBorders>
              <w:top w:val="single" w:sz="4" w:space="0" w:color="auto"/>
              <w:left w:val="single" w:sz="4" w:space="0" w:color="auto"/>
              <w:bottom w:val="single" w:sz="4"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召开全市教育管理研究系列、中小学实验系列中级职称评审会</w:t>
            </w:r>
          </w:p>
        </w:tc>
      </w:tr>
      <w:tr w:rsidR="00C761E5" w:rsidTr="00481EB6">
        <w:trPr>
          <w:cantSplit/>
          <w:trHeight w:val="850"/>
          <w:jc w:val="center"/>
        </w:trPr>
        <w:tc>
          <w:tcPr>
            <w:tcW w:w="683" w:type="dxa"/>
            <w:tcBorders>
              <w:top w:val="single" w:sz="4" w:space="0" w:color="auto"/>
              <w:left w:val="single" w:sz="12" w:space="0" w:color="auto"/>
              <w:bottom w:val="single" w:sz="12"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10</w:t>
            </w:r>
          </w:p>
        </w:tc>
        <w:tc>
          <w:tcPr>
            <w:tcW w:w="1659" w:type="dxa"/>
            <w:tcBorders>
              <w:top w:val="single" w:sz="4" w:space="0" w:color="auto"/>
              <w:left w:val="single" w:sz="4" w:space="0" w:color="auto"/>
              <w:bottom w:val="single" w:sz="12" w:space="0" w:color="auto"/>
              <w:right w:val="single" w:sz="4" w:space="0" w:color="auto"/>
            </w:tcBorders>
            <w:vAlign w:val="center"/>
          </w:tcPr>
          <w:p w:rsidR="00C761E5" w:rsidRDefault="00C761E5" w:rsidP="00481EB6">
            <w:pPr>
              <w:adjustRightInd w:val="0"/>
              <w:snapToGrid w:val="0"/>
              <w:jc w:val="center"/>
              <w:rPr>
                <w:rFonts w:eastAsia="仿宋_GB2312"/>
                <w:sz w:val="28"/>
                <w:szCs w:val="28"/>
              </w:rPr>
            </w:pPr>
            <w:r>
              <w:rPr>
                <w:rFonts w:eastAsia="仿宋_GB2312"/>
                <w:sz w:val="28"/>
                <w:szCs w:val="28"/>
              </w:rPr>
              <w:t>12</w:t>
            </w:r>
            <w:r>
              <w:rPr>
                <w:rFonts w:eastAsia="仿宋_GB2312"/>
                <w:sz w:val="28"/>
                <w:szCs w:val="28"/>
              </w:rPr>
              <w:t>月中旬</w:t>
            </w:r>
          </w:p>
        </w:tc>
        <w:tc>
          <w:tcPr>
            <w:tcW w:w="6622" w:type="dxa"/>
            <w:tcBorders>
              <w:top w:val="single" w:sz="4" w:space="0" w:color="auto"/>
              <w:left w:val="single" w:sz="4" w:space="0" w:color="auto"/>
              <w:bottom w:val="single" w:sz="12" w:space="0" w:color="auto"/>
              <w:right w:val="single" w:sz="12" w:space="0" w:color="auto"/>
            </w:tcBorders>
            <w:vAlign w:val="center"/>
          </w:tcPr>
          <w:p w:rsidR="00C761E5" w:rsidRDefault="00C761E5" w:rsidP="00481EB6">
            <w:pPr>
              <w:adjustRightInd w:val="0"/>
              <w:snapToGrid w:val="0"/>
              <w:rPr>
                <w:rFonts w:eastAsia="仿宋_GB2312"/>
                <w:sz w:val="28"/>
                <w:szCs w:val="28"/>
              </w:rPr>
            </w:pPr>
            <w:r>
              <w:rPr>
                <w:rFonts w:eastAsia="仿宋_GB2312"/>
                <w:sz w:val="28"/>
                <w:szCs w:val="28"/>
              </w:rPr>
              <w:t>召开全市职称评审工作总结会议</w:t>
            </w:r>
          </w:p>
        </w:tc>
      </w:tr>
    </w:tbl>
    <w:p w:rsidR="00C761E5" w:rsidRDefault="00C761E5" w:rsidP="00C761E5">
      <w:pPr>
        <w:snapToGrid w:val="0"/>
        <w:spacing w:line="360" w:lineRule="auto"/>
        <w:rPr>
          <w:sz w:val="6"/>
          <w:szCs w:val="6"/>
        </w:rPr>
      </w:pPr>
      <w:r>
        <w:rPr>
          <w:rFonts w:ascii="仿宋_GB2312" w:hAnsi="宋体" w:cs="宋体" w:hint="eastAsia"/>
          <w:sz w:val="6"/>
          <w:szCs w:val="6"/>
        </w:rPr>
        <w:t xml:space="preserve"> </w:t>
      </w:r>
    </w:p>
    <w:p w:rsidR="00C761E5" w:rsidRDefault="00C761E5" w:rsidP="00C761E5">
      <w:pPr>
        <w:snapToGrid w:val="0"/>
        <w:spacing w:line="360" w:lineRule="auto"/>
        <w:rPr>
          <w:rFonts w:eastAsia="仿宋_GB2312"/>
          <w:sz w:val="28"/>
          <w:szCs w:val="28"/>
        </w:rPr>
      </w:pPr>
      <w:r>
        <w:rPr>
          <w:rFonts w:ascii="仿宋_GB2312" w:hAnsi="宋体" w:cs="宋体" w:hint="eastAsia"/>
          <w:sz w:val="6"/>
          <w:szCs w:val="6"/>
        </w:rPr>
        <w:t xml:space="preserve"> </w:t>
      </w:r>
    </w:p>
    <w:p w:rsidR="00C761E5" w:rsidRDefault="00C761E5" w:rsidP="00C761E5">
      <w:pPr>
        <w:snapToGrid w:val="0"/>
        <w:spacing w:line="360" w:lineRule="auto"/>
        <w:rPr>
          <w:rFonts w:eastAsia="仿宋_GB2312"/>
          <w:sz w:val="28"/>
          <w:szCs w:val="28"/>
        </w:rPr>
      </w:pPr>
      <w:r>
        <w:rPr>
          <w:rFonts w:ascii="仿宋_GB2312" w:hAnsi="宋体" w:cs="宋体" w:hint="eastAsia"/>
          <w:sz w:val="6"/>
          <w:szCs w:val="6"/>
        </w:rPr>
        <w:t xml:space="preserve"> </w:t>
      </w:r>
      <w:r>
        <w:rPr>
          <w:rFonts w:eastAsia="仿宋_GB2312" w:hint="eastAsia"/>
          <w:sz w:val="28"/>
          <w:szCs w:val="28"/>
        </w:rPr>
        <w:t xml:space="preserve">  </w:t>
      </w:r>
      <w:r>
        <w:rPr>
          <w:rFonts w:eastAsia="仿宋_GB2312"/>
          <w:sz w:val="28"/>
          <w:szCs w:val="28"/>
        </w:rPr>
        <w:t>注：具体时间另行通知</w:t>
      </w:r>
    </w:p>
    <w:p w:rsidR="00C761E5" w:rsidRDefault="00C761E5" w:rsidP="00C761E5">
      <w:pPr>
        <w:adjustRightInd w:val="0"/>
        <w:snapToGrid w:val="0"/>
        <w:spacing w:line="312" w:lineRule="auto"/>
        <w:rPr>
          <w:rFonts w:ascii="黑体" w:eastAsia="黑体" w:hAnsi="宋体" w:cs="黑体" w:hint="eastAsia"/>
          <w:sz w:val="32"/>
          <w:szCs w:val="32"/>
        </w:rPr>
      </w:pPr>
      <w:r>
        <w:rPr>
          <w:rFonts w:ascii="黑体" w:eastAsia="黑体" w:hAnsi="宋体" w:cs="黑体" w:hint="eastAsia"/>
          <w:szCs w:val="32"/>
        </w:rPr>
        <w:br w:type="page"/>
      </w:r>
      <w:r>
        <w:rPr>
          <w:rFonts w:ascii="黑体" w:eastAsia="黑体" w:hAnsi="宋体" w:cs="黑体" w:hint="eastAsia"/>
          <w:szCs w:val="32"/>
        </w:rPr>
        <w:lastRenderedPageBreak/>
        <w:t xml:space="preserve"> </w:t>
      </w:r>
      <w:r>
        <w:rPr>
          <w:rFonts w:ascii="黑体" w:eastAsia="黑体" w:hAnsi="宋体" w:cs="黑体" w:hint="eastAsia"/>
          <w:sz w:val="32"/>
          <w:szCs w:val="32"/>
        </w:rPr>
        <w:t>附件3</w:t>
      </w:r>
    </w:p>
    <w:p w:rsidR="00C761E5" w:rsidRDefault="00C761E5" w:rsidP="00C761E5">
      <w:pPr>
        <w:adjustRightInd w:val="0"/>
        <w:snapToGrid w:val="0"/>
        <w:spacing w:line="312" w:lineRule="auto"/>
        <w:jc w:val="center"/>
        <w:rPr>
          <w:sz w:val="24"/>
        </w:rPr>
      </w:pPr>
      <w:r>
        <w:rPr>
          <w:rFonts w:ascii="小标宋" w:eastAsia="小标宋" w:hAnsi="小标宋" w:cs="小标宋" w:hint="eastAsia"/>
          <w:kern w:val="0"/>
          <w:sz w:val="40"/>
          <w:szCs w:val="40"/>
        </w:rPr>
        <w:t>事业单位人员职称评审申报岗位信息表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68"/>
        <w:gridCol w:w="12"/>
        <w:gridCol w:w="609"/>
        <w:gridCol w:w="1076"/>
        <w:gridCol w:w="1089"/>
        <w:gridCol w:w="1088"/>
        <w:gridCol w:w="1068"/>
        <w:gridCol w:w="3130"/>
      </w:tblGrid>
      <w:tr w:rsidR="00C761E5" w:rsidTr="00481EB6">
        <w:trPr>
          <w:trHeight w:val="560"/>
          <w:jc w:val="center"/>
        </w:trPr>
        <w:tc>
          <w:tcPr>
            <w:tcW w:w="968" w:type="dxa"/>
            <w:vMerge w:val="restart"/>
            <w:tcBorders>
              <w:top w:val="single" w:sz="12" w:space="0" w:color="auto"/>
              <w:left w:val="single" w:sz="12" w:space="0" w:color="auto"/>
              <w:bottom w:val="single" w:sz="4" w:space="0" w:color="auto"/>
              <w:right w:val="single" w:sz="4" w:space="0" w:color="auto"/>
            </w:tcBorders>
            <w:vAlign w:val="center"/>
          </w:tcPr>
          <w:p w:rsidR="00C761E5" w:rsidRDefault="00C761E5" w:rsidP="00481EB6">
            <w:pPr>
              <w:widowControl/>
              <w:spacing w:line="400" w:lineRule="exact"/>
              <w:jc w:val="center"/>
              <w:rPr>
                <w:kern w:val="0"/>
                <w:sz w:val="24"/>
              </w:rPr>
            </w:pPr>
            <w:r>
              <w:rPr>
                <w:kern w:val="0"/>
                <w:sz w:val="24"/>
              </w:rPr>
              <w:t>单位专业技术岗位</w:t>
            </w:r>
          </w:p>
          <w:p w:rsidR="00C761E5" w:rsidRDefault="00C761E5" w:rsidP="00481EB6">
            <w:pPr>
              <w:widowControl/>
              <w:spacing w:line="400" w:lineRule="exact"/>
              <w:jc w:val="center"/>
              <w:rPr>
                <w:kern w:val="0"/>
                <w:sz w:val="24"/>
              </w:rPr>
            </w:pPr>
            <w:r>
              <w:rPr>
                <w:kern w:val="0"/>
                <w:sz w:val="24"/>
              </w:rPr>
              <w:t>情况</w:t>
            </w:r>
          </w:p>
        </w:tc>
        <w:tc>
          <w:tcPr>
            <w:tcW w:w="1697" w:type="dxa"/>
            <w:gridSpan w:val="3"/>
            <w:tcBorders>
              <w:top w:val="single" w:sz="12"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单位名称</w:t>
            </w:r>
          </w:p>
        </w:tc>
        <w:tc>
          <w:tcPr>
            <w:tcW w:w="6375" w:type="dxa"/>
            <w:gridSpan w:val="4"/>
            <w:tcBorders>
              <w:top w:val="single" w:sz="12" w:space="0" w:color="auto"/>
              <w:left w:val="nil"/>
              <w:bottom w:val="single" w:sz="4" w:space="0" w:color="auto"/>
              <w:right w:val="single" w:sz="12" w:space="0" w:color="auto"/>
            </w:tcBorders>
            <w:vAlign w:val="center"/>
          </w:tcPr>
          <w:p w:rsidR="00C761E5" w:rsidRDefault="00C761E5" w:rsidP="00481EB6">
            <w:pPr>
              <w:widowControl/>
              <w:spacing w:line="280" w:lineRule="exact"/>
              <w:jc w:val="left"/>
              <w:rPr>
                <w:kern w:val="0"/>
                <w:sz w:val="24"/>
              </w:rPr>
            </w:pPr>
          </w:p>
        </w:tc>
      </w:tr>
      <w:tr w:rsidR="00C761E5" w:rsidTr="00481EB6">
        <w:trPr>
          <w:trHeight w:val="560"/>
          <w:jc w:val="center"/>
        </w:trPr>
        <w:tc>
          <w:tcPr>
            <w:tcW w:w="968" w:type="dxa"/>
            <w:vMerge/>
            <w:tcBorders>
              <w:top w:val="single" w:sz="12" w:space="0" w:color="auto"/>
              <w:left w:val="single" w:sz="12" w:space="0" w:color="auto"/>
              <w:bottom w:val="single" w:sz="4" w:space="0" w:color="auto"/>
              <w:right w:val="single" w:sz="4" w:space="0" w:color="auto"/>
            </w:tcBorders>
            <w:vAlign w:val="center"/>
          </w:tcPr>
          <w:p w:rsidR="00C761E5" w:rsidRDefault="00C761E5" w:rsidP="00481EB6">
            <w:pPr>
              <w:rPr>
                <w:sz w:val="20"/>
              </w:rPr>
            </w:pPr>
          </w:p>
        </w:tc>
        <w:tc>
          <w:tcPr>
            <w:tcW w:w="621" w:type="dxa"/>
            <w:gridSpan w:val="2"/>
            <w:vMerge w:val="restart"/>
            <w:tcBorders>
              <w:top w:val="nil"/>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岗位情况</w:t>
            </w:r>
          </w:p>
        </w:tc>
        <w:tc>
          <w:tcPr>
            <w:tcW w:w="1076"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i/>
                <w:kern w:val="0"/>
                <w:sz w:val="24"/>
              </w:rPr>
            </w:pPr>
            <w:r>
              <w:rPr>
                <w:kern w:val="0"/>
                <w:sz w:val="24"/>
              </w:rPr>
              <w:t>等级</w:t>
            </w:r>
          </w:p>
        </w:tc>
        <w:tc>
          <w:tcPr>
            <w:tcW w:w="1089"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正高级</w:t>
            </w:r>
          </w:p>
        </w:tc>
        <w:tc>
          <w:tcPr>
            <w:tcW w:w="108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副高级</w:t>
            </w:r>
          </w:p>
        </w:tc>
        <w:tc>
          <w:tcPr>
            <w:tcW w:w="106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中</w:t>
            </w:r>
            <w:r>
              <w:rPr>
                <w:rFonts w:hint="eastAsia"/>
                <w:kern w:val="0"/>
                <w:sz w:val="24"/>
              </w:rPr>
              <w:t>、初</w:t>
            </w:r>
            <w:r>
              <w:rPr>
                <w:kern w:val="0"/>
                <w:sz w:val="24"/>
              </w:rPr>
              <w:t>级</w:t>
            </w:r>
          </w:p>
        </w:tc>
        <w:tc>
          <w:tcPr>
            <w:tcW w:w="3130" w:type="dxa"/>
            <w:tcBorders>
              <w:top w:val="single" w:sz="4" w:space="0" w:color="auto"/>
              <w:left w:val="nil"/>
              <w:bottom w:val="single" w:sz="4" w:space="0" w:color="auto"/>
              <w:right w:val="single" w:sz="12" w:space="0" w:color="auto"/>
            </w:tcBorders>
            <w:vAlign w:val="center"/>
          </w:tcPr>
          <w:p w:rsidR="00C761E5" w:rsidRDefault="00C761E5" w:rsidP="00481EB6">
            <w:pPr>
              <w:widowControl/>
              <w:spacing w:line="280" w:lineRule="exact"/>
              <w:jc w:val="center"/>
              <w:rPr>
                <w:kern w:val="0"/>
                <w:sz w:val="24"/>
              </w:rPr>
            </w:pPr>
            <w:r>
              <w:rPr>
                <w:kern w:val="0"/>
                <w:sz w:val="24"/>
              </w:rPr>
              <w:t>备注</w:t>
            </w:r>
          </w:p>
        </w:tc>
      </w:tr>
      <w:tr w:rsidR="00C761E5" w:rsidTr="00481EB6">
        <w:trPr>
          <w:trHeight w:val="560"/>
          <w:jc w:val="center"/>
        </w:trPr>
        <w:tc>
          <w:tcPr>
            <w:tcW w:w="968" w:type="dxa"/>
            <w:vMerge/>
            <w:tcBorders>
              <w:top w:val="single" w:sz="12" w:space="0" w:color="auto"/>
              <w:left w:val="single" w:sz="12" w:space="0" w:color="auto"/>
              <w:bottom w:val="single" w:sz="4" w:space="0" w:color="auto"/>
              <w:right w:val="single" w:sz="4" w:space="0" w:color="auto"/>
            </w:tcBorders>
            <w:vAlign w:val="center"/>
          </w:tcPr>
          <w:p w:rsidR="00C761E5" w:rsidRDefault="00C761E5" w:rsidP="00481EB6">
            <w:pPr>
              <w:rPr>
                <w:sz w:val="20"/>
              </w:rPr>
            </w:pPr>
          </w:p>
        </w:tc>
        <w:tc>
          <w:tcPr>
            <w:tcW w:w="621" w:type="dxa"/>
            <w:gridSpan w:val="2"/>
            <w:vMerge/>
            <w:tcBorders>
              <w:top w:val="nil"/>
              <w:left w:val="nil"/>
              <w:bottom w:val="single" w:sz="4" w:space="0" w:color="auto"/>
              <w:right w:val="single" w:sz="4" w:space="0" w:color="auto"/>
            </w:tcBorders>
            <w:vAlign w:val="center"/>
          </w:tcPr>
          <w:p w:rsidR="00C761E5" w:rsidRDefault="00C761E5" w:rsidP="00481EB6">
            <w:pPr>
              <w:rPr>
                <w:sz w:val="20"/>
              </w:rPr>
            </w:pPr>
          </w:p>
        </w:tc>
        <w:tc>
          <w:tcPr>
            <w:tcW w:w="1076"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核</w:t>
            </w:r>
            <w:r>
              <w:rPr>
                <w:rFonts w:hint="eastAsia"/>
                <w:kern w:val="0"/>
                <w:sz w:val="24"/>
              </w:rPr>
              <w:t>定</w:t>
            </w:r>
            <w:r>
              <w:rPr>
                <w:kern w:val="0"/>
                <w:sz w:val="24"/>
              </w:rPr>
              <w:t>数</w:t>
            </w:r>
          </w:p>
        </w:tc>
        <w:tc>
          <w:tcPr>
            <w:tcW w:w="1089"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8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6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3130" w:type="dxa"/>
            <w:tcBorders>
              <w:top w:val="single" w:sz="4" w:space="0" w:color="auto"/>
              <w:left w:val="nil"/>
              <w:bottom w:val="single" w:sz="4" w:space="0" w:color="auto"/>
              <w:right w:val="single" w:sz="12"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r>
      <w:tr w:rsidR="00C761E5" w:rsidTr="00481EB6">
        <w:trPr>
          <w:trHeight w:val="560"/>
          <w:jc w:val="center"/>
        </w:trPr>
        <w:tc>
          <w:tcPr>
            <w:tcW w:w="968" w:type="dxa"/>
            <w:vMerge/>
            <w:tcBorders>
              <w:top w:val="single" w:sz="12" w:space="0" w:color="auto"/>
              <w:left w:val="single" w:sz="12" w:space="0" w:color="auto"/>
              <w:bottom w:val="single" w:sz="4" w:space="0" w:color="auto"/>
              <w:right w:val="single" w:sz="4" w:space="0" w:color="auto"/>
            </w:tcBorders>
            <w:vAlign w:val="center"/>
          </w:tcPr>
          <w:p w:rsidR="00C761E5" w:rsidRDefault="00C761E5" w:rsidP="00481EB6">
            <w:pPr>
              <w:rPr>
                <w:sz w:val="20"/>
              </w:rPr>
            </w:pPr>
          </w:p>
        </w:tc>
        <w:tc>
          <w:tcPr>
            <w:tcW w:w="621" w:type="dxa"/>
            <w:gridSpan w:val="2"/>
            <w:vMerge/>
            <w:tcBorders>
              <w:top w:val="nil"/>
              <w:left w:val="nil"/>
              <w:bottom w:val="single" w:sz="4" w:space="0" w:color="auto"/>
              <w:right w:val="single" w:sz="4" w:space="0" w:color="auto"/>
            </w:tcBorders>
            <w:vAlign w:val="center"/>
          </w:tcPr>
          <w:p w:rsidR="00C761E5" w:rsidRDefault="00C761E5" w:rsidP="00481EB6">
            <w:pPr>
              <w:rPr>
                <w:sz w:val="20"/>
              </w:rPr>
            </w:pPr>
          </w:p>
        </w:tc>
        <w:tc>
          <w:tcPr>
            <w:tcW w:w="1076"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实聘数</w:t>
            </w:r>
          </w:p>
        </w:tc>
        <w:tc>
          <w:tcPr>
            <w:tcW w:w="1089"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8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6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3130" w:type="dxa"/>
            <w:tcBorders>
              <w:top w:val="single" w:sz="4" w:space="0" w:color="auto"/>
              <w:left w:val="nil"/>
              <w:bottom w:val="single" w:sz="4" w:space="0" w:color="auto"/>
              <w:right w:val="single" w:sz="12"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r>
      <w:tr w:rsidR="00C761E5" w:rsidTr="00481EB6">
        <w:trPr>
          <w:trHeight w:val="560"/>
          <w:jc w:val="center"/>
        </w:trPr>
        <w:tc>
          <w:tcPr>
            <w:tcW w:w="968" w:type="dxa"/>
            <w:vMerge/>
            <w:tcBorders>
              <w:top w:val="single" w:sz="12" w:space="0" w:color="auto"/>
              <w:left w:val="single" w:sz="12" w:space="0" w:color="auto"/>
              <w:bottom w:val="single" w:sz="4" w:space="0" w:color="auto"/>
              <w:right w:val="single" w:sz="4" w:space="0" w:color="auto"/>
            </w:tcBorders>
            <w:vAlign w:val="center"/>
          </w:tcPr>
          <w:p w:rsidR="00C761E5" w:rsidRDefault="00C761E5" w:rsidP="00481EB6">
            <w:pPr>
              <w:rPr>
                <w:sz w:val="20"/>
              </w:rPr>
            </w:pPr>
          </w:p>
        </w:tc>
        <w:tc>
          <w:tcPr>
            <w:tcW w:w="621" w:type="dxa"/>
            <w:gridSpan w:val="2"/>
            <w:vMerge/>
            <w:tcBorders>
              <w:top w:val="nil"/>
              <w:left w:val="nil"/>
              <w:bottom w:val="single" w:sz="4" w:space="0" w:color="auto"/>
              <w:right w:val="single" w:sz="4" w:space="0" w:color="auto"/>
            </w:tcBorders>
            <w:vAlign w:val="center"/>
          </w:tcPr>
          <w:p w:rsidR="00C761E5" w:rsidRDefault="00C761E5" w:rsidP="00481EB6">
            <w:pPr>
              <w:rPr>
                <w:sz w:val="20"/>
              </w:rPr>
            </w:pPr>
          </w:p>
        </w:tc>
        <w:tc>
          <w:tcPr>
            <w:tcW w:w="1076"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kern w:val="0"/>
                <w:sz w:val="24"/>
              </w:rPr>
            </w:pPr>
            <w:r>
              <w:rPr>
                <w:kern w:val="0"/>
                <w:sz w:val="24"/>
              </w:rPr>
              <w:t>空缺数</w:t>
            </w:r>
          </w:p>
        </w:tc>
        <w:tc>
          <w:tcPr>
            <w:tcW w:w="1089"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8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1068" w:type="dxa"/>
            <w:tcBorders>
              <w:top w:val="single" w:sz="4" w:space="0" w:color="auto"/>
              <w:left w:val="nil"/>
              <w:bottom w:val="single" w:sz="4" w:space="0" w:color="auto"/>
              <w:right w:val="single" w:sz="4"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c>
          <w:tcPr>
            <w:tcW w:w="3130" w:type="dxa"/>
            <w:tcBorders>
              <w:top w:val="single" w:sz="4" w:space="0" w:color="auto"/>
              <w:left w:val="nil"/>
              <w:bottom w:val="single" w:sz="4" w:space="0" w:color="auto"/>
              <w:right w:val="single" w:sz="12" w:space="0" w:color="auto"/>
            </w:tcBorders>
            <w:vAlign w:val="center"/>
          </w:tcPr>
          <w:p w:rsidR="00C761E5" w:rsidRDefault="00C761E5" w:rsidP="00481EB6">
            <w:pPr>
              <w:widowControl/>
              <w:spacing w:line="280" w:lineRule="exact"/>
              <w:jc w:val="center"/>
              <w:rPr>
                <w:rFonts w:ascii="宋体" w:hAnsi="宋体" w:cs="宋体" w:hint="eastAsia"/>
                <w:kern w:val="0"/>
                <w:sz w:val="24"/>
              </w:rPr>
            </w:pPr>
          </w:p>
        </w:tc>
      </w:tr>
      <w:tr w:rsidR="00C761E5" w:rsidTr="00481EB6">
        <w:trPr>
          <w:trHeight w:val="1684"/>
          <w:jc w:val="center"/>
        </w:trPr>
        <w:tc>
          <w:tcPr>
            <w:tcW w:w="968" w:type="dxa"/>
            <w:tcBorders>
              <w:top w:val="nil"/>
              <w:left w:val="single" w:sz="12" w:space="0" w:color="auto"/>
              <w:bottom w:val="single" w:sz="4" w:space="0" w:color="auto"/>
              <w:right w:val="single" w:sz="4" w:space="0" w:color="auto"/>
            </w:tcBorders>
            <w:vAlign w:val="center"/>
          </w:tcPr>
          <w:p w:rsidR="00C761E5" w:rsidRDefault="00C761E5" w:rsidP="00481EB6">
            <w:pPr>
              <w:widowControl/>
              <w:spacing w:line="400" w:lineRule="exact"/>
              <w:jc w:val="center"/>
              <w:rPr>
                <w:kern w:val="0"/>
                <w:sz w:val="24"/>
              </w:rPr>
            </w:pPr>
            <w:r>
              <w:rPr>
                <w:kern w:val="0"/>
                <w:sz w:val="24"/>
              </w:rPr>
              <w:t>单位专业技术岗位</w:t>
            </w:r>
            <w:r>
              <w:rPr>
                <w:rFonts w:hint="eastAsia"/>
                <w:kern w:val="0"/>
                <w:sz w:val="24"/>
              </w:rPr>
              <w:t>申报数</w:t>
            </w:r>
          </w:p>
        </w:tc>
        <w:tc>
          <w:tcPr>
            <w:tcW w:w="8072" w:type="dxa"/>
            <w:gridSpan w:val="7"/>
            <w:tcBorders>
              <w:top w:val="single" w:sz="4" w:space="0" w:color="auto"/>
              <w:left w:val="single" w:sz="4" w:space="0" w:color="auto"/>
              <w:bottom w:val="single" w:sz="4" w:space="0" w:color="auto"/>
              <w:right w:val="single" w:sz="12" w:space="0" w:color="auto"/>
            </w:tcBorders>
          </w:tcPr>
          <w:p w:rsidR="00C761E5" w:rsidRDefault="00C761E5" w:rsidP="00481EB6">
            <w:pPr>
              <w:widowControl/>
              <w:spacing w:beforeLines="25" w:line="340" w:lineRule="exact"/>
              <w:ind w:firstLine="482"/>
              <w:rPr>
                <w:kern w:val="0"/>
              </w:rPr>
            </w:pPr>
            <w:r>
              <w:rPr>
                <w:kern w:val="0"/>
                <w:sz w:val="24"/>
              </w:rPr>
              <w:t>今年全年本单位共新推出</w:t>
            </w:r>
            <w:r>
              <w:rPr>
                <w:kern w:val="0"/>
                <w:sz w:val="24"/>
                <w:u w:val="single"/>
              </w:rPr>
              <w:t xml:space="preserve">   </w:t>
            </w:r>
            <w:r>
              <w:rPr>
                <w:kern w:val="0"/>
                <w:sz w:val="24"/>
              </w:rPr>
              <w:t>个空缺</w:t>
            </w:r>
            <w:r>
              <w:rPr>
                <w:rFonts w:hint="eastAsia"/>
                <w:kern w:val="0"/>
                <w:sz w:val="24"/>
              </w:rPr>
              <w:t>高</w:t>
            </w:r>
            <w:r>
              <w:rPr>
                <w:kern w:val="0"/>
                <w:sz w:val="24"/>
              </w:rPr>
              <w:t>级专业技术岗位</w:t>
            </w:r>
            <w:r>
              <w:rPr>
                <w:rFonts w:hint="eastAsia"/>
                <w:kern w:val="0"/>
                <w:sz w:val="24"/>
              </w:rPr>
              <w:t>和</w:t>
            </w:r>
            <w:r>
              <w:rPr>
                <w:rFonts w:hint="eastAsia"/>
                <w:kern w:val="0"/>
                <w:sz w:val="24"/>
                <w:u w:val="single"/>
              </w:rPr>
              <w:t xml:space="preserve">   </w:t>
            </w:r>
            <w:r>
              <w:rPr>
                <w:rFonts w:hint="eastAsia"/>
                <w:kern w:val="0"/>
                <w:sz w:val="24"/>
              </w:rPr>
              <w:t>个空缺中级专业技术岗位</w:t>
            </w:r>
            <w:r>
              <w:rPr>
                <w:kern w:val="0"/>
                <w:sz w:val="24"/>
              </w:rPr>
              <w:t>用于晋升</w:t>
            </w:r>
            <w:r>
              <w:rPr>
                <w:rFonts w:hint="eastAsia"/>
                <w:kern w:val="0"/>
                <w:sz w:val="24"/>
              </w:rPr>
              <w:t>高级和</w:t>
            </w:r>
            <w:r>
              <w:rPr>
                <w:kern w:val="0"/>
                <w:sz w:val="24"/>
              </w:rPr>
              <w:t>中级职务任职资格人员（含使用空缺岗位的转评人员）竞聘。</w:t>
            </w:r>
          </w:p>
        </w:tc>
      </w:tr>
      <w:tr w:rsidR="00C761E5" w:rsidTr="00481EB6">
        <w:trPr>
          <w:trHeight w:val="2868"/>
          <w:jc w:val="center"/>
        </w:trPr>
        <w:tc>
          <w:tcPr>
            <w:tcW w:w="980" w:type="dxa"/>
            <w:gridSpan w:val="2"/>
            <w:tcBorders>
              <w:top w:val="single" w:sz="4" w:space="0" w:color="auto"/>
              <w:left w:val="single" w:sz="12" w:space="0" w:color="auto"/>
              <w:bottom w:val="single" w:sz="4" w:space="0" w:color="auto"/>
              <w:right w:val="single" w:sz="4" w:space="0" w:color="auto"/>
            </w:tcBorders>
            <w:vAlign w:val="center"/>
          </w:tcPr>
          <w:p w:rsidR="00C761E5" w:rsidRDefault="00C761E5" w:rsidP="00481EB6">
            <w:pPr>
              <w:spacing w:beforeLines="15" w:line="360" w:lineRule="exact"/>
              <w:jc w:val="center"/>
              <w:rPr>
                <w:rFonts w:hint="eastAsia"/>
                <w:kern w:val="0"/>
                <w:sz w:val="24"/>
              </w:rPr>
            </w:pPr>
            <w:r>
              <w:rPr>
                <w:rFonts w:hint="eastAsia"/>
                <w:kern w:val="0"/>
                <w:sz w:val="24"/>
              </w:rPr>
              <w:t>单位</w:t>
            </w:r>
          </w:p>
          <w:p w:rsidR="00C761E5" w:rsidRDefault="00C761E5" w:rsidP="00481EB6">
            <w:pPr>
              <w:spacing w:beforeLines="15" w:line="360" w:lineRule="exact"/>
              <w:jc w:val="center"/>
              <w:rPr>
                <w:kern w:val="0"/>
                <w:sz w:val="24"/>
              </w:rPr>
            </w:pPr>
            <w:r>
              <w:rPr>
                <w:rFonts w:hint="eastAsia"/>
                <w:kern w:val="0"/>
                <w:sz w:val="24"/>
              </w:rPr>
              <w:t>意见</w:t>
            </w:r>
          </w:p>
          <w:p w:rsidR="00C761E5" w:rsidRDefault="00C761E5" w:rsidP="00481EB6">
            <w:pPr>
              <w:ind w:firstLineChars="1850" w:firstLine="3885"/>
              <w:jc w:val="center"/>
              <w:rPr>
                <w:kern w:val="0"/>
              </w:rPr>
            </w:pPr>
          </w:p>
        </w:tc>
        <w:tc>
          <w:tcPr>
            <w:tcW w:w="8060" w:type="dxa"/>
            <w:gridSpan w:val="6"/>
            <w:tcBorders>
              <w:top w:val="single" w:sz="4" w:space="0" w:color="auto"/>
              <w:left w:val="single" w:sz="4" w:space="0" w:color="auto"/>
              <w:bottom w:val="single" w:sz="4" w:space="0" w:color="auto"/>
              <w:right w:val="single" w:sz="12" w:space="0" w:color="auto"/>
            </w:tcBorders>
            <w:vAlign w:val="center"/>
          </w:tcPr>
          <w:p w:rsidR="00C761E5" w:rsidRDefault="00C761E5" w:rsidP="00481EB6">
            <w:pPr>
              <w:rPr>
                <w:rFonts w:ascii="仿宋_GB2312" w:hAnsi="宋体" w:cs="宋体" w:hint="eastAsia"/>
                <w:kern w:val="0"/>
                <w:sz w:val="24"/>
              </w:rPr>
            </w:pPr>
            <w:r>
              <w:rPr>
                <w:rFonts w:ascii="仿宋_GB2312" w:hAnsi="宋体" w:cs="宋体" w:hint="eastAsia"/>
                <w:kern w:val="0"/>
                <w:sz w:val="24"/>
              </w:rPr>
              <w:t>（</w:t>
            </w:r>
            <w:r>
              <w:rPr>
                <w:rFonts w:ascii="仿宋_GB2312" w:hAnsi="宋体" w:cs="宋体" w:hint="eastAsia"/>
                <w:b/>
                <w:kern w:val="0"/>
                <w:sz w:val="24"/>
              </w:rPr>
              <w:t>注：当使用地区统筹岗位时，还需事业单位岗位统筹管理部门业务处室负责人签署意见并盖章。退三进二、退二进一等情况，也应说明。杭州市人力社保局在印发资格公布文件时，将进行事后监督核查。</w:t>
            </w:r>
            <w:r>
              <w:rPr>
                <w:rFonts w:ascii="仿宋_GB2312" w:hAnsi="宋体" w:cs="宋体" w:hint="eastAsia"/>
                <w:kern w:val="0"/>
                <w:sz w:val="24"/>
              </w:rPr>
              <w:t>）</w:t>
            </w:r>
          </w:p>
          <w:p w:rsidR="00C761E5" w:rsidRDefault="00C761E5" w:rsidP="00481EB6">
            <w:pPr>
              <w:ind w:firstLineChars="100" w:firstLine="240"/>
              <w:rPr>
                <w:rFonts w:ascii="仿宋_GB2312" w:hAnsi="宋体" w:cs="宋体" w:hint="eastAsia"/>
                <w:kern w:val="0"/>
                <w:sz w:val="24"/>
              </w:rPr>
            </w:pPr>
          </w:p>
          <w:p w:rsidR="00C761E5" w:rsidRDefault="00C761E5" w:rsidP="00481EB6">
            <w:pPr>
              <w:ind w:firstLineChars="100" w:firstLine="240"/>
              <w:rPr>
                <w:rFonts w:ascii="仿宋_GB2312" w:hAnsi="宋体" w:cs="宋体" w:hint="eastAsia"/>
                <w:kern w:val="0"/>
                <w:sz w:val="24"/>
              </w:rPr>
            </w:pPr>
          </w:p>
          <w:p w:rsidR="00C761E5" w:rsidRDefault="00C761E5" w:rsidP="00481EB6">
            <w:pPr>
              <w:ind w:firstLineChars="100" w:firstLine="240"/>
              <w:rPr>
                <w:kern w:val="0"/>
                <w:sz w:val="24"/>
              </w:rPr>
            </w:pPr>
            <w:r>
              <w:rPr>
                <w:rFonts w:ascii="仿宋_GB2312" w:hAnsi="宋体" w:cs="宋体" w:hint="eastAsia"/>
                <w:kern w:val="0"/>
                <w:sz w:val="24"/>
              </w:rPr>
              <w:t>单位负责负责人签字：</w:t>
            </w:r>
          </w:p>
          <w:p w:rsidR="00C761E5" w:rsidRDefault="00C761E5" w:rsidP="00481EB6">
            <w:pPr>
              <w:ind w:firstLineChars="1300" w:firstLine="3120"/>
              <w:rPr>
                <w:kern w:val="0"/>
                <w:sz w:val="24"/>
              </w:rPr>
            </w:pPr>
            <w:r>
              <w:rPr>
                <w:rFonts w:ascii="仿宋_GB2312" w:hAnsi="宋体" w:cs="宋体" w:hint="eastAsia"/>
                <w:kern w:val="0"/>
                <w:sz w:val="24"/>
              </w:rPr>
              <w:t>（盖章，两页以上加盖骑缝章）</w:t>
            </w:r>
          </w:p>
          <w:p w:rsidR="00C761E5" w:rsidRDefault="00C761E5" w:rsidP="00481EB6">
            <w:pPr>
              <w:ind w:firstLineChars="1850" w:firstLine="4440"/>
              <w:rPr>
                <w:rFonts w:ascii="仿宋_GB2312" w:hAnsi="宋体" w:cs="宋体" w:hint="eastAsia"/>
                <w:kern w:val="0"/>
                <w:sz w:val="24"/>
              </w:rPr>
            </w:pP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C761E5" w:rsidTr="00481EB6">
        <w:trPr>
          <w:trHeight w:val="2688"/>
          <w:jc w:val="center"/>
        </w:trPr>
        <w:tc>
          <w:tcPr>
            <w:tcW w:w="980" w:type="dxa"/>
            <w:gridSpan w:val="2"/>
            <w:tcBorders>
              <w:top w:val="single" w:sz="4" w:space="0" w:color="auto"/>
              <w:left w:val="single" w:sz="12" w:space="0" w:color="auto"/>
              <w:bottom w:val="single" w:sz="12" w:space="0" w:color="auto"/>
              <w:right w:val="single" w:sz="4" w:space="0" w:color="auto"/>
            </w:tcBorders>
            <w:vAlign w:val="center"/>
          </w:tcPr>
          <w:p w:rsidR="00C761E5" w:rsidRDefault="00C761E5" w:rsidP="00481EB6">
            <w:pPr>
              <w:spacing w:beforeLines="15" w:line="360" w:lineRule="exact"/>
              <w:jc w:val="center"/>
              <w:rPr>
                <w:rFonts w:hint="eastAsia"/>
                <w:kern w:val="0"/>
                <w:sz w:val="24"/>
              </w:rPr>
            </w:pPr>
            <w:r>
              <w:rPr>
                <w:rFonts w:hint="eastAsia"/>
                <w:kern w:val="0"/>
                <w:sz w:val="24"/>
              </w:rPr>
              <w:t>主管部门审核意见</w:t>
            </w:r>
          </w:p>
          <w:p w:rsidR="00C761E5" w:rsidRDefault="00C761E5" w:rsidP="00481EB6">
            <w:pPr>
              <w:rPr>
                <w:rFonts w:eastAsia="仿宋_GB2312" w:hint="eastAsia"/>
                <w:kern w:val="0"/>
                <w:sz w:val="24"/>
              </w:rPr>
            </w:pPr>
          </w:p>
        </w:tc>
        <w:tc>
          <w:tcPr>
            <w:tcW w:w="8060" w:type="dxa"/>
            <w:gridSpan w:val="6"/>
            <w:tcBorders>
              <w:top w:val="single" w:sz="4" w:space="0" w:color="auto"/>
              <w:left w:val="single" w:sz="4" w:space="0" w:color="auto"/>
              <w:bottom w:val="single" w:sz="12" w:space="0" w:color="auto"/>
              <w:right w:val="single" w:sz="12" w:space="0" w:color="auto"/>
            </w:tcBorders>
            <w:vAlign w:val="bottom"/>
          </w:tcPr>
          <w:p w:rsidR="00C761E5" w:rsidRDefault="00C761E5" w:rsidP="00481EB6">
            <w:pPr>
              <w:ind w:firstLineChars="1850" w:firstLine="4440"/>
              <w:jc w:val="right"/>
              <w:rPr>
                <w:kern w:val="0"/>
                <w:sz w:val="24"/>
              </w:rPr>
            </w:pPr>
          </w:p>
          <w:p w:rsidR="00C761E5" w:rsidRDefault="00C761E5" w:rsidP="00481EB6">
            <w:pPr>
              <w:jc w:val="center"/>
              <w:rPr>
                <w:rFonts w:hint="eastAsia"/>
                <w:kern w:val="0"/>
                <w:sz w:val="24"/>
              </w:rPr>
            </w:pPr>
            <w:r>
              <w:rPr>
                <w:rFonts w:hint="eastAsia"/>
                <w:kern w:val="0"/>
                <w:sz w:val="24"/>
              </w:rPr>
              <w:t xml:space="preserve">                    </w:t>
            </w:r>
            <w:r>
              <w:rPr>
                <w:rFonts w:hint="eastAsia"/>
                <w:kern w:val="0"/>
                <w:sz w:val="24"/>
              </w:rPr>
              <w:t>盖章</w:t>
            </w:r>
          </w:p>
          <w:p w:rsidR="00C761E5" w:rsidRDefault="00C761E5" w:rsidP="00481EB6">
            <w:pPr>
              <w:jc w:val="center"/>
              <w:rPr>
                <w:rFonts w:hint="eastAsia"/>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rsidR="00C761E5" w:rsidRDefault="00C761E5" w:rsidP="00C761E5">
      <w:pPr>
        <w:spacing w:line="320" w:lineRule="exact"/>
        <w:rPr>
          <w:rFonts w:ascii="黑体" w:eastAsia="黑体" w:hAnsi="宋体" w:cs="黑体" w:hint="eastAsia"/>
          <w:sz w:val="22"/>
          <w:szCs w:val="22"/>
        </w:rPr>
      </w:pPr>
    </w:p>
    <w:p w:rsidR="00C761E5" w:rsidRDefault="00C761E5" w:rsidP="00C761E5">
      <w:pPr>
        <w:spacing w:line="320" w:lineRule="exact"/>
        <w:rPr>
          <w:rFonts w:ascii="仿宋_GB2312" w:hAnsi="宋体" w:cs="宋体" w:hint="eastAsia"/>
          <w:sz w:val="22"/>
          <w:szCs w:val="22"/>
        </w:rPr>
      </w:pPr>
      <w:r>
        <w:rPr>
          <w:rFonts w:ascii="黑体" w:eastAsia="黑体" w:hAnsi="宋体" w:cs="黑体" w:hint="eastAsia"/>
          <w:sz w:val="22"/>
          <w:szCs w:val="22"/>
        </w:rPr>
        <w:t>注：1.</w:t>
      </w:r>
      <w:r>
        <w:rPr>
          <w:rFonts w:ascii="仿宋_GB2312" w:hAnsi="宋体" w:cs="宋体" w:hint="eastAsia"/>
          <w:sz w:val="22"/>
          <w:szCs w:val="22"/>
        </w:rPr>
        <w:t>该表格为事业单位推荐在编人员参加高级和中级职称评审时填写。有空缺岗位的，用正数表示。</w:t>
      </w:r>
    </w:p>
    <w:p w:rsidR="00C761E5" w:rsidRDefault="00C761E5" w:rsidP="00C761E5">
      <w:pPr>
        <w:spacing w:line="320" w:lineRule="exact"/>
        <w:rPr>
          <w:rFonts w:ascii="仿宋_GB2312" w:eastAsia="仿宋_GB2312" w:hint="eastAsia"/>
          <w:sz w:val="28"/>
          <w:szCs w:val="28"/>
        </w:rPr>
      </w:pPr>
      <w:r>
        <w:rPr>
          <w:rFonts w:ascii="仿宋_GB2312" w:hAnsi="宋体" w:cs="宋体" w:hint="eastAsia"/>
          <w:sz w:val="22"/>
          <w:szCs w:val="22"/>
        </w:rPr>
        <w:t xml:space="preserve">    2.</w:t>
      </w:r>
      <w:r>
        <w:rPr>
          <w:rFonts w:ascii="仿宋_GB2312" w:hAnsi="宋体" w:cs="宋体" w:hint="eastAsia"/>
          <w:sz w:val="22"/>
          <w:szCs w:val="22"/>
        </w:rPr>
        <w:t>该表格中“核定数”按实有专技数填写。</w:t>
      </w:r>
    </w:p>
    <w:p w:rsidR="00606C7B" w:rsidRPr="00C761E5" w:rsidRDefault="00606C7B"/>
    <w:sectPr w:rsidR="00606C7B" w:rsidRPr="00C761E5">
      <w:headerReference w:type="default" r:id="rId6"/>
      <w:footerReference w:type="even" r:id="rId7"/>
      <w:footerReference w:type="default" r:id="rId8"/>
      <w:pgSz w:w="11906" w:h="16838"/>
      <w:pgMar w:top="1797" w:right="1440" w:bottom="1797" w:left="1440" w:header="851" w:footer="1417"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7B" w:rsidRDefault="00606C7B" w:rsidP="00C761E5">
      <w:r>
        <w:separator/>
      </w:r>
    </w:p>
  </w:endnote>
  <w:endnote w:type="continuationSeparator" w:id="1">
    <w:p w:rsidR="00606C7B" w:rsidRDefault="00606C7B" w:rsidP="00C76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6C7B">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000000" w:rsidRDefault="00606C7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6C7B">
    <w:pPr>
      <w:pStyle w:val="a4"/>
      <w:framePr w:wrap="around" w:vAnchor="text" w:hAnchor="margin" w:xAlign="outside" w:y="1"/>
      <w:ind w:leftChars="100" w:left="210" w:rightChars="100" w:right="210"/>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C761E5">
      <w:rPr>
        <w:rStyle w:val="a5"/>
        <w:noProof/>
        <w:sz w:val="28"/>
        <w:szCs w:val="28"/>
      </w:rPr>
      <w:t>14</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606C7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7B" w:rsidRDefault="00606C7B" w:rsidP="00C761E5">
      <w:r>
        <w:separator/>
      </w:r>
    </w:p>
  </w:footnote>
  <w:footnote w:type="continuationSeparator" w:id="1">
    <w:p w:rsidR="00606C7B" w:rsidRDefault="00606C7B" w:rsidP="00C7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06C7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1E5"/>
    <w:rsid w:val="00606C7B"/>
    <w:rsid w:val="00C76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761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61E5"/>
    <w:rPr>
      <w:sz w:val="18"/>
      <w:szCs w:val="18"/>
    </w:rPr>
  </w:style>
  <w:style w:type="paragraph" w:styleId="a4">
    <w:name w:val="footer"/>
    <w:basedOn w:val="a"/>
    <w:link w:val="Char0"/>
    <w:unhideWhenUsed/>
    <w:rsid w:val="00C761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61E5"/>
    <w:rPr>
      <w:sz w:val="18"/>
      <w:szCs w:val="18"/>
    </w:rPr>
  </w:style>
  <w:style w:type="character" w:styleId="a5">
    <w:name w:val="page number"/>
    <w:basedOn w:val="a0"/>
    <w:rsid w:val="00C761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2022-04-29T03:17:00Z</dcterms:created>
  <dcterms:modified xsi:type="dcterms:W3CDTF">2022-04-29T03:17:00Z</dcterms:modified>
</cp:coreProperties>
</file>